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C51" w:rsidRPr="00F321C7" w:rsidRDefault="00451C51" w:rsidP="00451C51">
      <w:pPr>
        <w:spacing w:line="480" w:lineRule="auto"/>
        <w:rPr>
          <w:rFonts w:ascii="Times New Roman" w:hAnsi="Times New Roman" w:cs="Times New Roman"/>
          <w:b/>
          <w:bCs/>
        </w:rPr>
      </w:pPr>
      <w:r w:rsidRPr="00F321C7">
        <w:rPr>
          <w:rFonts w:ascii="Times New Roman" w:hAnsi="Times New Roman" w:cs="Times New Roman"/>
          <w:b/>
          <w:bCs/>
        </w:rPr>
        <w:t xml:space="preserve">Supplemental </w:t>
      </w:r>
      <w:proofErr w:type="spellStart"/>
      <w:r w:rsidRPr="00F321C7">
        <w:rPr>
          <w:rFonts w:ascii="Times New Roman" w:hAnsi="Times New Roman" w:cs="Times New Roman"/>
          <w:b/>
          <w:bCs/>
        </w:rPr>
        <w:t>materials</w:t>
      </w:r>
      <w:r>
        <w:rPr>
          <w:rFonts w:ascii="Times New Roman" w:hAnsi="Times New Roman" w:cs="Times New Roman" w:hint="eastAsia"/>
          <w:b/>
          <w:bCs/>
        </w:rPr>
        <w:t>legends</w:t>
      </w:r>
      <w:proofErr w:type="spellEnd"/>
      <w:r>
        <w:rPr>
          <w:rFonts w:ascii="Times New Roman" w:hAnsi="Times New Roman" w:cs="Times New Roman" w:hint="eastAsia"/>
          <w:b/>
          <w:bCs/>
        </w:rPr>
        <w:t>：</w:t>
      </w:r>
    </w:p>
    <w:p w:rsidR="00451C51" w:rsidRPr="00FC4001" w:rsidRDefault="00451C51" w:rsidP="00451C51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b/>
          <w:bCs/>
          <w:sz w:val="20"/>
          <w:szCs w:val="21"/>
        </w:rPr>
        <w:t xml:space="preserve">Supplemental Fig. 1: The results of the </w:t>
      </w:r>
      <w:r w:rsidRPr="00FC4001">
        <w:rPr>
          <w:rFonts w:ascii="Times New Roman" w:hAnsi="Times New Roman" w:cs="Times New Roman"/>
          <w:b/>
          <w:bCs/>
          <w:sz w:val="20"/>
          <w:szCs w:val="20"/>
        </w:rPr>
        <w:t>temperature test.</w:t>
      </w:r>
    </w:p>
    <w:p w:rsidR="00451C51" w:rsidRPr="00FC4001" w:rsidRDefault="00451C51" w:rsidP="00451C51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sz w:val="20"/>
          <w:szCs w:val="20"/>
        </w:rPr>
        <w:t>We used a temperature test paper (</w:t>
      </w:r>
      <w:proofErr w:type="spellStart"/>
      <w:r w:rsidRPr="00FC4001">
        <w:rPr>
          <w:rFonts w:ascii="Times New Roman" w:hAnsi="Times New Roman" w:cs="Times New Roman"/>
          <w:sz w:val="20"/>
          <w:szCs w:val="20"/>
        </w:rPr>
        <w:t>TMCHallcrest</w:t>
      </w:r>
      <w:proofErr w:type="spellEnd"/>
      <w:r w:rsidRPr="00FC4001">
        <w:rPr>
          <w:rFonts w:ascii="Times New Roman" w:hAnsi="Times New Roman" w:cs="Times New Roman"/>
          <w:sz w:val="20"/>
          <w:szCs w:val="20"/>
        </w:rPr>
        <w:t>, USA) to test the temperature of the culture media in the cell dishes, and the results showed that there were hardly any changes in temperature under our ultrasound conditions during LIPUS procedures.</w:t>
      </w:r>
    </w:p>
    <w:p w:rsidR="00451C51" w:rsidRDefault="00451C51" w:rsidP="00451C51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451C51" w:rsidRPr="00FC4001" w:rsidRDefault="00451C51" w:rsidP="00451C51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b/>
          <w:bCs/>
          <w:sz w:val="20"/>
          <w:szCs w:val="21"/>
        </w:rPr>
        <w:t xml:space="preserve">Supplemental Fig. </w:t>
      </w:r>
      <w:r>
        <w:rPr>
          <w:rFonts w:ascii="Times New Roman" w:hAnsi="Times New Roman" w:cs="Times New Roman"/>
          <w:b/>
          <w:bCs/>
          <w:sz w:val="20"/>
          <w:szCs w:val="21"/>
        </w:rPr>
        <w:t>2</w:t>
      </w:r>
      <w:r w:rsidRPr="00FC4001">
        <w:rPr>
          <w:rFonts w:ascii="Times New Roman" w:hAnsi="Times New Roman" w:cs="Times New Roman"/>
          <w:b/>
          <w:bCs/>
          <w:sz w:val="20"/>
          <w:szCs w:val="21"/>
        </w:rPr>
        <w:t xml:space="preserve">: The apoptotic effects of LIPUS on </w:t>
      </w:r>
      <w:proofErr w:type="spellStart"/>
      <w:r w:rsidRPr="00FC4001">
        <w:rPr>
          <w:rFonts w:ascii="Times New Roman" w:hAnsi="Times New Roman" w:cs="Times New Roman"/>
          <w:b/>
          <w:bCs/>
          <w:sz w:val="20"/>
          <w:szCs w:val="21"/>
        </w:rPr>
        <w:t>cardiomyocytes</w:t>
      </w:r>
      <w:proofErr w:type="spellEnd"/>
      <w:r w:rsidRPr="00FC4001">
        <w:rPr>
          <w:rFonts w:ascii="Times New Roman" w:hAnsi="Times New Roman" w:cs="Times New Roman"/>
          <w:b/>
          <w:bCs/>
          <w:sz w:val="20"/>
          <w:szCs w:val="21"/>
        </w:rPr>
        <w:t>.</w:t>
      </w:r>
    </w:p>
    <w:p w:rsidR="00451C51" w:rsidRDefault="00451C51" w:rsidP="00451C51">
      <w:pPr>
        <w:spacing w:line="480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a, </w:t>
      </w:r>
      <w:r w:rsidRPr="00FC4001">
        <w:rPr>
          <w:rFonts w:ascii="Times New Roman" w:hAnsi="Times New Roman" w:cs="Times New Roman"/>
          <w:sz w:val="20"/>
          <w:szCs w:val="21"/>
        </w:rPr>
        <w:t xml:space="preserve">The results of flow </w:t>
      </w:r>
      <w:proofErr w:type="spellStart"/>
      <w:r w:rsidRPr="00FC4001">
        <w:rPr>
          <w:rFonts w:ascii="Times New Roman" w:hAnsi="Times New Roman" w:cs="Times New Roman"/>
          <w:sz w:val="20"/>
          <w:szCs w:val="21"/>
        </w:rPr>
        <w:t>cytometry</w:t>
      </w:r>
      <w:proofErr w:type="spellEnd"/>
      <w:r w:rsidRPr="00FC4001">
        <w:rPr>
          <w:rFonts w:ascii="Times New Roman" w:hAnsi="Times New Roman" w:cs="Times New Roman"/>
          <w:sz w:val="20"/>
          <w:szCs w:val="21"/>
        </w:rPr>
        <w:t xml:space="preserve"> on apoptosis in </w:t>
      </w:r>
      <w:proofErr w:type="spellStart"/>
      <w:r w:rsidRPr="00FC4001">
        <w:rPr>
          <w:rFonts w:ascii="Times New Roman" w:hAnsi="Times New Roman" w:cs="Times New Roman"/>
          <w:sz w:val="20"/>
          <w:szCs w:val="21"/>
        </w:rPr>
        <w:t>cardiomyocytes</w:t>
      </w:r>
      <w:proofErr w:type="spellEnd"/>
      <w:r w:rsidRPr="00FC4001">
        <w:rPr>
          <w:rFonts w:ascii="Times New Roman" w:hAnsi="Times New Roman" w:cs="Times New Roman"/>
          <w:sz w:val="20"/>
          <w:szCs w:val="21"/>
        </w:rPr>
        <w:t xml:space="preserve"> stimulated by different doses of ultrasound intensities (left) and the corresponding quantitative analysis (right); n&gt;3 per group. The results are expressed as the mean ± SEM (NS indicates not significant, *P&lt;0.05, **P&lt;0.01, ***P&lt;0.001, compared with the control or model group).</w:t>
      </w:r>
    </w:p>
    <w:p w:rsidR="00451C51" w:rsidRPr="00275BC9" w:rsidRDefault="00451C51" w:rsidP="00451C51">
      <w:pPr>
        <w:spacing w:line="480" w:lineRule="auto"/>
        <w:rPr>
          <w:rFonts w:ascii="Times New Roman" w:hAnsi="Times New Roman" w:cs="Times New Roman"/>
          <w:sz w:val="20"/>
          <w:szCs w:val="21"/>
        </w:rPr>
      </w:pPr>
    </w:p>
    <w:p w:rsidR="00451C51" w:rsidRPr="00FC4001" w:rsidRDefault="00451C51" w:rsidP="00451C51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001">
        <w:rPr>
          <w:rFonts w:ascii="Times New Roman" w:hAnsi="Times New Roman" w:cs="Times New Roman"/>
          <w:b/>
          <w:bCs/>
          <w:sz w:val="20"/>
          <w:szCs w:val="20"/>
        </w:rPr>
        <w:t>Supplemental 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3</w:t>
      </w:r>
      <w:proofErr w:type="gramStart"/>
      <w:r w:rsidRPr="00FC400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The</w:t>
      </w:r>
      <w:proofErr w:type="gramEnd"/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role of pp2 in the effects of LIPUS on </w:t>
      </w:r>
      <w:proofErr w:type="spellStart"/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AngII</w:t>
      </w:r>
      <w:proofErr w:type="spellEnd"/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-induced cardiac hypertrophy.</w:t>
      </w:r>
    </w:p>
    <w:p w:rsidR="00451C51" w:rsidRDefault="00451C51" w:rsidP="00451C51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mRNA expression levels of ANP and BNP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) as well as α-MHC and β-MHC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in </w:t>
      </w:r>
      <w:proofErr w:type="spellStart"/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cardiomyocytes</w:t>
      </w:r>
      <w:proofErr w:type="spellEnd"/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the control group, the model groups with/without pp2 pretreatment, and the LIPUS treatment groups with/without pp2 pretreatment; n&gt;3 per group. All mRNA and protein expression levels were normalized to GAPDH. The results are expressed as the mean ± SEM (NS indicates not significant, *P&lt;0.05, **P&lt;0.01, ***P&lt;0.001).</w:t>
      </w:r>
    </w:p>
    <w:p w:rsidR="00451C51" w:rsidRDefault="00451C51" w:rsidP="00451C51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451C51" w:rsidRPr="00D4235E" w:rsidRDefault="00451C51" w:rsidP="00451C51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t>Supplemental Table 1: List of utilized primers for q-PCR:</w:t>
      </w:r>
    </w:p>
    <w:p w:rsidR="00451C51" w:rsidRPr="00F321C7" w:rsidRDefault="00451C51" w:rsidP="00451C51">
      <w:pPr>
        <w:spacing w:line="480" w:lineRule="auto"/>
        <w:rPr>
          <w:rFonts w:ascii="Times New Roman" w:hAnsi="Times New Roman" w:cs="Times New Roman"/>
        </w:rPr>
      </w:pPr>
    </w:p>
    <w:p w:rsidR="00451C51" w:rsidRPr="00275BC9" w:rsidRDefault="00451C51" w:rsidP="00451C51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lastRenderedPageBreak/>
        <w:t>Supplemental Table 2: Different ultrasound intensities and their corresponding voltages used in our study.</w:t>
      </w:r>
    </w:p>
    <w:p w:rsidR="00451C51" w:rsidRPr="00F321C7" w:rsidRDefault="00451C51" w:rsidP="00451C51">
      <w:pPr>
        <w:spacing w:line="480" w:lineRule="auto"/>
        <w:rPr>
          <w:rFonts w:ascii="Times New Roman" w:hAnsi="Times New Roman" w:cs="Times New Roman"/>
        </w:rPr>
      </w:pPr>
    </w:p>
    <w:p w:rsidR="00451C51" w:rsidRPr="00275BC9" w:rsidRDefault="00451C51" w:rsidP="00451C51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D4235E">
        <w:rPr>
          <w:rFonts w:ascii="Times New Roman" w:hAnsi="Times New Roman" w:cs="Times New Roman"/>
          <w:b/>
          <w:bCs/>
          <w:sz w:val="20"/>
          <w:szCs w:val="21"/>
        </w:rPr>
        <w:t xml:space="preserve">Supplemental Table 3: </w:t>
      </w:r>
      <w:proofErr w:type="spellStart"/>
      <w:r w:rsidRPr="00D4235E">
        <w:rPr>
          <w:rFonts w:ascii="Times New Roman" w:hAnsi="Times New Roman" w:cs="Times New Roman"/>
          <w:b/>
          <w:bCs/>
          <w:sz w:val="20"/>
          <w:szCs w:val="21"/>
        </w:rPr>
        <w:t>Echocardiographic</w:t>
      </w:r>
      <w:proofErr w:type="spellEnd"/>
      <w:r w:rsidRPr="00D4235E">
        <w:rPr>
          <w:rFonts w:ascii="Times New Roman" w:hAnsi="Times New Roman" w:cs="Times New Roman"/>
          <w:b/>
          <w:bCs/>
          <w:sz w:val="20"/>
          <w:szCs w:val="21"/>
        </w:rPr>
        <w:t xml:space="preserve"> data of left ventricular function at the end of 2 weeks.</w:t>
      </w:r>
    </w:p>
    <w:p w:rsidR="00451C51" w:rsidRPr="00D4235E" w:rsidRDefault="00451C51" w:rsidP="00451C51">
      <w:pPr>
        <w:spacing w:line="480" w:lineRule="auto"/>
        <w:jc w:val="left"/>
        <w:rPr>
          <w:rFonts w:ascii="Times New Roman" w:hAnsi="Times New Roman" w:cs="Times New Roman"/>
          <w:sz w:val="20"/>
          <w:szCs w:val="21"/>
        </w:rPr>
      </w:pPr>
      <w:r w:rsidRPr="00D4235E">
        <w:rPr>
          <w:rFonts w:ascii="Times New Roman" w:hAnsi="Times New Roman" w:cs="Times New Roman"/>
          <w:sz w:val="20"/>
          <w:szCs w:val="21"/>
        </w:rPr>
        <w:t xml:space="preserve">The mice were randomly assigned to the control group, the model </w:t>
      </w:r>
      <w:proofErr w:type="gramStart"/>
      <w:r w:rsidRPr="00D4235E">
        <w:rPr>
          <w:rFonts w:ascii="Times New Roman" w:hAnsi="Times New Roman" w:cs="Times New Roman"/>
          <w:sz w:val="20"/>
          <w:szCs w:val="21"/>
        </w:rPr>
        <w:t>group,</w:t>
      </w:r>
      <w:proofErr w:type="gramEnd"/>
      <w:r w:rsidRPr="00D4235E">
        <w:rPr>
          <w:rFonts w:ascii="Times New Roman" w:hAnsi="Times New Roman" w:cs="Times New Roman"/>
          <w:sz w:val="20"/>
          <w:szCs w:val="21"/>
        </w:rPr>
        <w:t xml:space="preserve"> the LIPUS control group, and the treatment group. The mice were implanted of an ALZET 2004 osmotic mini-pump filled with either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AngII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(2.5 mg · kg</w:t>
      </w:r>
      <w:r w:rsidRPr="00D4235E">
        <w:rPr>
          <w:rFonts w:ascii="Times New Roman" w:eastAsia="Microsoft YaHei" w:hAnsi="Times New Roman" w:cs="Times New Roman"/>
          <w:sz w:val="20"/>
          <w:szCs w:val="21"/>
          <w:vertAlign w:val="superscript"/>
        </w:rPr>
        <w:t>−</w:t>
      </w:r>
      <w:r w:rsidRPr="00D4235E">
        <w:rPr>
          <w:rFonts w:ascii="Times New Roman" w:hAnsi="Times New Roman" w:cs="Times New Roman"/>
          <w:sz w:val="20"/>
          <w:szCs w:val="21"/>
        </w:rPr>
        <w:t xml:space="preserve">1 </w:t>
      </w:r>
      <w:r w:rsidRPr="00D4235E">
        <w:rPr>
          <w:rFonts w:ascii="Times New Roman" w:eastAsia="等线" w:hAnsi="Times New Roman" w:cs="Times New Roman"/>
          <w:sz w:val="20"/>
          <w:szCs w:val="21"/>
        </w:rPr>
        <w:t>·</w:t>
      </w:r>
      <w:r w:rsidRPr="00D4235E">
        <w:rPr>
          <w:rFonts w:ascii="Times New Roman" w:hAnsi="Times New Roman" w:cs="Times New Roman"/>
          <w:sz w:val="20"/>
          <w:szCs w:val="21"/>
        </w:rPr>
        <w:t xml:space="preserve"> d</w:t>
      </w:r>
      <w:r w:rsidRPr="00D4235E">
        <w:rPr>
          <w:rFonts w:ascii="Times New Roman" w:eastAsia="Microsoft YaHei" w:hAnsi="Times New Roman" w:cs="Times New Roman"/>
          <w:sz w:val="20"/>
          <w:szCs w:val="21"/>
          <w:vertAlign w:val="superscript"/>
        </w:rPr>
        <w:t>−</w:t>
      </w:r>
      <w:r w:rsidRPr="00D4235E">
        <w:rPr>
          <w:rFonts w:ascii="Times New Roman" w:hAnsi="Times New Roman" w:cs="Times New Roman"/>
          <w:sz w:val="20"/>
          <w:szCs w:val="21"/>
          <w:vertAlign w:val="superscript"/>
        </w:rPr>
        <w:t>1</w:t>
      </w:r>
      <w:r w:rsidRPr="00D4235E">
        <w:rPr>
          <w:rFonts w:ascii="Times New Roman" w:hAnsi="Times New Roman" w:cs="Times New Roman"/>
          <w:sz w:val="20"/>
          <w:szCs w:val="21"/>
        </w:rPr>
        <w:t xml:space="preserve">) or PBS subcutaneously under anesthesia for 4 successive weeks. The treatment group and the LIPUS control group underwent LIPUS irradiation for 20 minutes under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isoflurane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anesthesia every 2 days from 1 week before surgery to 4 weeks after surgery.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Transthoracic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echocardiographic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images of mice hearts were acquired at the end of 2 weeks after surgery using an ultrasound system. The results are expressed as the </w:t>
      </w:r>
      <w:proofErr w:type="spellStart"/>
      <w:r w:rsidRPr="00D4235E">
        <w:rPr>
          <w:rFonts w:ascii="Times New Roman" w:hAnsi="Times New Roman" w:cs="Times New Roman"/>
          <w:sz w:val="20"/>
          <w:szCs w:val="21"/>
        </w:rPr>
        <w:t>mean</w:t>
      </w:r>
      <w:r w:rsidRPr="00D4235E">
        <w:rPr>
          <w:rFonts w:ascii="Times New Roman" w:eastAsia="等线" w:hAnsi="Times New Roman" w:cs="Times New Roman"/>
          <w:sz w:val="20"/>
          <w:szCs w:val="21"/>
        </w:rPr>
        <w:t>±</w:t>
      </w:r>
      <w:r w:rsidRPr="00D4235E">
        <w:rPr>
          <w:rFonts w:ascii="Times New Roman" w:hAnsi="Times New Roman" w:cs="Times New Roman"/>
          <w:sz w:val="20"/>
          <w:szCs w:val="21"/>
        </w:rPr>
        <w:t>SEM</w:t>
      </w:r>
      <w:proofErr w:type="spellEnd"/>
      <w:r w:rsidRPr="00D4235E">
        <w:rPr>
          <w:rFonts w:ascii="Times New Roman" w:hAnsi="Times New Roman" w:cs="Times New Roman"/>
          <w:sz w:val="20"/>
          <w:szCs w:val="21"/>
        </w:rPr>
        <w:t xml:space="preserve"> (LVEF: left ventricular ejection fraction; LVFS: left ventricular fractional shortening; </w:t>
      </w:r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LVIDs: LV internal diameters at end systole; </w:t>
      </w:r>
      <w:proofErr w:type="spellStart"/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>LVIDd</w:t>
      </w:r>
      <w:proofErr w:type="spellEnd"/>
      <w:r w:rsidRPr="00D4235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LV internal diameters at end diastole; </w:t>
      </w:r>
      <w:r w:rsidRPr="00D4235E">
        <w:rPr>
          <w:rFonts w:ascii="Times New Roman" w:hAnsi="Times New Roman" w:cs="Times New Roman"/>
          <w:sz w:val="20"/>
          <w:szCs w:val="21"/>
        </w:rPr>
        <w:t xml:space="preserve">*P&lt;0.05 versus </w:t>
      </w:r>
      <w:proofErr w:type="gramStart"/>
      <w:r w:rsidRPr="00D4235E">
        <w:rPr>
          <w:rFonts w:ascii="Times New Roman" w:hAnsi="Times New Roman" w:cs="Times New Roman"/>
          <w:sz w:val="20"/>
          <w:szCs w:val="21"/>
        </w:rPr>
        <w:t>The</w:t>
      </w:r>
      <w:proofErr w:type="gramEnd"/>
      <w:r w:rsidRPr="00D4235E">
        <w:rPr>
          <w:rFonts w:ascii="Times New Roman" w:hAnsi="Times New Roman" w:cs="Times New Roman"/>
          <w:sz w:val="20"/>
          <w:szCs w:val="21"/>
        </w:rPr>
        <w:t xml:space="preserve"> control group; #p&lt;0.05 versus The model group).</w:t>
      </w:r>
    </w:p>
    <w:p w:rsidR="009C08F5" w:rsidRDefault="009C08F5"/>
    <w:sectPr w:rsidR="009C08F5" w:rsidSect="00E8367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24380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17B7F" w:rsidRDefault="00451C51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17B7F" w:rsidRDefault="00451C51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20"/>
  <w:characterSpacingControl w:val="doNotCompress"/>
  <w:compat/>
  <w:rsids>
    <w:rsidRoot w:val="00451C51"/>
    <w:rsid w:val="00451C51"/>
    <w:rsid w:val="009C0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C5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51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51C51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2020-06-25T10:28:00Z</dcterms:created>
  <dcterms:modified xsi:type="dcterms:W3CDTF">2020-06-25T10:28:00Z</dcterms:modified>
</cp:coreProperties>
</file>