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C8FAC" w14:textId="182FE349" w:rsidR="00237E85" w:rsidRDefault="001C2B89">
      <w:r>
        <w:rPr>
          <w:noProof/>
        </w:rPr>
        <w:drawing>
          <wp:inline distT="0" distB="0" distL="0" distR="0" wp14:anchorId="571AC538" wp14:editId="399B0F53">
            <wp:extent cx="6143625" cy="279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F3659" w14:textId="2E44AB1B" w:rsidR="001C2B89" w:rsidRDefault="001C2B89"/>
    <w:p w14:paraId="1B64FC2F" w14:textId="6B3723DD" w:rsidR="001C2B89" w:rsidRPr="00B926A8" w:rsidRDefault="000E07CB" w:rsidP="00B926A8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6</w:t>
      </w:r>
      <w:bookmarkStart w:id="0" w:name="_GoBack"/>
      <w:bookmarkEnd w:id="0"/>
      <w:r w:rsidR="00C054C0" w:rsidRPr="00A21A3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6025D">
        <w:rPr>
          <w:rFonts w:asciiTheme="majorBidi" w:hAnsiTheme="majorBidi" w:cstheme="majorBidi"/>
          <w:sz w:val="24"/>
          <w:szCs w:val="24"/>
        </w:rPr>
        <w:t xml:space="preserve"> </w:t>
      </w:r>
      <w:r w:rsidR="00B926A8" w:rsidRPr="00B926A8">
        <w:rPr>
          <w:rFonts w:asciiTheme="majorBidi" w:hAnsiTheme="majorBidi" w:cstheme="majorBidi"/>
          <w:sz w:val="24"/>
          <w:szCs w:val="24"/>
        </w:rPr>
        <w:t>The DNA sequences of the sensitive reference sample (MK043740) along with the treatment-sensitive (9 and 10) and the resistant samples (11 and 12) of the current study, based on the NR1 gene.</w:t>
      </w:r>
    </w:p>
    <w:sectPr w:rsidR="001C2B89" w:rsidRPr="00B926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F0C8B"/>
    <w:rsid w:val="000E07CB"/>
    <w:rsid w:val="001C2B89"/>
    <w:rsid w:val="00237E85"/>
    <w:rsid w:val="006B524C"/>
    <w:rsid w:val="0086025D"/>
    <w:rsid w:val="008F0C8B"/>
    <w:rsid w:val="00907E72"/>
    <w:rsid w:val="00B926A8"/>
    <w:rsid w:val="00C054C0"/>
    <w:rsid w:val="00E5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7B0A2"/>
  <w15:chartTrackingRefBased/>
  <w15:docId w15:val="{8CBE6288-A539-4234-8A58-26317448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2023-10-17T09:29:00Z</dcterms:created>
  <dcterms:modified xsi:type="dcterms:W3CDTF">2023-12-02T17:08:00Z</dcterms:modified>
</cp:coreProperties>
</file>