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81014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000000" w:themeColor="text1"/>
          <w:lang w:val="en-US"/>
        </w:rPr>
      </w:pPr>
      <w:r w:rsidRPr="00B972C5">
        <w:rPr>
          <w:rFonts w:asciiTheme="majorBidi" w:hAnsiTheme="majorBidi" w:cstheme="majorBidi"/>
          <w:b/>
          <w:color w:val="000000" w:themeColor="text1"/>
          <w:lang w:val="en-US"/>
        </w:rPr>
        <w:t>Supplementary Table 1.</w:t>
      </w:r>
      <w:r w:rsidRPr="00B972C5">
        <w:rPr>
          <w:rFonts w:asciiTheme="majorBidi" w:hAnsiTheme="majorBidi" w:cstheme="majorBidi"/>
          <w:color w:val="000000" w:themeColor="text1"/>
          <w:lang w:val="en-US"/>
        </w:rPr>
        <w:t xml:space="preserve"> Safety during neoadjuvant and adjuvant treatment. </w:t>
      </w:r>
    </w:p>
    <w:p w14:paraId="671D72C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  <w:r w:rsidRPr="00B972C5"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101EA4B0" wp14:editId="02A0B1D5">
            <wp:extent cx="3647783" cy="6618470"/>
            <wp:effectExtent l="0" t="0" r="0" b="0"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7783" cy="661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9403D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  <w:r w:rsidRPr="00B972C5">
        <w:rPr>
          <w:rFonts w:asciiTheme="majorBidi" w:hAnsiTheme="majorBidi" w:cstheme="majorBidi"/>
          <w:color w:val="000000" w:themeColor="text1"/>
          <w:vertAlign w:val="superscript"/>
          <w:lang w:val="en-US"/>
        </w:rPr>
        <w:t>a</w:t>
      </w:r>
      <w:r w:rsidRPr="00B972C5">
        <w:rPr>
          <w:rFonts w:asciiTheme="majorBidi" w:hAnsiTheme="majorBidi" w:cstheme="majorBidi"/>
          <w:color w:val="000000" w:themeColor="text1"/>
          <w:lang w:val="en-US"/>
        </w:rPr>
        <w:t xml:space="preserve">osteomyelitis was not </w:t>
      </w:r>
      <w:r>
        <w:rPr>
          <w:rFonts w:asciiTheme="majorBidi" w:hAnsiTheme="majorBidi" w:cstheme="majorBidi"/>
          <w:color w:val="000000" w:themeColor="text1"/>
          <w:lang w:val="en-US"/>
        </w:rPr>
        <w:t xml:space="preserve">thought to be </w:t>
      </w:r>
      <w:r w:rsidRPr="00B972C5">
        <w:rPr>
          <w:rFonts w:asciiTheme="majorBidi" w:hAnsiTheme="majorBidi" w:cstheme="majorBidi"/>
          <w:color w:val="000000" w:themeColor="text1"/>
          <w:lang w:val="en-US"/>
        </w:rPr>
        <w:t>treatment-related</w:t>
      </w:r>
    </w:p>
    <w:p w14:paraId="16B25F58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54007E1F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31F34C3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000000" w:themeColor="text1"/>
          <w:lang w:val="en-US"/>
        </w:rPr>
      </w:pPr>
      <w:r w:rsidRPr="00B972C5">
        <w:rPr>
          <w:rFonts w:asciiTheme="majorBidi" w:hAnsiTheme="majorBidi" w:cstheme="majorBidi"/>
          <w:b/>
          <w:bCs/>
          <w:color w:val="000000" w:themeColor="text1"/>
          <w:lang w:val="en-US"/>
        </w:rPr>
        <w:lastRenderedPageBreak/>
        <w:t>Supplementary Table 2:</w:t>
      </w:r>
      <w:r w:rsidRPr="00B972C5">
        <w:rPr>
          <w:rFonts w:asciiTheme="majorBidi" w:hAnsiTheme="majorBidi" w:cstheme="majorBidi"/>
          <w:color w:val="000000" w:themeColor="text1"/>
          <w:lang w:val="en-US"/>
        </w:rPr>
        <w:t xml:space="preserve"> 1-, 2- and 3-year overall survival stratified by MPR status</w:t>
      </w:r>
    </w:p>
    <w:p w14:paraId="5DBFDBD4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tbl>
      <w:tblPr>
        <w:tblpPr w:leftFromText="180" w:rightFromText="180" w:vertAnchor="text" w:horzAnchor="page" w:tblpX="2445" w:tblpY="161"/>
        <w:tblW w:w="7225" w:type="dxa"/>
        <w:tblLook w:val="04A0" w:firstRow="1" w:lastRow="0" w:firstColumn="1" w:lastColumn="0" w:noHBand="0" w:noVBand="1"/>
      </w:tblPr>
      <w:tblGrid>
        <w:gridCol w:w="2122"/>
        <w:gridCol w:w="1925"/>
        <w:gridCol w:w="1260"/>
        <w:gridCol w:w="1918"/>
      </w:tblGrid>
      <w:tr w:rsidR="00BA1E44" w:rsidRPr="00B972C5" w14:paraId="7FEF3674" w14:textId="77777777" w:rsidTr="003C61BE">
        <w:trPr>
          <w:trHeight w:val="34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4BE7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 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A85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Cohort total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1AFA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Non-MPR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DA3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MPR</w:t>
            </w:r>
          </w:p>
        </w:tc>
      </w:tr>
      <w:tr w:rsidR="00BA1E44" w:rsidRPr="00B972C5" w14:paraId="730C5B73" w14:textId="77777777" w:rsidTr="003C61BE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0A3C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1-year OS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70A5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46/50 (92%)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4367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37/41 (90%)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C1F9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9/9 (100%)</w:t>
            </w:r>
          </w:p>
        </w:tc>
      </w:tr>
      <w:tr w:rsidR="00BA1E44" w:rsidRPr="00B972C5" w14:paraId="3C7E647A" w14:textId="77777777" w:rsidTr="003C61BE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3D7E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2-year OS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E835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31/39 (79%)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267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23/31 (74%)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CFE6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8/8 (100%)</w:t>
            </w:r>
          </w:p>
        </w:tc>
      </w:tr>
      <w:tr w:rsidR="00BA1E44" w:rsidRPr="00B972C5" w14:paraId="6F371C1B" w14:textId="77777777" w:rsidTr="003C61BE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5F74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lang w:val="en-US"/>
              </w:rPr>
              <w:t>3-year OS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DBC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18/26 (69%)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6433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13/21 (62%)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A51D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lang w:val="en-US"/>
              </w:rPr>
              <w:t>5/5 (100%)</w:t>
            </w:r>
          </w:p>
        </w:tc>
      </w:tr>
    </w:tbl>
    <w:p w14:paraId="303E181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592F13EE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7E1C68AD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22E89F2C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512F2B3B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199A64E1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531CDB89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151F01C5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6193A4BA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78235C51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4472C4" w:themeColor="accent1"/>
          <w:lang w:val="en-US"/>
        </w:rPr>
      </w:pPr>
    </w:p>
    <w:p w14:paraId="7F998D14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40C629A2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0D37FEF3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383C749D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025277B1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30C66DCF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476F73FF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19C1C74B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3A0750ED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45B8754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5078152F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color w:val="000000" w:themeColor="text1"/>
          <w:lang w:val="en-US"/>
        </w:rPr>
      </w:pPr>
    </w:p>
    <w:p w14:paraId="29D19799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color w:val="000000" w:themeColor="text1"/>
          <w:lang w:val="en-US"/>
        </w:rPr>
      </w:pPr>
      <w:r w:rsidRPr="00B972C5">
        <w:rPr>
          <w:rFonts w:asciiTheme="majorBidi" w:hAnsiTheme="majorBidi" w:cstheme="majorBidi"/>
          <w:b/>
          <w:color w:val="000000" w:themeColor="text1"/>
          <w:lang w:val="en-US"/>
        </w:rPr>
        <w:lastRenderedPageBreak/>
        <w:t>Supplementary Table 3.</w:t>
      </w:r>
      <w:r w:rsidRPr="00B972C5">
        <w:rPr>
          <w:rFonts w:asciiTheme="majorBidi" w:hAnsiTheme="majorBidi" w:cstheme="majorBidi"/>
          <w:color w:val="000000" w:themeColor="text1"/>
          <w:lang w:val="en-US"/>
        </w:rPr>
        <w:t xml:space="preserve"> Surgical pathology</w:t>
      </w:r>
    </w:p>
    <w:p w14:paraId="68B1952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tbl>
      <w:tblPr>
        <w:tblW w:w="4740" w:type="dxa"/>
        <w:tblInd w:w="228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00"/>
        <w:gridCol w:w="1640"/>
      </w:tblGrid>
      <w:tr w:rsidR="00BA1E44" w:rsidRPr="00B972C5" w14:paraId="4FCA53D2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FB411CB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A1B9906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 n/median (%/range)</w:t>
            </w:r>
          </w:p>
        </w:tc>
      </w:tr>
      <w:tr w:rsidR="00BA1E44" w:rsidRPr="00B972C5" w14:paraId="11E6C975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FFE748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kern w:val="24"/>
                <w:lang w:val="en-US"/>
              </w:rPr>
              <w:t>Margin status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FCA608C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</w:p>
        </w:tc>
      </w:tr>
      <w:tr w:rsidR="00BA1E44" w:rsidRPr="00B972C5" w14:paraId="51F66343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DCB44E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R0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A1E2821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48 (96)</w:t>
            </w:r>
          </w:p>
        </w:tc>
      </w:tr>
      <w:tr w:rsidR="00BA1E44" w:rsidRPr="00B972C5" w14:paraId="109F0897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4AE30B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R1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7F517CD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 (4)</w:t>
            </w:r>
          </w:p>
        </w:tc>
      </w:tr>
      <w:tr w:rsidR="00BA1E44" w:rsidRPr="00B972C5" w14:paraId="4A66D1DC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938BC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kern w:val="24"/>
                <w:lang w:val="en-US"/>
              </w:rPr>
              <w:t>ypT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260C3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 </w:t>
            </w:r>
          </w:p>
        </w:tc>
      </w:tr>
      <w:tr w:rsidR="00BA1E44" w:rsidRPr="00B972C5" w14:paraId="40A0B030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58DC787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B2C616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7 (14)</w:t>
            </w:r>
          </w:p>
        </w:tc>
      </w:tr>
      <w:tr w:rsidR="00BA1E44" w:rsidRPr="00B972C5" w14:paraId="3BF35796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F93F521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1b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A2FEF1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6 (12)</w:t>
            </w:r>
          </w:p>
        </w:tc>
      </w:tr>
      <w:tr w:rsidR="00BA1E44" w:rsidRPr="00B972C5" w14:paraId="76644B68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173EB5D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190867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7 (14)</w:t>
            </w:r>
          </w:p>
        </w:tc>
      </w:tr>
      <w:tr w:rsidR="00BA1E44" w:rsidRPr="00B972C5" w14:paraId="052261EE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0ADC0FB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4D11BC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26 (52)</w:t>
            </w:r>
          </w:p>
        </w:tc>
      </w:tr>
      <w:tr w:rsidR="00BA1E44" w:rsidRPr="00B972C5" w14:paraId="028BE881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313A9E3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4a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69310E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 (4)</w:t>
            </w:r>
          </w:p>
        </w:tc>
      </w:tr>
      <w:tr w:rsidR="00BA1E44" w:rsidRPr="00B972C5" w14:paraId="3C857EDE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6342DA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4b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708829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 (4)</w:t>
            </w:r>
          </w:p>
        </w:tc>
      </w:tr>
      <w:tr w:rsidR="00BA1E44" w:rsidRPr="00B972C5" w14:paraId="430C5CA3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0D919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kern w:val="24"/>
                <w:lang w:val="en-US"/>
              </w:rPr>
              <w:t>ypN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574BD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 </w:t>
            </w:r>
          </w:p>
        </w:tc>
      </w:tr>
      <w:tr w:rsidR="00BA1E44" w:rsidRPr="00B972C5" w14:paraId="34198EF3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ABB38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9FD43A9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24 (48)</w:t>
            </w:r>
          </w:p>
        </w:tc>
      </w:tr>
      <w:tr w:rsidR="00BA1E44" w:rsidRPr="00B972C5" w14:paraId="6F107DC4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DD0F9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1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296D25A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13 (26)</w:t>
            </w:r>
          </w:p>
        </w:tc>
      </w:tr>
      <w:tr w:rsidR="00BA1E44" w:rsidRPr="00B972C5" w14:paraId="44FA605C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B5B573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3FEE740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6 (12)</w:t>
            </w:r>
          </w:p>
        </w:tc>
      </w:tr>
      <w:tr w:rsidR="00BA1E44" w:rsidRPr="00B972C5" w14:paraId="7DF5DB9B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F88A8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A3A69B4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5 (10)</w:t>
            </w:r>
          </w:p>
        </w:tc>
      </w:tr>
      <w:tr w:rsidR="00BA1E44" w:rsidRPr="00B972C5" w14:paraId="66AA7F4B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6B28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3b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22AFFF8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2 (4)</w:t>
            </w:r>
          </w:p>
        </w:tc>
      </w:tr>
      <w:tr w:rsidR="00BA1E44" w:rsidRPr="00B972C5" w14:paraId="24387B02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254E9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b/>
                <w:color w:val="000000"/>
                <w:kern w:val="24"/>
                <w:lang w:val="en-US"/>
              </w:rPr>
              <w:t>ypM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0415E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 </w:t>
            </w:r>
          </w:p>
        </w:tc>
      </w:tr>
      <w:tr w:rsidR="00BA1E44" w:rsidRPr="00B972C5" w14:paraId="326973E1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3B69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611C2C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49 (98)</w:t>
            </w:r>
          </w:p>
        </w:tc>
      </w:tr>
      <w:tr w:rsidR="00BA1E44" w:rsidRPr="00B972C5" w14:paraId="1FE337E3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F4BB1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lastRenderedPageBreak/>
              <w:t>1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E578DA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1 (2)</w:t>
            </w:r>
          </w:p>
        </w:tc>
      </w:tr>
      <w:tr w:rsidR="00BA1E44" w:rsidRPr="00B972C5" w14:paraId="7500B22F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3B39D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Lymph nodes resected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E780F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36 (13-78)</w:t>
            </w:r>
          </w:p>
        </w:tc>
      </w:tr>
      <w:tr w:rsidR="00BA1E44" w:rsidRPr="00B972C5" w14:paraId="694A0438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0B401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Lymph nodes positive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658D1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 1 (0-21)</w:t>
            </w:r>
          </w:p>
        </w:tc>
      </w:tr>
      <w:tr w:rsidR="00BA1E44" w:rsidRPr="00B972C5" w14:paraId="0E9D2911" w14:textId="77777777" w:rsidTr="003C61BE">
        <w:trPr>
          <w:trHeight w:val="288"/>
        </w:trPr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0BE52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Lymph nodes negative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231CB" w14:textId="77777777" w:rsidR="00BA1E44" w:rsidRPr="00B972C5" w:rsidRDefault="00BA1E44" w:rsidP="003C61BE">
            <w:pPr>
              <w:spacing w:line="48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B972C5">
              <w:rPr>
                <w:rFonts w:asciiTheme="majorBidi" w:eastAsia="Times New Roman" w:hAnsiTheme="majorBidi" w:cstheme="majorBidi"/>
                <w:color w:val="000000"/>
                <w:kern w:val="24"/>
                <w:lang w:val="en-US"/>
              </w:rPr>
              <w:t>32 (6-74)</w:t>
            </w:r>
          </w:p>
        </w:tc>
      </w:tr>
    </w:tbl>
    <w:p w14:paraId="3E3D2F5E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C4EF9D9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0CD3C55D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334737D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E36B9CE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2482E73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CEDA2A4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5385501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3C5F168B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26F09A34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7589035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BA140D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441F84A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1DEE37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EC9D328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3FB66778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53AC3A70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14ABE58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B74FFC5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5285258C" w14:textId="77777777" w:rsidR="00BA1E44" w:rsidRPr="006B5DBE" w:rsidRDefault="00BA1E44" w:rsidP="00BA1E44">
      <w:pPr>
        <w:spacing w:line="480" w:lineRule="auto"/>
        <w:rPr>
          <w:rFonts w:asciiTheme="majorBidi" w:hAnsiTheme="majorBidi" w:cstheme="majorBidi"/>
          <w:b/>
          <w:lang w:val="en-CA"/>
        </w:rPr>
      </w:pPr>
      <w:r>
        <w:rPr>
          <w:rFonts w:asciiTheme="majorBidi" w:hAnsiTheme="majorBidi" w:cstheme="majorBidi"/>
          <w:b/>
          <w:lang w:val="en-US"/>
        </w:rPr>
        <w:lastRenderedPageBreak/>
        <w:t xml:space="preserve">Supplementary table 4i. </w:t>
      </w:r>
      <w:r w:rsidRPr="00AE1B72">
        <w:rPr>
          <w:rFonts w:asciiTheme="majorBidi" w:hAnsiTheme="majorBidi" w:cstheme="majorBidi"/>
          <w:bCs/>
          <w:lang w:val="en-CA"/>
        </w:rPr>
        <w:t>Immune cell density (counts/mm</w:t>
      </w:r>
      <w:r w:rsidRPr="00AE1B72">
        <w:rPr>
          <w:rFonts w:asciiTheme="majorBidi" w:hAnsiTheme="majorBidi" w:cstheme="majorBidi"/>
          <w:bCs/>
          <w:vertAlign w:val="superscript"/>
          <w:lang w:val="en-CA"/>
        </w:rPr>
        <w:t>2</w:t>
      </w:r>
      <w:r w:rsidRPr="00AE1B72">
        <w:rPr>
          <w:rFonts w:asciiTheme="majorBidi" w:hAnsiTheme="majorBidi" w:cstheme="majorBidi"/>
          <w:bCs/>
          <w:lang w:val="en-CA"/>
        </w:rPr>
        <w:t>) in biopsy tissues</w:t>
      </w:r>
      <w:r>
        <w:rPr>
          <w:rFonts w:asciiTheme="majorBidi" w:hAnsiTheme="majorBidi" w:cstheme="majorBidi"/>
          <w:bCs/>
          <w:lang w:val="en-CA"/>
        </w:rPr>
        <w:t xml:space="preserve"> stratified by pathological response </w:t>
      </w:r>
    </w:p>
    <w:tbl>
      <w:tblPr>
        <w:tblStyle w:val="TableGrid"/>
        <w:tblW w:w="9900" w:type="dxa"/>
        <w:tblLook w:val="0420" w:firstRow="1" w:lastRow="0" w:firstColumn="0" w:lastColumn="0" w:noHBand="0" w:noVBand="1"/>
      </w:tblPr>
      <w:tblGrid>
        <w:gridCol w:w="1416"/>
        <w:gridCol w:w="1136"/>
        <w:gridCol w:w="927"/>
        <w:gridCol w:w="1209"/>
        <w:gridCol w:w="989"/>
        <w:gridCol w:w="1136"/>
        <w:gridCol w:w="1006"/>
        <w:gridCol w:w="1136"/>
        <w:gridCol w:w="945"/>
      </w:tblGrid>
      <w:tr w:rsidR="00BA1E44" w:rsidRPr="00AE1B72" w14:paraId="0D4C0F60" w14:textId="77777777" w:rsidTr="003C61BE">
        <w:trPr>
          <w:trHeight w:val="950"/>
        </w:trPr>
        <w:tc>
          <w:tcPr>
            <w:tcW w:w="1416" w:type="dxa"/>
            <w:vMerge w:val="restart"/>
            <w:hideMark/>
          </w:tcPr>
          <w:p w14:paraId="58FE44CC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Pathological response</w:t>
            </w:r>
          </w:p>
        </w:tc>
        <w:tc>
          <w:tcPr>
            <w:tcW w:w="2063" w:type="dxa"/>
            <w:gridSpan w:val="2"/>
            <w:hideMark/>
          </w:tcPr>
          <w:p w14:paraId="2DA23741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M2-TAMs </w:t>
            </w:r>
          </w:p>
          <w:p w14:paraId="432E76BB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median (95% CI)</w:t>
            </w:r>
          </w:p>
        </w:tc>
        <w:tc>
          <w:tcPr>
            <w:tcW w:w="2198" w:type="dxa"/>
            <w:gridSpan w:val="2"/>
            <w:hideMark/>
          </w:tcPr>
          <w:p w14:paraId="688DADA9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Tregs</w:t>
            </w:r>
          </w:p>
          <w:p w14:paraId="1E4C2269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median (95% CI)</w:t>
            </w:r>
          </w:p>
        </w:tc>
        <w:tc>
          <w:tcPr>
            <w:tcW w:w="2142" w:type="dxa"/>
            <w:gridSpan w:val="2"/>
            <w:hideMark/>
          </w:tcPr>
          <w:p w14:paraId="69D0CCD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CD8+ T cells</w:t>
            </w:r>
          </w:p>
          <w:p w14:paraId="0A4F44E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median (95% CI)</w:t>
            </w:r>
          </w:p>
        </w:tc>
        <w:tc>
          <w:tcPr>
            <w:tcW w:w="2081" w:type="dxa"/>
            <w:gridSpan w:val="2"/>
            <w:hideMark/>
          </w:tcPr>
          <w:p w14:paraId="1E12070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CTLs</w:t>
            </w:r>
          </w:p>
          <w:p w14:paraId="34A3DC6D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median (95% CI)</w:t>
            </w:r>
          </w:p>
        </w:tc>
      </w:tr>
      <w:tr w:rsidR="00BA1E44" w:rsidRPr="00AE1B72" w14:paraId="421AE1C9" w14:textId="77777777" w:rsidTr="003C61BE">
        <w:trPr>
          <w:trHeight w:val="337"/>
        </w:trPr>
        <w:tc>
          <w:tcPr>
            <w:tcW w:w="0" w:type="auto"/>
            <w:vMerge/>
            <w:hideMark/>
          </w:tcPr>
          <w:p w14:paraId="39F69E2E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</w:p>
        </w:tc>
        <w:tc>
          <w:tcPr>
            <w:tcW w:w="1136" w:type="dxa"/>
            <w:hideMark/>
          </w:tcPr>
          <w:p w14:paraId="451F2F6A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Total cells/ROI</w:t>
            </w:r>
          </w:p>
        </w:tc>
        <w:tc>
          <w:tcPr>
            <w:tcW w:w="927" w:type="dxa"/>
            <w:hideMark/>
          </w:tcPr>
          <w:p w14:paraId="586AD42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Tumor core</w:t>
            </w:r>
          </w:p>
        </w:tc>
        <w:tc>
          <w:tcPr>
            <w:tcW w:w="1209" w:type="dxa"/>
            <w:hideMark/>
          </w:tcPr>
          <w:p w14:paraId="155952BB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Total cells/ROI</w:t>
            </w:r>
          </w:p>
        </w:tc>
        <w:tc>
          <w:tcPr>
            <w:tcW w:w="989" w:type="dxa"/>
            <w:hideMark/>
          </w:tcPr>
          <w:p w14:paraId="1EC787C2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Tumor core</w:t>
            </w:r>
          </w:p>
        </w:tc>
        <w:tc>
          <w:tcPr>
            <w:tcW w:w="1136" w:type="dxa"/>
            <w:hideMark/>
          </w:tcPr>
          <w:p w14:paraId="67AFDD5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Total cells/ROI</w:t>
            </w:r>
          </w:p>
        </w:tc>
        <w:tc>
          <w:tcPr>
            <w:tcW w:w="1006" w:type="dxa"/>
            <w:hideMark/>
          </w:tcPr>
          <w:p w14:paraId="60CA3CF9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Tumor core</w:t>
            </w:r>
          </w:p>
        </w:tc>
        <w:tc>
          <w:tcPr>
            <w:tcW w:w="1136" w:type="dxa"/>
            <w:hideMark/>
          </w:tcPr>
          <w:p w14:paraId="49920069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Total cells/ROI</w:t>
            </w:r>
          </w:p>
        </w:tc>
        <w:tc>
          <w:tcPr>
            <w:tcW w:w="945" w:type="dxa"/>
            <w:hideMark/>
          </w:tcPr>
          <w:p w14:paraId="0126A1D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Tumor core</w:t>
            </w:r>
          </w:p>
        </w:tc>
      </w:tr>
      <w:tr w:rsidR="00BA1E44" w:rsidRPr="00AE1B72" w14:paraId="0F15C157" w14:textId="77777777" w:rsidTr="003C61BE">
        <w:trPr>
          <w:trHeight w:val="571"/>
        </w:trPr>
        <w:tc>
          <w:tcPr>
            <w:tcW w:w="1416" w:type="dxa"/>
            <w:hideMark/>
          </w:tcPr>
          <w:p w14:paraId="1C54B676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TRG 0/1</w:t>
            </w:r>
          </w:p>
          <w:p w14:paraId="78E89505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(n=7)</w:t>
            </w:r>
          </w:p>
        </w:tc>
        <w:tc>
          <w:tcPr>
            <w:tcW w:w="1136" w:type="dxa"/>
            <w:hideMark/>
          </w:tcPr>
          <w:p w14:paraId="0DA9DDF3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402.7 </w:t>
            </w:r>
          </w:p>
          <w:p w14:paraId="48B473F1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(168.6-859.9)</w:t>
            </w:r>
          </w:p>
        </w:tc>
        <w:tc>
          <w:tcPr>
            <w:tcW w:w="927" w:type="dxa"/>
            <w:hideMark/>
          </w:tcPr>
          <w:p w14:paraId="4DD0B506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212.8 </w:t>
            </w:r>
            <w:r w:rsidRPr="00AE1B72">
              <w:rPr>
                <w:rFonts w:asciiTheme="majorBidi" w:hAnsiTheme="majorBidi" w:cstheme="majorBidi"/>
                <w:bCs/>
                <w:vertAlign w:val="superscript"/>
                <w:lang w:val="en-US"/>
              </w:rPr>
              <w:t>*#</w:t>
            </w:r>
          </w:p>
          <w:p w14:paraId="5ABD842A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(116.2-452.9)</w:t>
            </w:r>
          </w:p>
        </w:tc>
        <w:tc>
          <w:tcPr>
            <w:tcW w:w="1209" w:type="dxa"/>
            <w:hideMark/>
          </w:tcPr>
          <w:p w14:paraId="3384290F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314.7 </w:t>
            </w:r>
          </w:p>
          <w:p w14:paraId="7027EA3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(30.2-429.3)</w:t>
            </w:r>
          </w:p>
        </w:tc>
        <w:tc>
          <w:tcPr>
            <w:tcW w:w="989" w:type="dxa"/>
            <w:hideMark/>
          </w:tcPr>
          <w:p w14:paraId="4650D13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199.2 </w:t>
            </w:r>
          </w:p>
          <w:p w14:paraId="2576FC6E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(118.3-380.5)</w:t>
            </w:r>
          </w:p>
        </w:tc>
        <w:tc>
          <w:tcPr>
            <w:tcW w:w="1136" w:type="dxa"/>
            <w:hideMark/>
          </w:tcPr>
          <w:p w14:paraId="60BECC72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210</w:t>
            </w:r>
          </w:p>
          <w:p w14:paraId="12B60C01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(83.21-571.5)</w:t>
            </w:r>
          </w:p>
        </w:tc>
        <w:tc>
          <w:tcPr>
            <w:tcW w:w="1006" w:type="dxa"/>
            <w:hideMark/>
          </w:tcPr>
          <w:p w14:paraId="6CF74CFD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253.1</w:t>
            </w:r>
          </w:p>
          <w:p w14:paraId="665182D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(74.12-4465)</w:t>
            </w:r>
          </w:p>
        </w:tc>
        <w:tc>
          <w:tcPr>
            <w:tcW w:w="1136" w:type="dxa"/>
            <w:hideMark/>
          </w:tcPr>
          <w:p w14:paraId="60145DF8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42.3</w:t>
            </w:r>
          </w:p>
          <w:p w14:paraId="0865EF5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(11.6-201.6)</w:t>
            </w:r>
          </w:p>
        </w:tc>
        <w:tc>
          <w:tcPr>
            <w:tcW w:w="945" w:type="dxa"/>
            <w:hideMark/>
          </w:tcPr>
          <w:p w14:paraId="499B2323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114.8</w:t>
            </w:r>
          </w:p>
          <w:p w14:paraId="5F9FC35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(2.4-229.2)</w:t>
            </w:r>
          </w:p>
        </w:tc>
      </w:tr>
      <w:tr w:rsidR="00BA1E44" w:rsidRPr="00AE1B72" w14:paraId="2FEE4A22" w14:textId="77777777" w:rsidTr="003C61BE">
        <w:trPr>
          <w:trHeight w:val="556"/>
        </w:trPr>
        <w:tc>
          <w:tcPr>
            <w:tcW w:w="1416" w:type="dxa"/>
            <w:hideMark/>
          </w:tcPr>
          <w:p w14:paraId="50A6ED3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TRG 2</w:t>
            </w:r>
          </w:p>
          <w:p w14:paraId="2EE62853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(n=14)</w:t>
            </w:r>
          </w:p>
        </w:tc>
        <w:tc>
          <w:tcPr>
            <w:tcW w:w="1136" w:type="dxa"/>
            <w:hideMark/>
          </w:tcPr>
          <w:p w14:paraId="4EA5C27B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372.1 </w:t>
            </w:r>
          </w:p>
          <w:p w14:paraId="4822C9B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(143.7-683.8)</w:t>
            </w:r>
          </w:p>
        </w:tc>
        <w:tc>
          <w:tcPr>
            <w:tcW w:w="927" w:type="dxa"/>
            <w:hideMark/>
          </w:tcPr>
          <w:p w14:paraId="79A153EF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262.4 </w:t>
            </w:r>
          </w:p>
          <w:p w14:paraId="3D1DEB9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(33.1-646)</w:t>
            </w:r>
          </w:p>
        </w:tc>
        <w:tc>
          <w:tcPr>
            <w:tcW w:w="1209" w:type="dxa"/>
            <w:hideMark/>
          </w:tcPr>
          <w:p w14:paraId="3FE3CBC2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294.5 </w:t>
            </w:r>
          </w:p>
          <w:p w14:paraId="210CAB65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(110.8-556.4)</w:t>
            </w:r>
          </w:p>
        </w:tc>
        <w:tc>
          <w:tcPr>
            <w:tcW w:w="989" w:type="dxa"/>
            <w:hideMark/>
          </w:tcPr>
          <w:p w14:paraId="7E17F3F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253.3 </w:t>
            </w:r>
          </w:p>
          <w:p w14:paraId="77F7465C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(117.9-705.8)</w:t>
            </w:r>
          </w:p>
        </w:tc>
        <w:tc>
          <w:tcPr>
            <w:tcW w:w="1136" w:type="dxa"/>
            <w:hideMark/>
          </w:tcPr>
          <w:p w14:paraId="64532C88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476.7</w:t>
            </w:r>
          </w:p>
          <w:p w14:paraId="65E05A03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(135.5-899.3)</w:t>
            </w:r>
          </w:p>
        </w:tc>
        <w:tc>
          <w:tcPr>
            <w:tcW w:w="1006" w:type="dxa"/>
            <w:hideMark/>
          </w:tcPr>
          <w:p w14:paraId="6AEA018D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466.3</w:t>
            </w:r>
          </w:p>
          <w:p w14:paraId="2E4A5D9C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(185.8-722.2)</w:t>
            </w:r>
          </w:p>
        </w:tc>
        <w:tc>
          <w:tcPr>
            <w:tcW w:w="1136" w:type="dxa"/>
            <w:hideMark/>
          </w:tcPr>
          <w:p w14:paraId="75F5E5FC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61.8</w:t>
            </w:r>
          </w:p>
          <w:p w14:paraId="7584FD3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(26.3-360.5)</w:t>
            </w:r>
          </w:p>
        </w:tc>
        <w:tc>
          <w:tcPr>
            <w:tcW w:w="945" w:type="dxa"/>
            <w:hideMark/>
          </w:tcPr>
          <w:p w14:paraId="09F30CD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71.6</w:t>
            </w:r>
          </w:p>
          <w:p w14:paraId="4C3F3558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(29.4-403.3)</w:t>
            </w:r>
          </w:p>
        </w:tc>
      </w:tr>
      <w:tr w:rsidR="00BA1E44" w:rsidRPr="00AE1B72" w14:paraId="36458CC4" w14:textId="77777777" w:rsidTr="003C61BE">
        <w:trPr>
          <w:trHeight w:val="498"/>
        </w:trPr>
        <w:tc>
          <w:tcPr>
            <w:tcW w:w="1416" w:type="dxa"/>
            <w:hideMark/>
          </w:tcPr>
          <w:p w14:paraId="639EDA08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TRG 3</w:t>
            </w:r>
          </w:p>
          <w:p w14:paraId="601F6362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(n=21)</w:t>
            </w:r>
          </w:p>
        </w:tc>
        <w:tc>
          <w:tcPr>
            <w:tcW w:w="1136" w:type="dxa"/>
            <w:hideMark/>
          </w:tcPr>
          <w:p w14:paraId="2F3497D2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416.3 </w:t>
            </w:r>
          </w:p>
          <w:p w14:paraId="0FB1186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(266.6-652.6)</w:t>
            </w:r>
          </w:p>
        </w:tc>
        <w:tc>
          <w:tcPr>
            <w:tcW w:w="927" w:type="dxa"/>
            <w:hideMark/>
          </w:tcPr>
          <w:p w14:paraId="1800E07C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397.0 </w:t>
            </w:r>
          </w:p>
          <w:p w14:paraId="74B0C511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(180.3-780)</w:t>
            </w:r>
          </w:p>
        </w:tc>
        <w:tc>
          <w:tcPr>
            <w:tcW w:w="1209" w:type="dxa"/>
            <w:hideMark/>
          </w:tcPr>
          <w:p w14:paraId="3C851D14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253.6</w:t>
            </w:r>
          </w:p>
          <w:p w14:paraId="59B9648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(160.9-400.4)</w:t>
            </w:r>
          </w:p>
        </w:tc>
        <w:tc>
          <w:tcPr>
            <w:tcW w:w="989" w:type="dxa"/>
            <w:hideMark/>
          </w:tcPr>
          <w:p w14:paraId="38517358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174.7 </w:t>
            </w:r>
          </w:p>
          <w:p w14:paraId="27C2BF93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(76.13-538.4)</w:t>
            </w:r>
          </w:p>
        </w:tc>
        <w:tc>
          <w:tcPr>
            <w:tcW w:w="1136" w:type="dxa"/>
            <w:hideMark/>
          </w:tcPr>
          <w:p w14:paraId="753C449D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199.2</w:t>
            </w:r>
          </w:p>
          <w:p w14:paraId="24212F8D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(103.2-312)</w:t>
            </w:r>
          </w:p>
        </w:tc>
        <w:tc>
          <w:tcPr>
            <w:tcW w:w="1006" w:type="dxa"/>
            <w:hideMark/>
          </w:tcPr>
          <w:p w14:paraId="2829F915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152.5</w:t>
            </w:r>
          </w:p>
          <w:p w14:paraId="6D4571B1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(60.2-334.2)</w:t>
            </w:r>
          </w:p>
        </w:tc>
        <w:tc>
          <w:tcPr>
            <w:tcW w:w="1136" w:type="dxa"/>
            <w:hideMark/>
          </w:tcPr>
          <w:p w14:paraId="1C27960E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43.6</w:t>
            </w:r>
          </w:p>
          <w:p w14:paraId="35B4493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(17.8-89.9)</w:t>
            </w:r>
          </w:p>
        </w:tc>
        <w:tc>
          <w:tcPr>
            <w:tcW w:w="945" w:type="dxa"/>
            <w:hideMark/>
          </w:tcPr>
          <w:p w14:paraId="60698A50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>51.3</w:t>
            </w:r>
          </w:p>
          <w:p w14:paraId="4BEBF5E7" w14:textId="77777777" w:rsidR="00BA1E44" w:rsidRPr="00AE1B72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AE1B72">
              <w:rPr>
                <w:rFonts w:asciiTheme="majorBidi" w:hAnsiTheme="majorBidi" w:cstheme="majorBidi"/>
                <w:bCs/>
                <w:lang w:val="en-US"/>
              </w:rPr>
              <w:t xml:space="preserve"> (13.2-110.7)</w:t>
            </w:r>
          </w:p>
        </w:tc>
      </w:tr>
    </w:tbl>
    <w:p w14:paraId="2535F99F" w14:textId="77777777" w:rsidR="00BA1E44" w:rsidRPr="006B5DBE" w:rsidRDefault="00BA1E44" w:rsidP="00BA1E44">
      <w:pPr>
        <w:spacing w:line="480" w:lineRule="auto"/>
        <w:rPr>
          <w:rFonts w:asciiTheme="majorBidi" w:hAnsiTheme="majorBidi" w:cstheme="majorBidi"/>
          <w:bCs/>
          <w:lang w:val="en-US"/>
        </w:rPr>
      </w:pPr>
      <w:r w:rsidRPr="006B5DBE">
        <w:rPr>
          <w:rFonts w:asciiTheme="majorBidi" w:hAnsiTheme="majorBidi" w:cstheme="majorBidi"/>
          <w:bCs/>
          <w:i/>
          <w:iCs/>
          <w:lang w:val="en-US"/>
        </w:rPr>
        <w:t xml:space="preserve"># </w:t>
      </w:r>
      <w:r>
        <w:rPr>
          <w:rFonts w:asciiTheme="majorBidi" w:hAnsiTheme="majorBidi" w:cstheme="majorBidi"/>
          <w:bCs/>
          <w:i/>
          <w:iCs/>
          <w:lang w:val="en-US"/>
        </w:rPr>
        <w:t>*</w:t>
      </w:r>
      <w:r w:rsidRPr="006B5DBE">
        <w:rPr>
          <w:rFonts w:asciiTheme="majorBidi" w:hAnsiTheme="majorBidi" w:cstheme="majorBidi"/>
          <w:bCs/>
          <w:i/>
          <w:iCs/>
          <w:lang w:val="en-US"/>
        </w:rPr>
        <w:t>TRG0/1 vs TRG3</w:t>
      </w:r>
      <w:r>
        <w:rPr>
          <w:rFonts w:asciiTheme="majorBidi" w:hAnsiTheme="majorBidi" w:cstheme="majorBidi"/>
          <w:bCs/>
          <w:i/>
          <w:iCs/>
          <w:lang w:val="en-US"/>
        </w:rPr>
        <w:t xml:space="preserve">, </w:t>
      </w:r>
      <w:r w:rsidRPr="006B5DBE">
        <w:rPr>
          <w:rFonts w:asciiTheme="majorBidi" w:hAnsiTheme="majorBidi" w:cstheme="majorBidi"/>
          <w:bCs/>
          <w:lang w:val="en-US"/>
        </w:rPr>
        <w:t xml:space="preserve">Welch’s unpaired t-test , </w:t>
      </w:r>
      <w:r w:rsidRPr="006B5DBE">
        <w:rPr>
          <w:rFonts w:asciiTheme="majorBidi" w:hAnsiTheme="majorBidi" w:cstheme="majorBidi"/>
          <w:bCs/>
          <w:i/>
          <w:iCs/>
          <w:lang w:val="en-US"/>
        </w:rPr>
        <w:t>p</w:t>
      </w:r>
      <w:r w:rsidRPr="006B5DBE">
        <w:rPr>
          <w:rFonts w:asciiTheme="majorBidi" w:hAnsiTheme="majorBidi" w:cstheme="majorBidi"/>
          <w:bCs/>
          <w:lang w:val="en-US"/>
        </w:rPr>
        <w:t>= * &lt;0.05</w:t>
      </w:r>
    </w:p>
    <w:p w14:paraId="22B60801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3C5DCD87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5A29299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8DF009F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E27DC82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A432DBB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  <w:r>
        <w:rPr>
          <w:rFonts w:asciiTheme="majorBidi" w:hAnsiTheme="majorBidi" w:cstheme="majorBidi"/>
          <w:b/>
          <w:lang w:val="en-US"/>
        </w:rPr>
        <w:lastRenderedPageBreak/>
        <w:t xml:space="preserve">Supplementary table 4ii. </w:t>
      </w:r>
      <w:r w:rsidRPr="009B668E">
        <w:rPr>
          <w:rFonts w:asciiTheme="majorBidi" w:hAnsiTheme="majorBidi" w:cstheme="majorBidi"/>
          <w:bCs/>
          <w:lang w:val="en-US"/>
        </w:rPr>
        <w:t>Change in immune cell density during neoadjuvant treatment stratified by treatment respons</w:t>
      </w:r>
      <w:r>
        <w:rPr>
          <w:rFonts w:asciiTheme="majorBidi" w:hAnsiTheme="majorBidi" w:cstheme="majorBidi"/>
          <w:bCs/>
          <w:lang w:val="en-US"/>
        </w:rPr>
        <w:t>e</w:t>
      </w:r>
    </w:p>
    <w:tbl>
      <w:tblPr>
        <w:tblStyle w:val="TableGrid"/>
        <w:tblW w:w="9924" w:type="dxa"/>
        <w:tblInd w:w="-431" w:type="dxa"/>
        <w:tblLook w:val="0420" w:firstRow="1" w:lastRow="0" w:firstColumn="0" w:lastColumn="0" w:noHBand="0" w:noVBand="1"/>
      </w:tblPr>
      <w:tblGrid>
        <w:gridCol w:w="1702"/>
        <w:gridCol w:w="2234"/>
        <w:gridCol w:w="1950"/>
        <w:gridCol w:w="1950"/>
        <w:gridCol w:w="2088"/>
      </w:tblGrid>
      <w:tr w:rsidR="00BA1E44" w:rsidRPr="00527FA4" w14:paraId="6B641738" w14:textId="77777777" w:rsidTr="003C61BE">
        <w:trPr>
          <w:trHeight w:val="950"/>
        </w:trPr>
        <w:tc>
          <w:tcPr>
            <w:tcW w:w="1702" w:type="dxa"/>
            <w:vMerge w:val="restart"/>
            <w:hideMark/>
          </w:tcPr>
          <w:p w14:paraId="7E3E5C3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Pathological response</w:t>
            </w:r>
          </w:p>
        </w:tc>
        <w:tc>
          <w:tcPr>
            <w:tcW w:w="2234" w:type="dxa"/>
            <w:hideMark/>
          </w:tcPr>
          <w:p w14:paraId="3964786E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 xml:space="preserve">M2-TAMs </w:t>
            </w:r>
          </w:p>
          <w:p w14:paraId="5E6CF4B1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mean (95% CI)</w:t>
            </w:r>
          </w:p>
        </w:tc>
        <w:tc>
          <w:tcPr>
            <w:tcW w:w="1950" w:type="dxa"/>
            <w:hideMark/>
          </w:tcPr>
          <w:p w14:paraId="14F41740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Tregs</w:t>
            </w:r>
          </w:p>
          <w:p w14:paraId="732CA9C5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mean (95% CI)</w:t>
            </w:r>
          </w:p>
        </w:tc>
        <w:tc>
          <w:tcPr>
            <w:tcW w:w="1950" w:type="dxa"/>
            <w:hideMark/>
          </w:tcPr>
          <w:p w14:paraId="1379DB43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CD8+ T cells</w:t>
            </w:r>
          </w:p>
          <w:p w14:paraId="44DD5402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mean (95% CI)</w:t>
            </w:r>
          </w:p>
        </w:tc>
        <w:tc>
          <w:tcPr>
            <w:tcW w:w="2088" w:type="dxa"/>
            <w:hideMark/>
          </w:tcPr>
          <w:p w14:paraId="79ECB32E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CTLs</w:t>
            </w:r>
          </w:p>
          <w:p w14:paraId="08A2DF7B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mean (95% CI)</w:t>
            </w:r>
          </w:p>
        </w:tc>
      </w:tr>
      <w:tr w:rsidR="00BA1E44" w:rsidRPr="00527FA4" w14:paraId="5382B7C3" w14:textId="77777777" w:rsidTr="003C61BE">
        <w:trPr>
          <w:trHeight w:val="337"/>
        </w:trPr>
        <w:tc>
          <w:tcPr>
            <w:tcW w:w="1702" w:type="dxa"/>
            <w:vMerge/>
            <w:hideMark/>
          </w:tcPr>
          <w:p w14:paraId="79DBBF9E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</w:p>
        </w:tc>
        <w:tc>
          <w:tcPr>
            <w:tcW w:w="8222" w:type="dxa"/>
            <w:gridSpan w:val="4"/>
            <w:hideMark/>
          </w:tcPr>
          <w:p w14:paraId="7E530F6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% of change from baseline density</w:t>
            </w:r>
          </w:p>
        </w:tc>
      </w:tr>
      <w:tr w:rsidR="00BA1E44" w:rsidRPr="00527FA4" w14:paraId="222A35BD" w14:textId="77777777" w:rsidTr="003C61BE">
        <w:trPr>
          <w:trHeight w:val="571"/>
        </w:trPr>
        <w:tc>
          <w:tcPr>
            <w:tcW w:w="1702" w:type="dxa"/>
            <w:hideMark/>
          </w:tcPr>
          <w:p w14:paraId="58D0897B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TRG 0/1</w:t>
            </w:r>
          </w:p>
          <w:p w14:paraId="53372520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(n=7)</w:t>
            </w:r>
          </w:p>
        </w:tc>
        <w:tc>
          <w:tcPr>
            <w:tcW w:w="2234" w:type="dxa"/>
            <w:hideMark/>
          </w:tcPr>
          <w:p w14:paraId="0598169E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-70 (-87 to -54)</w:t>
            </w:r>
            <w:r w:rsidRPr="00527FA4">
              <w:rPr>
                <w:rFonts w:asciiTheme="majorBidi" w:hAnsiTheme="majorBidi" w:cstheme="majorBidi"/>
                <w:bCs/>
                <w:vertAlign w:val="superscript"/>
                <w:lang w:val="en-US"/>
              </w:rPr>
              <w:t xml:space="preserve"> **#</w:t>
            </w:r>
          </w:p>
        </w:tc>
        <w:tc>
          <w:tcPr>
            <w:tcW w:w="1950" w:type="dxa"/>
            <w:hideMark/>
          </w:tcPr>
          <w:p w14:paraId="36A864A5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-42 (-145 to 61)</w:t>
            </w:r>
          </w:p>
        </w:tc>
        <w:tc>
          <w:tcPr>
            <w:tcW w:w="1950" w:type="dxa"/>
            <w:hideMark/>
          </w:tcPr>
          <w:p w14:paraId="7529DF1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304 (-68 to -675)</w:t>
            </w:r>
          </w:p>
        </w:tc>
        <w:tc>
          <w:tcPr>
            <w:tcW w:w="2088" w:type="dxa"/>
            <w:hideMark/>
          </w:tcPr>
          <w:p w14:paraId="62604454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260 (-395 to 914)</w:t>
            </w:r>
          </w:p>
        </w:tc>
      </w:tr>
      <w:tr w:rsidR="00BA1E44" w:rsidRPr="00527FA4" w14:paraId="6F51F407" w14:textId="77777777" w:rsidTr="003C61BE">
        <w:trPr>
          <w:trHeight w:val="556"/>
        </w:trPr>
        <w:tc>
          <w:tcPr>
            <w:tcW w:w="1702" w:type="dxa"/>
            <w:hideMark/>
          </w:tcPr>
          <w:p w14:paraId="485C6ABA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TRG 2</w:t>
            </w:r>
          </w:p>
          <w:p w14:paraId="1C773DF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(n=11)</w:t>
            </w:r>
          </w:p>
        </w:tc>
        <w:tc>
          <w:tcPr>
            <w:tcW w:w="2234" w:type="dxa"/>
            <w:hideMark/>
          </w:tcPr>
          <w:p w14:paraId="2590B86C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-36 (-94 to 23)</w:t>
            </w:r>
          </w:p>
        </w:tc>
        <w:tc>
          <w:tcPr>
            <w:tcW w:w="1950" w:type="dxa"/>
            <w:hideMark/>
          </w:tcPr>
          <w:p w14:paraId="3BFFC799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183 (-156 to 522)</w:t>
            </w:r>
          </w:p>
        </w:tc>
        <w:tc>
          <w:tcPr>
            <w:tcW w:w="1950" w:type="dxa"/>
            <w:hideMark/>
          </w:tcPr>
          <w:p w14:paraId="5E99138B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470 (-255.9 to 1196)</w:t>
            </w:r>
          </w:p>
        </w:tc>
        <w:tc>
          <w:tcPr>
            <w:tcW w:w="2088" w:type="dxa"/>
            <w:hideMark/>
          </w:tcPr>
          <w:p w14:paraId="318FA8F8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164 (-261 to 589)</w:t>
            </w:r>
          </w:p>
        </w:tc>
      </w:tr>
      <w:tr w:rsidR="00BA1E44" w:rsidRPr="00527FA4" w14:paraId="525051DA" w14:textId="77777777" w:rsidTr="003C61BE">
        <w:trPr>
          <w:trHeight w:val="498"/>
        </w:trPr>
        <w:tc>
          <w:tcPr>
            <w:tcW w:w="1702" w:type="dxa"/>
            <w:hideMark/>
          </w:tcPr>
          <w:p w14:paraId="360BAAC0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TRG 3</w:t>
            </w:r>
          </w:p>
          <w:p w14:paraId="78A26B7A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(n=18)</w:t>
            </w:r>
          </w:p>
        </w:tc>
        <w:tc>
          <w:tcPr>
            <w:tcW w:w="2234" w:type="dxa"/>
            <w:hideMark/>
          </w:tcPr>
          <w:p w14:paraId="0A021E7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106 (-106 to 318)</w:t>
            </w:r>
          </w:p>
        </w:tc>
        <w:tc>
          <w:tcPr>
            <w:tcW w:w="1950" w:type="dxa"/>
            <w:hideMark/>
          </w:tcPr>
          <w:p w14:paraId="0E574127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24 (-78 to 125)</w:t>
            </w:r>
          </w:p>
        </w:tc>
        <w:tc>
          <w:tcPr>
            <w:tcW w:w="1950" w:type="dxa"/>
            <w:hideMark/>
          </w:tcPr>
          <w:p w14:paraId="446B360E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105 (0.42 to 210)</w:t>
            </w:r>
          </w:p>
        </w:tc>
        <w:tc>
          <w:tcPr>
            <w:tcW w:w="2088" w:type="dxa"/>
            <w:hideMark/>
          </w:tcPr>
          <w:p w14:paraId="60059C76" w14:textId="77777777" w:rsidR="00BA1E44" w:rsidRPr="00527FA4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CA"/>
              </w:rPr>
            </w:pPr>
            <w:r w:rsidRPr="00527FA4">
              <w:rPr>
                <w:rFonts w:asciiTheme="majorBidi" w:hAnsiTheme="majorBidi" w:cstheme="majorBidi"/>
                <w:bCs/>
                <w:lang w:val="en-US"/>
              </w:rPr>
              <w:t>7 (-80 to 94)</w:t>
            </w:r>
          </w:p>
        </w:tc>
      </w:tr>
    </w:tbl>
    <w:p w14:paraId="6E61031E" w14:textId="77777777" w:rsidR="00BA1E44" w:rsidRPr="009B668E" w:rsidRDefault="00BA1E44" w:rsidP="00BA1E44">
      <w:pPr>
        <w:spacing w:line="480" w:lineRule="auto"/>
        <w:rPr>
          <w:rFonts w:asciiTheme="majorBidi" w:hAnsiTheme="majorBidi" w:cstheme="majorBidi"/>
          <w:bCs/>
          <w:lang w:val="en-US"/>
        </w:rPr>
      </w:pPr>
      <w:r w:rsidRPr="009B668E">
        <w:rPr>
          <w:rFonts w:asciiTheme="majorBidi" w:hAnsiTheme="majorBidi" w:cstheme="majorBidi"/>
          <w:bCs/>
          <w:i/>
          <w:iCs/>
          <w:lang w:val="en-US"/>
        </w:rPr>
        <w:t>#</w:t>
      </w:r>
      <w:r>
        <w:rPr>
          <w:rFonts w:asciiTheme="majorBidi" w:hAnsiTheme="majorBidi" w:cstheme="majorBidi"/>
          <w:bCs/>
          <w:i/>
          <w:iCs/>
          <w:lang w:val="en-US"/>
        </w:rPr>
        <w:t>**</w:t>
      </w:r>
      <w:r w:rsidRPr="009B668E">
        <w:rPr>
          <w:rFonts w:asciiTheme="majorBidi" w:hAnsiTheme="majorBidi" w:cstheme="majorBidi"/>
          <w:bCs/>
          <w:i/>
          <w:iCs/>
          <w:lang w:val="en-US"/>
        </w:rPr>
        <w:t xml:space="preserve"> TRG0/1 vs TRG3, </w:t>
      </w:r>
      <w:r w:rsidRPr="006B5DBE">
        <w:rPr>
          <w:rFonts w:asciiTheme="majorBidi" w:hAnsiTheme="majorBidi" w:cstheme="majorBidi"/>
          <w:bCs/>
          <w:lang w:val="en-US"/>
        </w:rPr>
        <w:t>Welch’s unpaired t-test</w:t>
      </w:r>
      <w:r>
        <w:rPr>
          <w:rFonts w:asciiTheme="majorBidi" w:hAnsiTheme="majorBidi" w:cstheme="majorBidi"/>
          <w:bCs/>
          <w:lang w:val="en-US"/>
        </w:rPr>
        <w:t xml:space="preserve">, </w:t>
      </w:r>
      <w:r w:rsidRPr="009B668E">
        <w:rPr>
          <w:rFonts w:asciiTheme="majorBidi" w:hAnsiTheme="majorBidi" w:cstheme="majorBidi"/>
          <w:bCs/>
          <w:i/>
          <w:iCs/>
          <w:lang w:val="en-US"/>
        </w:rPr>
        <w:t>p = &lt;0.01</w:t>
      </w:r>
    </w:p>
    <w:p w14:paraId="1AC17775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0B108A2A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4912BC0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20482AF6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0BA4DA6A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E5BCD14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32D7576D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0A41BE4D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172E5150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66F22C86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73A2EEF0" w14:textId="77777777" w:rsidR="00BA1E44" w:rsidRPr="00B972C5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</w:p>
    <w:p w14:paraId="4CB55A5C" w14:textId="77777777" w:rsidR="00BA1E44" w:rsidRDefault="00BA1E44" w:rsidP="00BA1E44">
      <w:pPr>
        <w:spacing w:line="480" w:lineRule="auto"/>
        <w:rPr>
          <w:rFonts w:asciiTheme="majorBidi" w:hAnsiTheme="majorBidi" w:cstheme="majorBidi"/>
          <w:b/>
          <w:lang w:val="en-US"/>
        </w:rPr>
      </w:pPr>
      <w:r>
        <w:rPr>
          <w:rFonts w:asciiTheme="majorBidi" w:hAnsiTheme="majorBidi" w:cstheme="majorBidi"/>
          <w:b/>
          <w:lang w:val="en-US"/>
        </w:rPr>
        <w:lastRenderedPageBreak/>
        <w:t xml:space="preserve">Supplementary table 5: </w:t>
      </w:r>
      <w:r w:rsidRPr="006C02B5">
        <w:rPr>
          <w:rFonts w:asciiTheme="majorBidi" w:hAnsiTheme="majorBidi" w:cstheme="majorBidi"/>
          <w:bCs/>
          <w:lang w:val="en-US"/>
        </w:rPr>
        <w:t>Number of cells allocated to each T cell cluster stratified by response to neoadjuvant therapy</w:t>
      </w:r>
      <w:r>
        <w:rPr>
          <w:rFonts w:asciiTheme="majorBidi" w:hAnsiTheme="majorBidi" w:cstheme="majorBidi"/>
          <w:b/>
          <w:lang w:val="en-US"/>
        </w:rPr>
        <w:t xml:space="preserve"> </w:t>
      </w:r>
    </w:p>
    <w:p w14:paraId="645847EC" w14:textId="77777777" w:rsidR="00BA1E44" w:rsidRPr="0071656D" w:rsidRDefault="00BA1E44" w:rsidP="00BA1E44">
      <w:pPr>
        <w:spacing w:line="480" w:lineRule="auto"/>
        <w:rPr>
          <w:rFonts w:asciiTheme="majorBidi" w:hAnsiTheme="majorBidi" w:cstheme="majorBidi"/>
          <w:b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</w:tblGrid>
      <w:tr w:rsidR="00BA1E44" w:rsidRPr="0071656D" w14:paraId="591E102A" w14:textId="77777777" w:rsidTr="003C61BE">
        <w:tc>
          <w:tcPr>
            <w:tcW w:w="2157" w:type="dxa"/>
          </w:tcPr>
          <w:p w14:paraId="29CC1409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 xml:space="preserve">Cell type </w:t>
            </w:r>
          </w:p>
        </w:tc>
        <w:tc>
          <w:tcPr>
            <w:tcW w:w="2157" w:type="dxa"/>
          </w:tcPr>
          <w:p w14:paraId="152954F2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 xml:space="preserve">Responder </w:t>
            </w:r>
          </w:p>
          <w:p w14:paraId="6DAC79D0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(TRG 0/1/2)</w:t>
            </w:r>
          </w:p>
        </w:tc>
        <w:tc>
          <w:tcPr>
            <w:tcW w:w="2158" w:type="dxa"/>
          </w:tcPr>
          <w:p w14:paraId="0CCA1FB8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 xml:space="preserve">Non-responder </w:t>
            </w:r>
          </w:p>
          <w:p w14:paraId="412F92C3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(TRG 3)</w:t>
            </w:r>
          </w:p>
        </w:tc>
      </w:tr>
      <w:tr w:rsidR="00BA1E44" w:rsidRPr="0071656D" w14:paraId="694CFBDF" w14:textId="77777777" w:rsidTr="003C61BE">
        <w:tc>
          <w:tcPr>
            <w:tcW w:w="2157" w:type="dxa"/>
          </w:tcPr>
          <w:p w14:paraId="715F067A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T cell gamma delta</w:t>
            </w:r>
          </w:p>
        </w:tc>
        <w:tc>
          <w:tcPr>
            <w:tcW w:w="2157" w:type="dxa"/>
          </w:tcPr>
          <w:p w14:paraId="658873C0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45</w:t>
            </w:r>
          </w:p>
        </w:tc>
        <w:tc>
          <w:tcPr>
            <w:tcW w:w="2158" w:type="dxa"/>
          </w:tcPr>
          <w:p w14:paraId="3ECD6949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314</w:t>
            </w:r>
          </w:p>
        </w:tc>
      </w:tr>
      <w:tr w:rsidR="00BA1E44" w:rsidRPr="0071656D" w14:paraId="18DE3B6F" w14:textId="77777777" w:rsidTr="003C61BE">
        <w:tc>
          <w:tcPr>
            <w:tcW w:w="2157" w:type="dxa"/>
          </w:tcPr>
          <w:p w14:paraId="4967787F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CD8+ central memory T cell</w:t>
            </w:r>
          </w:p>
        </w:tc>
        <w:tc>
          <w:tcPr>
            <w:tcW w:w="2157" w:type="dxa"/>
          </w:tcPr>
          <w:p w14:paraId="21867BDA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16</w:t>
            </w:r>
          </w:p>
        </w:tc>
        <w:tc>
          <w:tcPr>
            <w:tcW w:w="2158" w:type="dxa"/>
          </w:tcPr>
          <w:p w14:paraId="3F4A1A42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56</w:t>
            </w:r>
          </w:p>
        </w:tc>
      </w:tr>
      <w:tr w:rsidR="00BA1E44" w:rsidRPr="0071656D" w14:paraId="50F8D598" w14:textId="77777777" w:rsidTr="003C61BE">
        <w:tc>
          <w:tcPr>
            <w:tcW w:w="2157" w:type="dxa"/>
          </w:tcPr>
          <w:p w14:paraId="209AC28E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CD4+ central effector memory T cell</w:t>
            </w:r>
          </w:p>
        </w:tc>
        <w:tc>
          <w:tcPr>
            <w:tcW w:w="2157" w:type="dxa"/>
          </w:tcPr>
          <w:p w14:paraId="6C268206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307</w:t>
            </w:r>
          </w:p>
        </w:tc>
        <w:tc>
          <w:tcPr>
            <w:tcW w:w="2158" w:type="dxa"/>
          </w:tcPr>
          <w:p w14:paraId="1C57021D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305</w:t>
            </w:r>
          </w:p>
        </w:tc>
      </w:tr>
      <w:tr w:rsidR="00BA1E44" w:rsidRPr="0071656D" w14:paraId="3FAB08D8" w14:textId="77777777" w:rsidTr="003C61BE">
        <w:tc>
          <w:tcPr>
            <w:tcW w:w="2157" w:type="dxa"/>
          </w:tcPr>
          <w:p w14:paraId="752717DC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CD4+ central memory T cell</w:t>
            </w:r>
          </w:p>
        </w:tc>
        <w:tc>
          <w:tcPr>
            <w:tcW w:w="2157" w:type="dxa"/>
          </w:tcPr>
          <w:p w14:paraId="77CB457C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137</w:t>
            </w:r>
          </w:p>
        </w:tc>
        <w:tc>
          <w:tcPr>
            <w:tcW w:w="2158" w:type="dxa"/>
          </w:tcPr>
          <w:p w14:paraId="4C359BE9" w14:textId="77777777" w:rsidR="00BA1E44" w:rsidRPr="0071656D" w:rsidRDefault="00BA1E44" w:rsidP="003C61BE">
            <w:pPr>
              <w:spacing w:line="48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71656D">
              <w:rPr>
                <w:rFonts w:asciiTheme="majorBidi" w:hAnsiTheme="majorBidi" w:cstheme="majorBidi"/>
                <w:bCs/>
                <w:lang w:val="en-US"/>
              </w:rPr>
              <w:t>209</w:t>
            </w:r>
          </w:p>
        </w:tc>
      </w:tr>
    </w:tbl>
    <w:p w14:paraId="1F7F2016" w14:textId="77777777" w:rsidR="00BA1E44" w:rsidRPr="0071656D" w:rsidRDefault="00BA1E44" w:rsidP="00BA1E44">
      <w:pPr>
        <w:spacing w:line="480" w:lineRule="auto"/>
        <w:rPr>
          <w:rFonts w:asciiTheme="majorBidi" w:hAnsiTheme="majorBidi" w:cstheme="majorBidi"/>
          <w:bCs/>
          <w:lang w:val="en-US"/>
        </w:rPr>
      </w:pPr>
    </w:p>
    <w:p w14:paraId="50CEC327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E44"/>
    <w:rsid w:val="00110104"/>
    <w:rsid w:val="0021090F"/>
    <w:rsid w:val="00220E4E"/>
    <w:rsid w:val="003A76DF"/>
    <w:rsid w:val="00BA1E44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DE758"/>
  <w15:chartTrackingRefBased/>
  <w15:docId w15:val="{76286295-E471-4266-B6A3-8CAE4690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44"/>
    <w:pPr>
      <w:spacing w:after="0" w:line="240" w:lineRule="auto"/>
    </w:pPr>
    <w:rPr>
      <w:kern w:val="0"/>
      <w:sz w:val="24"/>
      <w:szCs w:val="24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1E44"/>
    <w:pPr>
      <w:spacing w:after="0" w:line="240" w:lineRule="auto"/>
    </w:pPr>
    <w:rPr>
      <w:kern w:val="0"/>
      <w:sz w:val="24"/>
      <w:szCs w:val="24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389</Words>
  <Characters>2218</Characters>
  <Application>Microsoft Office Word</Application>
  <DocSecurity>0</DocSecurity>
  <Lines>18</Lines>
  <Paragraphs>5</Paragraphs>
  <ScaleCrop>false</ScaleCrop>
  <Company>Springer Nature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2023-12-15T10:58:00Z</dcterms:created>
  <dcterms:modified xsi:type="dcterms:W3CDTF">2023-12-15T10:59:00Z</dcterms:modified>
</cp:coreProperties>
</file>