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sz w:val="24"/>
        </w:rPr>
      </w:pPr>
      <w:bookmarkStart w:id="0" w:name="_GoBack"/>
      <w:bookmarkEnd w:id="0"/>
      <w:r>
        <w:rPr>
          <w:rFonts w:hint="eastAsia" w:ascii="Times New Roman" w:hAnsi="Times New Roman"/>
          <w:sz w:val="24"/>
          <w:lang w:eastAsia="zh-CN"/>
        </w:rPr>
        <w:t>Fig.</w:t>
      </w:r>
      <w:r>
        <w:rPr>
          <w:rFonts w:hint="eastAsia" w:ascii="Times New Roman" w:hAnsi="Times New Roman"/>
          <w:sz w:val="24"/>
        </w:rPr>
        <w:t xml:space="preserve"> S</w:t>
      </w:r>
      <w:r>
        <w:rPr>
          <w:rFonts w:ascii="Times New Roman" w:hAnsi="Times New Roman"/>
          <w:sz w:val="24"/>
        </w:rPr>
        <w:t>1</w:t>
      </w:r>
      <w:r>
        <w:rPr>
          <w:rFonts w:hint="eastAsia" w:ascii="Times New Roman" w:hAnsi="Times New Roman"/>
          <w:sz w:val="24"/>
        </w:rPr>
        <w:t>: The expression difference of O-glycosylation genes between HCC tissues and adjacent normal tissues.</w:t>
      </w:r>
    </w:p>
    <w:p>
      <w:pPr>
        <w:rPr>
          <w:rFonts w:ascii="Times New Roman" w:hAnsi="Times New Roman"/>
          <w:sz w:val="24"/>
        </w:rPr>
      </w:pPr>
      <w:r>
        <w:rPr>
          <w:rFonts w:ascii="Times New Roman" w:hAnsi="Times New Roman"/>
          <w:sz w:val="24"/>
        </w:rPr>
        <w:t xml:space="preserve"> </w:t>
      </w:r>
    </w:p>
    <w:p>
      <w:pPr>
        <w:rPr>
          <w:rFonts w:ascii="Times New Roman" w:hAnsi="Times New Roman"/>
          <w:sz w:val="24"/>
        </w:rPr>
      </w:pPr>
      <w:r>
        <w:rPr>
          <w:rFonts w:hint="eastAsia" w:ascii="Times New Roman" w:hAnsi="Times New Roman"/>
          <w:sz w:val="24"/>
          <w:lang w:eastAsia="zh-CN"/>
        </w:rPr>
        <w:t>Fig.</w:t>
      </w:r>
      <w:r>
        <w:rPr>
          <w:rFonts w:hint="eastAsia" w:ascii="Times New Roman" w:hAnsi="Times New Roman"/>
          <w:sz w:val="24"/>
        </w:rPr>
        <w:t xml:space="preserve"> S</w:t>
      </w:r>
      <w:r>
        <w:rPr>
          <w:rFonts w:ascii="Times New Roman" w:hAnsi="Times New Roman"/>
          <w:sz w:val="24"/>
        </w:rPr>
        <w:t>2</w:t>
      </w:r>
      <w:r>
        <w:rPr>
          <w:rFonts w:hint="eastAsia" w:ascii="Times New Roman" w:hAnsi="Times New Roman"/>
          <w:sz w:val="24"/>
        </w:rPr>
        <w:t>: O-glycosylation genes predict prognosis of HCC patients</w:t>
      </w:r>
      <w:r>
        <w:rPr>
          <w:rFonts w:ascii="Times New Roman" w:hAnsi="Times New Roman"/>
          <w:sz w:val="24"/>
        </w:rPr>
        <w:t>.</w:t>
      </w:r>
    </w:p>
    <w:p>
      <w:pPr>
        <w:rPr>
          <w:rFonts w:ascii="Times New Roman" w:hAnsi="Times New Roman"/>
          <w:sz w:val="24"/>
        </w:rPr>
      </w:pPr>
    </w:p>
    <w:p>
      <w:pPr>
        <w:rPr>
          <w:rFonts w:ascii="Times New Roman" w:hAnsi="Times New Roman" w:eastAsia="宋体" w:cs="Times New Roman"/>
          <w:sz w:val="24"/>
        </w:rPr>
      </w:pPr>
      <w:r>
        <w:rPr>
          <w:rFonts w:hint="eastAsia" w:ascii="Times New Roman" w:hAnsi="Times New Roman" w:cs="Times New Roman"/>
          <w:sz w:val="24"/>
        </w:rPr>
        <w:drawing>
          <wp:inline distT="0" distB="0" distL="0" distR="0">
            <wp:extent cx="5274310" cy="6802755"/>
            <wp:effectExtent l="0" t="0" r="8890" b="4445"/>
            <wp:docPr id="833179487" name="图片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79487" name="图片 8" descr="图示&#10;&#10;描述已自动生成"/>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6802755"/>
                    </a:xfrm>
                    <a:prstGeom prst="rect">
                      <a:avLst/>
                    </a:prstGeom>
                  </pic:spPr>
                </pic:pic>
              </a:graphicData>
            </a:graphic>
          </wp:inline>
        </w:drawing>
      </w:r>
      <w:r>
        <w:rPr>
          <w:rFonts w:hint="eastAsia" w:ascii="Times New Roman" w:hAnsi="Times New Roman" w:cs="Times New Roman"/>
          <w:sz w:val="24"/>
          <w:lang w:eastAsia="zh-CN"/>
        </w:rPr>
        <w:t>Fig.</w:t>
      </w:r>
      <w:r>
        <w:rPr>
          <w:rFonts w:ascii="Times New Roman" w:hAnsi="Times New Roman" w:cs="Times New Roman"/>
          <w:sz w:val="24"/>
        </w:rPr>
        <w:t xml:space="preserve"> S3:</w:t>
      </w:r>
      <w:r>
        <w:rPr>
          <w:rFonts w:hint="eastAsia" w:ascii="Times New Roman" w:hAnsi="Times New Roman"/>
          <w:sz w:val="24"/>
        </w:rPr>
        <w:t xml:space="preserve"> Bulk-seq landscape of O-glycosylation genes in expression and functional. (A) Univariate COX regression analysis was performed in multiple cohorts based on GSVA scores of O-glycosylation genes. (B) The correlation between O-glycosylation GSVA scores and clinical staging of HCC patients in the TCGA-LIHC cohort. (C) KEGG enrichment analysis of O-glycosylation gene set.</w:t>
      </w: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r>
        <w:rPr>
          <w:rFonts w:hint="eastAsia" w:ascii="Times New Roman" w:hAnsi="Times New Roman" w:cs="Times New Roman"/>
          <w:sz w:val="24"/>
        </w:rPr>
        <w:drawing>
          <wp:inline distT="0" distB="0" distL="0" distR="0">
            <wp:extent cx="4343400" cy="6631940"/>
            <wp:effectExtent l="0" t="0" r="0" b="10160"/>
            <wp:docPr id="3697906" name="图片 9" descr="图片包含 桌子, 灯光, 大, 装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906" name="图片 9" descr="图片包含 桌子, 灯光, 大, 装饰&#10;&#10;描述已自动生成"/>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43400" cy="6632448"/>
                    </a:xfrm>
                    <a:prstGeom prst="rect">
                      <a:avLst/>
                    </a:prstGeom>
                  </pic:spPr>
                </pic:pic>
              </a:graphicData>
            </a:graphic>
          </wp:inline>
        </w:drawing>
      </w:r>
    </w:p>
    <w:p>
      <w:pPr>
        <w:rPr>
          <w:rFonts w:ascii="Calibri" w:hAnsi="Calibri" w:eastAsia="宋体" w:cs="Times New Roman"/>
          <w:sz w:val="24"/>
        </w:rPr>
      </w:pPr>
      <w:r>
        <w:rPr>
          <w:rFonts w:hint="eastAsia" w:ascii="Times New Roman" w:hAnsi="Times New Roman"/>
          <w:sz w:val="24"/>
          <w:lang w:eastAsia="zh-CN"/>
        </w:rPr>
        <w:t>Fig.</w:t>
      </w:r>
      <w:r>
        <w:rPr>
          <w:rFonts w:hint="eastAsia" w:ascii="Times New Roman" w:hAnsi="Times New Roman"/>
          <w:sz w:val="24"/>
        </w:rPr>
        <w:t xml:space="preserve"> S</w:t>
      </w:r>
      <w:r>
        <w:rPr>
          <w:rFonts w:ascii="Times New Roman" w:hAnsi="Times New Roman"/>
          <w:sz w:val="24"/>
        </w:rPr>
        <w:t>4</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 xml:space="preserve">The expression of the O-glycosylation genes in </w:t>
      </w:r>
      <w:r>
        <w:rPr>
          <w:rFonts w:ascii="Times New Roman" w:hAnsi="Times New Roman"/>
          <w:sz w:val="24"/>
        </w:rPr>
        <w:t>distinct</w:t>
      </w:r>
      <w:r>
        <w:rPr>
          <w:rFonts w:hint="eastAsia" w:ascii="Times New Roman" w:hAnsi="Times New Roman"/>
          <w:sz w:val="24"/>
        </w:rPr>
        <w:t xml:space="preserve"> cellular subpopulations.</w:t>
      </w:r>
    </w:p>
    <w:p>
      <w:pPr>
        <w:rPr>
          <w:rFonts w:ascii="Calibri" w:hAnsi="Calibri" w:eastAsia="宋体" w:cs="Times New Roman"/>
          <w:sz w:val="24"/>
        </w:rPr>
      </w:pPr>
    </w:p>
    <w:p>
      <w:pPr>
        <w:rPr>
          <w:rFonts w:ascii="Times New Roman" w:hAnsi="Times New Roman" w:eastAsia="宋体" w:cs="Times New Roman"/>
          <w:sz w:val="24"/>
        </w:rPr>
      </w:pPr>
      <w:r>
        <w:rPr>
          <w:rFonts w:hint="eastAsia" w:ascii="Times New Roman" w:hAnsi="Times New Roman" w:cs="Times New Roman"/>
          <w:sz w:val="24"/>
        </w:rPr>
        <w:drawing>
          <wp:inline distT="0" distB="0" distL="0" distR="0">
            <wp:extent cx="5099050" cy="6934200"/>
            <wp:effectExtent l="0" t="0" r="6350" b="0"/>
            <wp:docPr id="167936692" name="图片 1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6692" name="图片 10" descr="图表&#10;&#10;描述已自动生成"/>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99304" cy="6934200"/>
                    </a:xfrm>
                    <a:prstGeom prst="rect">
                      <a:avLst/>
                    </a:prstGeom>
                  </pic:spPr>
                </pic:pic>
              </a:graphicData>
            </a:graphic>
          </wp:inline>
        </w:drawing>
      </w:r>
      <w:r>
        <w:rPr>
          <w:rFonts w:hint="eastAsia" w:ascii="Times New Roman" w:hAnsi="Times New Roman"/>
          <w:sz w:val="24"/>
        </w:rPr>
        <w:t xml:space="preserve"> </w:t>
      </w:r>
      <w:r>
        <w:rPr>
          <w:rFonts w:hint="eastAsia" w:ascii="Times New Roman" w:hAnsi="Times New Roman"/>
          <w:sz w:val="24"/>
          <w:lang w:eastAsia="zh-CN"/>
        </w:rPr>
        <w:t>Fig.</w:t>
      </w:r>
      <w:r>
        <w:rPr>
          <w:rFonts w:hint="eastAsia" w:ascii="Times New Roman" w:hAnsi="Times New Roman"/>
          <w:sz w:val="24"/>
        </w:rPr>
        <w:t xml:space="preserve"> S</w:t>
      </w:r>
      <w:r>
        <w:rPr>
          <w:rFonts w:ascii="Times New Roman" w:hAnsi="Times New Roman"/>
          <w:sz w:val="24"/>
        </w:rPr>
        <w:t>5</w:t>
      </w:r>
      <w:r>
        <w:rPr>
          <w:rFonts w:hint="eastAsia" w:ascii="Times New Roman" w:hAnsi="Times New Roman"/>
          <w:sz w:val="24"/>
        </w:rPr>
        <w:t>:</w:t>
      </w:r>
      <w:r>
        <w:rPr>
          <w:rFonts w:ascii="Times New Roman" w:hAnsi="Times New Roman"/>
          <w:sz w:val="24"/>
        </w:rPr>
        <w:t xml:space="preserve"> Identification the optimal number K for multiomics consensus ensemble clustering. (A-D) Correlation analysis between gene modules (mRNA, lncRNA, miRNA, methylation) and O-glycosylation score. (E) The Cluster Prediction Index and Gap Statistical Analysis of the integrative consensus clustering. (F) The silhouette statistic of consensus clustering for CS1</w:t>
      </w:r>
      <w:r>
        <w:rPr>
          <w:rFonts w:ascii="宋体" w:hAnsi="宋体"/>
          <w:sz w:val="24"/>
        </w:rPr>
        <w:t>、</w:t>
      </w:r>
      <w:r>
        <w:rPr>
          <w:rFonts w:ascii="Times New Roman" w:hAnsi="Times New Roman"/>
          <w:sz w:val="24"/>
        </w:rPr>
        <w:t>CS2 and CS3.</w:t>
      </w:r>
    </w:p>
    <w:p>
      <w:pPr>
        <w:rPr>
          <w:rFonts w:ascii="Calibri" w:hAnsi="Calibri" w:eastAsia="宋体" w:cs="Times New Roman"/>
          <w:sz w:val="24"/>
        </w:rPr>
      </w:pPr>
      <w:r>
        <w:rPr>
          <w:rFonts w:hint="eastAsia" w:ascii="Times New Roman" w:hAnsi="Times New Roman" w:cs="Times New Roman"/>
          <w:sz w:val="24"/>
        </w:rPr>
        <w:drawing>
          <wp:inline distT="0" distB="0" distL="0" distR="0">
            <wp:extent cx="5274310" cy="6064250"/>
            <wp:effectExtent l="0" t="0" r="8890" b="6350"/>
            <wp:docPr id="549096741" name="图片 1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96741" name="图片 11" descr="图示&#10;&#10;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064250"/>
                    </a:xfrm>
                    <a:prstGeom prst="rect">
                      <a:avLst/>
                    </a:prstGeom>
                  </pic:spPr>
                </pic:pic>
              </a:graphicData>
            </a:graphic>
          </wp:inline>
        </w:drawing>
      </w:r>
      <w:r>
        <w:rPr>
          <w:rFonts w:hint="eastAsia" w:ascii="Times New Roman" w:hAnsi="Times New Roman"/>
          <w:sz w:val="24"/>
          <w:lang w:eastAsia="zh-CN"/>
        </w:rPr>
        <w:t>Fig.</w:t>
      </w:r>
      <w:r>
        <w:rPr>
          <w:rFonts w:hint="eastAsia" w:ascii="Times New Roman" w:hAnsi="Times New Roman"/>
          <w:sz w:val="24"/>
        </w:rPr>
        <w:t xml:space="preserve"> S</w:t>
      </w:r>
      <w:r>
        <w:rPr>
          <w:rFonts w:ascii="Times New Roman" w:hAnsi="Times New Roman"/>
          <w:sz w:val="24"/>
        </w:rPr>
        <w:t>6</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Validation of HCC CSs subtypes by NTP and PAM approach in external cohort. (A) The consistency of CSs with NTP in the TCGA-LIHC cohort. (B)  The consistency of CSs with PAM in the TCGA-LIHC cohort. (C) Validation of HCC CSs in the nearest template of the ICGC_LIRI cohort. (D) Survival analysis of HCC CSs in the ICGC_LIRI cohort. (E) The consistency of NTP with PAM in the ICGC_LIRI cohort. (F) Validation of HCC CSs in the nearest template of the Meta cohort. (G) Survival analysis of HCC CSs in the Meta cohort. (H) The consistency of NTP with PAM in the Meta cohort</w:t>
      </w:r>
    </w:p>
    <w:p>
      <w:pPr>
        <w:rPr>
          <w:rFonts w:ascii="Calibri" w:hAnsi="Calibri" w:eastAsia="宋体" w:cs="Times New Roman"/>
          <w:sz w:val="24"/>
        </w:rPr>
      </w:pPr>
      <w:r>
        <w:rPr>
          <w:rFonts w:hint="eastAsia" w:ascii="Times New Roman" w:hAnsi="Times New Roman" w:cs="Times New Roman"/>
          <w:sz w:val="24"/>
        </w:rPr>
        <w:drawing>
          <wp:inline distT="0" distB="0" distL="0" distR="0">
            <wp:extent cx="5274310" cy="5812155"/>
            <wp:effectExtent l="0" t="0" r="8890" b="4445"/>
            <wp:docPr id="560050390" name="图片 12" descr="图片包含 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50390" name="图片 12" descr="图片包含 日历&#10;&#10;描述已自动生成"/>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812155"/>
                    </a:xfrm>
                    <a:prstGeom prst="rect">
                      <a:avLst/>
                    </a:prstGeom>
                  </pic:spPr>
                </pic:pic>
              </a:graphicData>
            </a:graphic>
          </wp:inline>
        </w:drawing>
      </w:r>
      <w:r>
        <w:rPr>
          <w:rFonts w:hint="eastAsia" w:ascii="Times New Roman" w:hAnsi="Times New Roman"/>
          <w:sz w:val="24"/>
          <w:lang w:eastAsia="zh-CN"/>
        </w:rPr>
        <w:t>Fig.</w:t>
      </w:r>
      <w:r>
        <w:rPr>
          <w:rFonts w:hint="eastAsia" w:ascii="Times New Roman" w:hAnsi="Times New Roman"/>
          <w:sz w:val="24"/>
        </w:rPr>
        <w:t xml:space="preserve"> S</w:t>
      </w:r>
      <w:r>
        <w:rPr>
          <w:rFonts w:ascii="Times New Roman" w:hAnsi="Times New Roman"/>
          <w:sz w:val="24"/>
        </w:rPr>
        <w:t>7</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The clinical characterization of our CSs subtypes in multiple cohort. (A) Multivariate Cox regression analysis of overall survival (OS) in GSE54236 dataset. (B) Correlations of HCC subtypes of GSE54236 with clinical features and previous HCC classifcations. (C) Multivariate Cox regression analysis of overall survival (OS) in ICGC_LIRI dataset. (D) Correlations of HCC subtypes of ICGC_LIRI with clinical features and previous HCC classifcations. (E) Multivariate Cox regression analysis of overall survival (OS) in Meta dataset. (F) Correlations of HCC subtypes of Meta with clinical features and previous HCC classifcations.</w:t>
      </w:r>
    </w:p>
    <w:p>
      <w:pPr>
        <w:rPr>
          <w:rFonts w:ascii="Calibri" w:hAnsi="Calibri" w:eastAsia="宋体" w:cs="Times New Roman"/>
          <w:sz w:val="24"/>
        </w:rPr>
      </w:pPr>
      <w:r>
        <w:rPr>
          <w:rFonts w:hint="eastAsia" w:ascii="Times New Roman" w:hAnsi="Times New Roman" w:cs="Times New Roman"/>
          <w:sz w:val="24"/>
        </w:rPr>
        <w:drawing>
          <wp:inline distT="0" distB="0" distL="0" distR="0">
            <wp:extent cx="5274310" cy="5591810"/>
            <wp:effectExtent l="0" t="0" r="8890" b="8890"/>
            <wp:docPr id="731388408" name="图片 1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88408" name="图片 13" descr="图表&#10;&#10;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5591810"/>
                    </a:xfrm>
                    <a:prstGeom prst="rect">
                      <a:avLst/>
                    </a:prstGeom>
                  </pic:spPr>
                </pic:pic>
              </a:graphicData>
            </a:graphic>
          </wp:inline>
        </w:drawing>
      </w:r>
      <w:r>
        <w:rPr>
          <w:rFonts w:hint="eastAsia" w:ascii="Times New Roman" w:hAnsi="Times New Roman"/>
          <w:sz w:val="24"/>
          <w:lang w:eastAsia="zh-CN"/>
        </w:rPr>
        <w:t>Fig.</w:t>
      </w:r>
      <w:r>
        <w:rPr>
          <w:rFonts w:hint="eastAsia" w:ascii="Times New Roman" w:hAnsi="Times New Roman"/>
          <w:sz w:val="24"/>
        </w:rPr>
        <w:t xml:space="preserve"> S</w:t>
      </w:r>
      <w:r>
        <w:rPr>
          <w:rFonts w:ascii="Times New Roman" w:hAnsi="Times New Roman"/>
          <w:sz w:val="24"/>
        </w:rPr>
        <w:t>8</w:t>
      </w:r>
      <w:r>
        <w:rPr>
          <w:rFonts w:hint="eastAsia" w:ascii="Times New Roman" w:hAnsi="Times New Roman"/>
          <w:sz w:val="24"/>
        </w:rPr>
        <w:t>:</w:t>
      </w:r>
      <w:r>
        <w:rPr>
          <w:rFonts w:ascii="Times New Roman" w:hAnsi="Times New Roman"/>
          <w:sz w:val="24"/>
        </w:rPr>
        <w:t xml:space="preserve"> </w:t>
      </w:r>
      <w:r>
        <w:rPr>
          <w:rFonts w:hint="eastAsia" w:ascii="Times New Roman" w:hAnsi="Times New Roman"/>
          <w:sz w:val="24"/>
        </w:rPr>
        <w:t xml:space="preserve">The landscape of genomic alternations of HCC subtypes. (A) </w:t>
      </w:r>
      <w:r>
        <w:rPr>
          <w:rFonts w:ascii="Times New Roman" w:hAnsi="Times New Roman" w:eastAsia="楷体"/>
          <w:sz w:val="24"/>
        </w:rPr>
        <w:t>The somatic mutational landscape of the top 20 frequently mutated genes and the CNVs landscape of the top 20 AMP and Homdel chromosome fragments for</w:t>
      </w:r>
      <w:r>
        <w:rPr>
          <w:rFonts w:hint="eastAsia" w:ascii="Times New Roman" w:hAnsi="Times New Roman" w:eastAsia="楷体"/>
          <w:sz w:val="24"/>
        </w:rPr>
        <w:t xml:space="preserve"> HCC</w:t>
      </w:r>
      <w:r>
        <w:rPr>
          <w:rFonts w:ascii="Times New Roman" w:hAnsi="Times New Roman" w:eastAsia="楷体"/>
          <w:sz w:val="24"/>
        </w:rPr>
        <w:t xml:space="preserve"> subtypes. The proportion of these variants in the </w:t>
      </w:r>
      <w:r>
        <w:rPr>
          <w:rFonts w:hint="eastAsia" w:ascii="Times New Roman" w:hAnsi="Times New Roman" w:eastAsia="楷体"/>
          <w:sz w:val="24"/>
        </w:rPr>
        <w:t>HCC</w:t>
      </w:r>
      <w:r>
        <w:rPr>
          <w:rFonts w:ascii="Times New Roman" w:hAnsi="Times New Roman" w:eastAsia="楷体"/>
          <w:sz w:val="24"/>
        </w:rPr>
        <w:t xml:space="preserve"> subtypes </w:t>
      </w:r>
      <w:r>
        <w:rPr>
          <w:rFonts w:hint="eastAsia" w:ascii="Times New Roman" w:hAnsi="Times New Roman" w:eastAsia="楷体"/>
          <w:sz w:val="24"/>
        </w:rPr>
        <w:t>was</w:t>
      </w:r>
      <w:r>
        <w:rPr>
          <w:rFonts w:ascii="Times New Roman" w:hAnsi="Times New Roman" w:eastAsia="楷体"/>
          <w:sz w:val="24"/>
        </w:rPr>
        <w:t xml:space="preserve"> denoted on the right</w:t>
      </w:r>
      <w:r>
        <w:rPr>
          <w:rFonts w:hint="eastAsia" w:ascii="Times New Roman" w:hAnsi="Times New Roman" w:eastAsia="楷体"/>
          <w:sz w:val="24"/>
        </w:rPr>
        <w:t>. (B) Distributions of fraction of genome alteration (FGA), fraction of genomic gained (FGG), and fraction of genome lost (FGL) among HCC subtypes.</w:t>
      </w:r>
    </w:p>
    <w:p>
      <w:pPr>
        <w:rPr>
          <w:rFonts w:ascii="Calibri" w:hAnsi="Calibri" w:eastAsia="宋体" w:cs="Times New Roman"/>
          <w:sz w:val="24"/>
        </w:rPr>
      </w:pPr>
      <w:r>
        <w:rPr>
          <w:rFonts w:hint="eastAsia" w:ascii="Times New Roman" w:hAnsi="Times New Roman" w:cs="Times New Roman"/>
          <w:sz w:val="24"/>
        </w:rPr>
        <w:drawing>
          <wp:inline distT="0" distB="0" distL="0" distR="0">
            <wp:extent cx="5274310" cy="5796915"/>
            <wp:effectExtent l="0" t="0" r="8890" b="6985"/>
            <wp:docPr id="389713612" name="图片 14"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13612" name="图片 14" descr="图片包含 图表&#10;&#10;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796915"/>
                    </a:xfrm>
                    <a:prstGeom prst="rect">
                      <a:avLst/>
                    </a:prstGeom>
                  </pic:spPr>
                </pic:pic>
              </a:graphicData>
            </a:graphic>
          </wp:inline>
        </w:drawing>
      </w:r>
      <w:r>
        <w:rPr>
          <w:rFonts w:hint="eastAsia" w:ascii="Times New Roman" w:hAnsi="Times New Roman"/>
          <w:sz w:val="24"/>
          <w:lang w:eastAsia="zh-CN"/>
        </w:rPr>
        <w:t>Fig.</w:t>
      </w:r>
      <w:r>
        <w:rPr>
          <w:rFonts w:hint="eastAsia" w:ascii="Times New Roman" w:hAnsi="Times New Roman"/>
          <w:sz w:val="24"/>
        </w:rPr>
        <w:t xml:space="preserve"> S</w:t>
      </w:r>
      <w:r>
        <w:rPr>
          <w:rFonts w:ascii="Times New Roman" w:hAnsi="Times New Roman"/>
          <w:sz w:val="24"/>
        </w:rPr>
        <w:t>9</w:t>
      </w:r>
      <w:r>
        <w:rPr>
          <w:rFonts w:hint="eastAsia" w:ascii="Times New Roman" w:hAnsi="Times New Roman"/>
          <w:sz w:val="24"/>
        </w:rPr>
        <w:t>:</w:t>
      </w:r>
      <w:r>
        <w:rPr>
          <w:rFonts w:hint="eastAsia" w:ascii="Times New Roman" w:hAnsi="Times New Roman" w:eastAsia="楷体"/>
          <w:sz w:val="24"/>
        </w:rPr>
        <w:t xml:space="preserve"> The half maximal inhibitory concentration(IC50) of clinical first and second-line drugs for HCC subtypes. (A-D) Differences in sensitivity of HCC subtypes to sorafenib, cisplatin, paclitaxel, and gemcitabine.</w:t>
      </w:r>
      <w:r>
        <w:rPr>
          <w:rFonts w:ascii="Times New Roman" w:hAnsi="Times New Roman" w:eastAsia="楷体"/>
          <w:sz w:val="24"/>
        </w:rPr>
        <w:t xml:space="preserve"> (E-F) Drug sensitivity to chemotherapy in patients from the TCGA dataset based on the </w:t>
      </w:r>
      <w:r>
        <w:rPr>
          <w:rFonts w:ascii="Times New Roman" w:hAnsi="Times New Roman" w:eastAsia="楷体" w:cs="Times New Roman"/>
          <w:sz w:val="24"/>
        </w:rPr>
        <w:t>CTRP2.0</w:t>
      </w:r>
      <w:r>
        <w:rPr>
          <w:rFonts w:ascii="Times New Roman" w:hAnsi="Times New Roman" w:eastAsia="楷体"/>
          <w:sz w:val="24"/>
        </w:rPr>
        <w:t xml:space="preserve"> and PRISM database.</w:t>
      </w:r>
    </w:p>
    <w:p>
      <w:pPr>
        <w:rPr>
          <w:rFonts w:ascii="Times New Roman" w:hAnsi="Times New Roman"/>
          <w:sz w:val="24"/>
        </w:rPr>
      </w:pPr>
      <w:r>
        <w:rPr>
          <w:rFonts w:hint="eastAsia" w:ascii="Times New Roman" w:hAnsi="Times New Roman" w:cs="Times New Roman"/>
          <w:sz w:val="24"/>
        </w:rPr>
        <w:drawing>
          <wp:inline distT="0" distB="0" distL="0" distR="0">
            <wp:extent cx="3392170" cy="7043420"/>
            <wp:effectExtent l="0" t="0" r="11430" b="5080"/>
            <wp:docPr id="902008565" name="图片 15" descr="图片包含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08565" name="图片 15" descr="图片包含 表格&#10;&#10;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92424" cy="7043928"/>
                    </a:xfrm>
                    <a:prstGeom prst="rect">
                      <a:avLst/>
                    </a:prstGeom>
                  </pic:spPr>
                </pic:pic>
              </a:graphicData>
            </a:graphic>
          </wp:inline>
        </w:drawing>
      </w:r>
      <w:r>
        <w:rPr>
          <w:rFonts w:hint="eastAsia" w:ascii="Times New Roman" w:hAnsi="Times New Roman"/>
          <w:sz w:val="24"/>
        </w:rPr>
        <w:t xml:space="preserve"> </w:t>
      </w:r>
    </w:p>
    <w:p>
      <w:pPr>
        <w:rPr>
          <w:rFonts w:ascii="Times New Roman" w:hAnsi="Times New Roman" w:eastAsia="宋体" w:cs="Times New Roman"/>
          <w:sz w:val="24"/>
        </w:rPr>
      </w:pPr>
      <w:r>
        <w:rPr>
          <w:rFonts w:hint="eastAsia" w:ascii="Times New Roman" w:hAnsi="Times New Roman"/>
          <w:sz w:val="24"/>
          <w:lang w:eastAsia="zh-CN"/>
        </w:rPr>
        <w:t>Fig.</w:t>
      </w:r>
      <w:r>
        <w:rPr>
          <w:rFonts w:hint="eastAsia" w:ascii="Times New Roman" w:hAnsi="Times New Roman"/>
          <w:sz w:val="24"/>
        </w:rPr>
        <w:t xml:space="preserve"> S10: The survival curves of high and low score group patients and the correlation between CMLS and CMOIC subtypes in the external validation cohorts (GSE14520, GSE54236, ICGC_LIRI, Merge).</w:t>
      </w:r>
    </w:p>
    <w:p>
      <w:pPr>
        <w:rPr>
          <w:rFonts w:ascii="Calibri" w:hAnsi="Calibri" w:eastAsia="宋体" w:cs="Times New Roman"/>
          <w:sz w:val="24"/>
        </w:rPr>
      </w:pPr>
      <w:r>
        <w:rPr>
          <w:rFonts w:hint="eastAsia" w:ascii="Times New Roman" w:hAnsi="Times New Roman" w:cs="Times New Roman"/>
          <w:sz w:val="24"/>
        </w:rPr>
        <w:drawing>
          <wp:inline distT="0" distB="0" distL="0" distR="0">
            <wp:extent cx="5274310" cy="6421120"/>
            <wp:effectExtent l="0" t="0" r="8890" b="5080"/>
            <wp:docPr id="631847766" name="图片 16" descr="图示, 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47766" name="图片 16" descr="图示, 日程表&#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421120"/>
                    </a:xfrm>
                    <a:prstGeom prst="rect">
                      <a:avLst/>
                    </a:prstGeom>
                  </pic:spPr>
                </pic:pic>
              </a:graphicData>
            </a:graphic>
          </wp:inline>
        </w:drawing>
      </w:r>
      <w:r>
        <w:rPr>
          <w:rFonts w:hint="eastAsia" w:ascii="Times New Roman" w:hAnsi="Times New Roman"/>
          <w:sz w:val="24"/>
          <w:lang w:eastAsia="zh-CN"/>
        </w:rPr>
        <w:t>Fig.</w:t>
      </w:r>
      <w:r>
        <w:rPr>
          <w:rFonts w:hint="eastAsia" w:ascii="Times New Roman" w:hAnsi="Times New Roman"/>
          <w:sz w:val="24"/>
        </w:rPr>
        <w:t xml:space="preserve"> S11: Multivariate cox regression analysis of CMLS scores in external validation cohorts (GSE14520, GSE54236, ICGC_LIRI, Merge)</w:t>
      </w:r>
    </w:p>
    <w:p>
      <w:pPr>
        <w:rPr>
          <w:rFonts w:ascii="Times New Roman" w:hAnsi="Times New Roman" w:cs="Times New Roman"/>
          <w:sz w:val="24"/>
        </w:rPr>
      </w:pPr>
      <w:r>
        <w:rPr>
          <w:rFonts w:hint="eastAsia" w:ascii="Times New Roman" w:hAnsi="Times New Roman" w:cs="Times New Roman"/>
          <w:sz w:val="24"/>
        </w:rPr>
        <w:drawing>
          <wp:inline distT="0" distB="0" distL="0" distR="0">
            <wp:extent cx="5274310" cy="5582920"/>
            <wp:effectExtent l="0" t="0" r="8890" b="5080"/>
            <wp:docPr id="1417312100" name="图片 1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12100" name="图片 17" descr="图表&#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582920"/>
                    </a:xfrm>
                    <a:prstGeom prst="rect">
                      <a:avLst/>
                    </a:prstGeom>
                  </pic:spPr>
                </pic:pic>
              </a:graphicData>
            </a:graphic>
          </wp:inline>
        </w:drawing>
      </w:r>
    </w:p>
    <w:p>
      <w:pPr>
        <w:rPr>
          <w:rFonts w:ascii="Times New Roman" w:hAnsi="Times New Roman" w:eastAsia="楷体" w:cs="Times New Roman"/>
          <w:sz w:val="24"/>
        </w:rPr>
      </w:pPr>
      <w:r>
        <w:rPr>
          <w:rFonts w:hint="eastAsia" w:ascii="Times New Roman" w:hAnsi="Times New Roman"/>
          <w:sz w:val="24"/>
          <w:lang w:eastAsia="zh-CN"/>
        </w:rPr>
        <w:t>Fig.</w:t>
      </w:r>
      <w:r>
        <w:rPr>
          <w:rFonts w:hint="eastAsia" w:ascii="Times New Roman" w:hAnsi="Times New Roman"/>
          <w:sz w:val="24"/>
        </w:rPr>
        <w:t xml:space="preserve"> S12: Clinical practice value of CMLS. (A) </w:t>
      </w:r>
      <w:r>
        <w:rPr>
          <w:rFonts w:ascii="Times New Roman" w:hAnsi="Times New Roman" w:eastAsia="楷体"/>
          <w:sz w:val="24"/>
        </w:rPr>
        <w:t>A comprehensive nomogram constructed based on CMLS</w:t>
      </w:r>
      <w:r>
        <w:rPr>
          <w:rFonts w:hint="eastAsia" w:ascii="Times New Roman" w:hAnsi="Times New Roman" w:eastAsia="楷体"/>
          <w:sz w:val="24"/>
        </w:rPr>
        <w:t>,</w:t>
      </w:r>
      <w:r>
        <w:rPr>
          <w:rFonts w:ascii="Times New Roman" w:hAnsi="Times New Roman" w:eastAsia="楷体"/>
          <w:sz w:val="24"/>
        </w:rPr>
        <w:t xml:space="preserve"> </w:t>
      </w:r>
      <w:r>
        <w:rPr>
          <w:rFonts w:hint="eastAsia" w:ascii="Times New Roman" w:hAnsi="Times New Roman" w:eastAsia="楷体"/>
          <w:sz w:val="24"/>
        </w:rPr>
        <w:t xml:space="preserve">stage and CMOIC subtype. (B) </w:t>
      </w:r>
      <w:r>
        <w:rPr>
          <w:rFonts w:ascii="Times New Roman" w:hAnsi="Times New Roman" w:eastAsia="楷体"/>
          <w:sz w:val="24"/>
        </w:rPr>
        <w:t>Calibration curve for the comprehensive nomogram.</w:t>
      </w:r>
      <w:r>
        <w:rPr>
          <w:rFonts w:hint="eastAsia" w:ascii="Times New Roman" w:hAnsi="Times New Roman" w:eastAsia="楷体"/>
          <w:sz w:val="24"/>
        </w:rPr>
        <w:t xml:space="preserve"> (C-D) </w:t>
      </w:r>
      <w:r>
        <w:rPr>
          <w:rFonts w:ascii="Times New Roman" w:hAnsi="Times New Roman" w:eastAsia="楷体"/>
          <w:sz w:val="24"/>
        </w:rPr>
        <w:t xml:space="preserve">Net decision curve analyses demonstrating the benefit for the comprehensive nomogram in clinical practice for </w:t>
      </w:r>
      <w:r>
        <w:rPr>
          <w:rFonts w:hint="eastAsia" w:ascii="Times New Roman" w:hAnsi="Times New Roman" w:eastAsia="楷体"/>
          <w:sz w:val="24"/>
        </w:rPr>
        <w:t>HCC</w:t>
      </w:r>
      <w:r>
        <w:rPr>
          <w:rFonts w:ascii="Times New Roman" w:hAnsi="Times New Roman" w:eastAsia="楷体"/>
          <w:sz w:val="24"/>
        </w:rPr>
        <w:t xml:space="preserve"> patients</w:t>
      </w:r>
      <w:r>
        <w:rPr>
          <w:rFonts w:hint="eastAsia" w:ascii="Times New Roman" w:hAnsi="Times New Roman" w:eastAsia="楷体"/>
          <w:sz w:val="24"/>
        </w:rPr>
        <w:t>.</w:t>
      </w:r>
    </w:p>
    <w:p>
      <w:pPr>
        <w:rPr>
          <w:rFonts w:ascii="Times New Roman" w:hAnsi="Times New Roman" w:cs="Times New Roman"/>
          <w:sz w:val="24"/>
        </w:rPr>
      </w:pPr>
      <w:r>
        <w:rPr>
          <w:rFonts w:hint="eastAsia" w:ascii="Times New Roman" w:hAnsi="Times New Roman" w:cs="Times New Roman"/>
          <w:sz w:val="24"/>
        </w:rPr>
        <w:drawing>
          <wp:inline distT="0" distB="0" distL="0" distR="0">
            <wp:extent cx="5274310" cy="4081780"/>
            <wp:effectExtent l="0" t="0" r="8890" b="7620"/>
            <wp:docPr id="109635168" name="图片 19"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5168" name="图片 19" descr="图表, 条形图&#10;&#10;描述已自动生成"/>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081780"/>
                    </a:xfrm>
                    <a:prstGeom prst="rect">
                      <a:avLst/>
                    </a:prstGeom>
                  </pic:spPr>
                </pic:pic>
              </a:graphicData>
            </a:graphic>
          </wp:inline>
        </w:drawing>
      </w:r>
    </w:p>
    <w:p>
      <w:pPr>
        <w:rPr>
          <w:rFonts w:ascii="Times New Roman" w:hAnsi="Times New Roman" w:eastAsia="楷体" w:cs="Times New Roman"/>
          <w:sz w:val="24"/>
        </w:rPr>
      </w:pPr>
      <w:r>
        <w:rPr>
          <w:rFonts w:hint="eastAsia" w:ascii="Times New Roman" w:hAnsi="Times New Roman"/>
          <w:sz w:val="24"/>
          <w:lang w:eastAsia="zh-CN"/>
        </w:rPr>
        <w:t>Fig.</w:t>
      </w:r>
      <w:r>
        <w:rPr>
          <w:rFonts w:hint="eastAsia" w:ascii="Times New Roman" w:hAnsi="Times New Roman"/>
          <w:sz w:val="24"/>
        </w:rPr>
        <w:t xml:space="preserve"> S13: We selected SuperPC model characteristic genes with HR&gt;1.5, and displayed its C-index for identifying the CMOIC C subtype.</w:t>
      </w:r>
    </w:p>
    <w:p>
      <w:pPr>
        <w:rPr>
          <w:rFonts w:ascii="Times New Roman" w:hAnsi="Times New Roman" w:eastAsia="楷体" w:cs="Times New Roman"/>
          <w:sz w:val="24"/>
        </w:rPr>
      </w:pPr>
      <w:r>
        <w:rPr>
          <w:rFonts w:ascii="Times New Roman" w:hAnsi="Times New Roman" w:cs="Times New Roman"/>
          <w:sz w:val="24"/>
        </w:rPr>
        <w:drawing>
          <wp:inline distT="0" distB="0" distL="0" distR="0">
            <wp:extent cx="5274310" cy="6494780"/>
            <wp:effectExtent l="0" t="0" r="8890" b="7620"/>
            <wp:docPr id="998889154" name="图片 2"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89154" name="图片 2" descr="图片包含 图表&#10;&#10;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6494780"/>
                    </a:xfrm>
                    <a:prstGeom prst="rect">
                      <a:avLst/>
                    </a:prstGeom>
                  </pic:spPr>
                </pic:pic>
              </a:graphicData>
            </a:graphic>
          </wp:inline>
        </w:drawing>
      </w:r>
      <w:r>
        <w:rPr>
          <w:rFonts w:hint="eastAsia" w:ascii="Times New Roman" w:hAnsi="Times New Roman"/>
          <w:sz w:val="24"/>
          <w:lang w:eastAsia="zh-CN"/>
        </w:rPr>
        <w:t>Fig.</w:t>
      </w:r>
      <w:r>
        <w:rPr>
          <w:rFonts w:hint="eastAsia" w:ascii="Times New Roman" w:hAnsi="Times New Roman"/>
          <w:sz w:val="24"/>
        </w:rPr>
        <w:t xml:space="preserve"> S14: </w:t>
      </w:r>
      <w:r>
        <w:rPr>
          <w:rFonts w:ascii="Times New Roman" w:hAnsi="Times New Roman" w:eastAsia="楷体"/>
          <w:sz w:val="24"/>
        </w:rPr>
        <w:t>The public databases, BEST</w:t>
      </w:r>
      <w:r>
        <w:rPr>
          <w:rFonts w:hint="eastAsia" w:ascii="Times New Roman" w:hAnsi="Times New Roman" w:eastAsia="楷体"/>
          <w:sz w:val="24"/>
        </w:rPr>
        <w:t xml:space="preserve"> </w:t>
      </w:r>
      <w:r>
        <w:rPr>
          <w:rFonts w:ascii="Times New Roman" w:hAnsi="Times New Roman" w:eastAsia="楷体"/>
          <w:sz w:val="24"/>
        </w:rPr>
        <w:t>(https://rookieutopia.com/app_direct/BEST/) and GEPIA</w:t>
      </w:r>
      <w:r>
        <w:rPr>
          <w:rFonts w:hint="eastAsia" w:ascii="Times New Roman" w:hAnsi="Times New Roman" w:eastAsia="楷体"/>
          <w:sz w:val="24"/>
        </w:rPr>
        <w:t xml:space="preserve"> </w:t>
      </w:r>
      <w:r>
        <w:rPr>
          <w:rFonts w:ascii="Times New Roman" w:hAnsi="Times New Roman" w:eastAsia="楷体"/>
          <w:sz w:val="24"/>
        </w:rPr>
        <w:t xml:space="preserve">(http://gepia.cancer-pku.cn/), </w:t>
      </w:r>
      <w:r>
        <w:rPr>
          <w:rFonts w:hint="eastAsia" w:ascii="Times New Roman" w:hAnsi="Times New Roman" w:eastAsia="楷体"/>
          <w:sz w:val="24"/>
        </w:rPr>
        <w:t>we</w:t>
      </w:r>
      <w:r>
        <w:rPr>
          <w:rFonts w:ascii="Times New Roman" w:hAnsi="Times New Roman" w:eastAsia="楷体"/>
          <w:sz w:val="24"/>
        </w:rPr>
        <w:t>re used to analyze the prognostic hazard ratio (HR) and survival curve of O-glycosylated genes.</w:t>
      </w: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cs="Times New Roman"/>
          <w:sz w:val="24"/>
        </w:rPr>
      </w:pPr>
    </w:p>
    <w:p>
      <w:pPr>
        <w:rPr>
          <w:rFonts w:ascii="Times New Roman" w:hAnsi="Times New Roman" w:eastAsia="楷体" w:cs="Times New Roman"/>
          <w:sz w:val="24"/>
        </w:rPr>
      </w:pPr>
      <w:r>
        <w:rPr>
          <w:rFonts w:hint="eastAsia" w:ascii="Times New Roman" w:hAnsi="Times New Roman" w:cs="Times New Roman"/>
          <w:sz w:val="24"/>
        </w:rPr>
        <w:drawing>
          <wp:inline distT="0" distB="0" distL="0" distR="0">
            <wp:extent cx="2310130" cy="2740025"/>
            <wp:effectExtent l="0" t="0" r="1270" b="3175"/>
            <wp:docPr id="754532657"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32657" name="图片 3" descr="图表&#10;&#10;描述已自动生成"/>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0384" cy="2740152"/>
                    </a:xfrm>
                    <a:prstGeom prst="rect">
                      <a:avLst/>
                    </a:prstGeom>
                  </pic:spPr>
                </pic:pic>
              </a:graphicData>
            </a:graphic>
          </wp:inline>
        </w:drawing>
      </w:r>
      <w:r>
        <w:rPr>
          <w:rFonts w:hint="eastAsia" w:ascii="Times New Roman" w:hAnsi="Times New Roman" w:cs="Times New Roman"/>
          <w:sz w:val="24"/>
        </w:rPr>
        <w:drawing>
          <wp:inline distT="0" distB="0" distL="0" distR="0">
            <wp:extent cx="2227580" cy="2740025"/>
            <wp:effectExtent l="0" t="0" r="7620" b="3175"/>
            <wp:docPr id="1017989302" name="图片 4"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89302" name="图片 4" descr="图表, 箱线图&#10;&#10;描述已自动生成"/>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28088" cy="2740152"/>
                    </a:xfrm>
                    <a:prstGeom prst="rect">
                      <a:avLst/>
                    </a:prstGeom>
                  </pic:spPr>
                </pic:pic>
              </a:graphicData>
            </a:graphic>
          </wp:inline>
        </w:drawing>
      </w:r>
      <w:r>
        <w:rPr>
          <w:rFonts w:hint="eastAsia" w:ascii="Times New Roman" w:hAnsi="Times New Roman" w:eastAsia="楷体"/>
          <w:sz w:val="24"/>
        </w:rPr>
        <w:t xml:space="preserve"> </w:t>
      </w:r>
      <w:r>
        <w:rPr>
          <w:rFonts w:hint="eastAsia" w:ascii="Times New Roman" w:hAnsi="Times New Roman" w:eastAsia="楷体"/>
          <w:sz w:val="24"/>
          <w:lang w:eastAsia="zh-CN"/>
        </w:rPr>
        <w:t>Fig.</w:t>
      </w:r>
      <w:r>
        <w:rPr>
          <w:rFonts w:hint="eastAsia" w:ascii="Times New Roman" w:hAnsi="Times New Roman" w:eastAsia="楷体"/>
          <w:sz w:val="24"/>
        </w:rPr>
        <w:t xml:space="preserve"> S15-16: Immunohistochemistry statistical analysis of HUB genes DPM1 and POMT2 were conducted on 134 cases of HCC patients in our center, including tumor and normal tissues.</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lZjllOTQyYTAzYjFmODI0NjBlNmNhMjQ5MDUwNDUifQ=="/>
  </w:docVars>
  <w:rsids>
    <w:rsidRoot w:val="00000000"/>
    <w:rsid w:val="3497746A"/>
    <w:rsid w:val="4F443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2023-11-06T03:11:00Z</dcterms:created>
  <dc:creator>Administrator</dc:creator>
  <cp:lastModifiedBy>李洪旭</cp:lastModifiedBy>
  <dcterms:modified xsi:type="dcterms:W3CDTF">2023-11-09T14:41:06Z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996693F870624F3B824DC5F2CBBFA366_12</vt:lpwstr>
  </property>
</Properties>
</file>