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1A3C7" w14:textId="77777777" w:rsidR="000D3116" w:rsidRPr="00A1254B" w:rsidRDefault="000D3116" w:rsidP="000D3116">
      <w:pPr>
        <w:pStyle w:val="Heading2"/>
        <w:spacing w:line="480" w:lineRule="auto"/>
        <w:ind w:left="0" w:firstLine="0"/>
        <w:contextualSpacing/>
        <w:jc w:val="both"/>
        <w:rPr>
          <w:b/>
          <w:bCs/>
          <w:sz w:val="24"/>
          <w:szCs w:val="24"/>
          <w:u w:val="single"/>
        </w:rPr>
      </w:pPr>
      <w:r w:rsidRPr="00A1254B">
        <w:rPr>
          <w:b/>
          <w:bCs/>
          <w:color w:val="000000"/>
          <w:sz w:val="24"/>
          <w:szCs w:val="24"/>
          <w:u w:val="single"/>
        </w:rPr>
        <w:t xml:space="preserve">Appendix A. </w:t>
      </w:r>
      <w:r w:rsidRPr="00A1254B">
        <w:rPr>
          <w:b/>
          <w:bCs/>
          <w:sz w:val="24"/>
          <w:szCs w:val="24"/>
          <w:u w:val="single"/>
        </w:rPr>
        <w:t>Statistical considerations relating to regression calibration and Monte Carlo maximum likelihood</w:t>
      </w:r>
    </w:p>
    <w:p w14:paraId="1D94F99D" w14:textId="77777777" w:rsidR="000D3116" w:rsidRPr="00A1254B" w:rsidRDefault="000D3116" w:rsidP="000D3116">
      <w:pPr>
        <w:spacing w:after="0" w:line="480" w:lineRule="auto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 w:rsidRPr="00A1254B">
        <w:rPr>
          <w:rFonts w:ascii="Times New Roman" w:hAnsi="Times New Roman" w:cs="Times New Roman"/>
          <w:sz w:val="24"/>
          <w:szCs w:val="24"/>
        </w:rPr>
        <w:t xml:space="preserve">When one has a group of individuals with outcomes </w:t>
      </w:r>
      <w:r w:rsidR="00667A79"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440" w:dyaOrig="360" w14:anchorId="1B7CA6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2" type="#_x0000_t75" alt="" style="width:22.5pt;height:18pt;mso-width-percent:0;mso-height-percent:0;mso-width-percent:0;mso-height-percent:0" o:ole="" fillcolor="window">
            <v:imagedata r:id="rId8" o:title=""/>
          </v:shape>
          <o:OLEObject Type="Embed" ProgID="Equation.DSMT4" ShapeID="_x0000_i1102" DrawAspect="Content" ObjectID="_1763080878" r:id="rId9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(e.g. cancer) that are a function of unknown true doses </w:t>
      </w:r>
      <w:r w:rsidR="00667A79"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480" w:dyaOrig="360" w14:anchorId="46A930C0">
          <v:shape id="_x0000_i1103" type="#_x0000_t75" alt="" style="width:23.25pt;height:18pt;mso-width-percent:0;mso-height-percent:0;mso-width-percent:0;mso-height-percent:0" o:ole="" fillcolor="window">
            <v:imagedata r:id="rId10" o:title=""/>
          </v:shape>
          <o:OLEObject Type="Embed" ProgID="Equation.DSMT4" ShapeID="_x0000_i1103" DrawAspect="Content" ObjectID="_1763080879" r:id="rId11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the overall likelihood is given by </w:t>
      </w:r>
      <w:r w:rsidR="00667A79"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1440" w:dyaOrig="360" w14:anchorId="04A0DE41">
          <v:shape id="_x0000_i1104" type="#_x0000_t75" alt="" style="width:1in;height:18pt;mso-width-percent:0;mso-height-percent:0;mso-width-percent:0;mso-height-percent:0" o:ole="" fillcolor="window">
            <v:imagedata r:id="rId12" o:title=""/>
          </v:shape>
          <o:OLEObject Type="Embed" ProgID="Equation.DSMT4" ShapeID="_x0000_i1104" DrawAspect="Content" ObjectID="_1763080880" r:id="rId13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, where </w:t>
      </w:r>
      <w:r w:rsidR="00667A79" w:rsidRPr="00667A79">
        <w:rPr>
          <w:rFonts w:ascii="Times New Roman" w:hAnsi="Times New Roman" w:cs="Times New Roman"/>
          <w:noProof/>
          <w:spacing w:val="-2"/>
          <w:position w:val="-6"/>
          <w:sz w:val="24"/>
          <w:szCs w:val="24"/>
        </w:rPr>
        <w:object w:dxaOrig="220" w:dyaOrig="279" w14:anchorId="336CB89D">
          <v:shape id="_x0000_i1105" type="#_x0000_t75" alt="" style="width:10.5pt;height:14.25pt;mso-width-percent:0;mso-height-percent:0;mso-width-percent:0;mso-height-percent:0" o:ole="" fillcolor="window">
            <v:imagedata r:id="rId14" o:title=""/>
          </v:shape>
          <o:OLEObject Type="Embed" ProgID="Equation.DSMT4" ShapeID="_x0000_i1105" DrawAspect="Content" ObjectID="_1763080881" r:id="rId15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is some vector of unknown parameters, which will include (but in general not be limited to) regression coefficients in dose. [For notational simplicity we omit vectors of ancillary variables </w:t>
      </w:r>
      <w:r w:rsidR="00667A79"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460" w:dyaOrig="360" w14:anchorId="1CE69476">
          <v:shape id="_x0000_i1106" type="#_x0000_t75" alt="" style="width:22.5pt;height:18pt;mso-width-percent:0;mso-height-percent:0;mso-width-percent:0;mso-height-percent:0" o:ole="" fillcolor="window">
            <v:imagedata r:id="rId16" o:title=""/>
          </v:shape>
          <o:OLEObject Type="Embed" ProgID="Equation.DSMT4" ShapeID="_x0000_i1106" DrawAspect="Content" ObjectID="_1763080882" r:id="rId17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from the likelihood.] The likelihood, being a function of unknown quantities, cannot in general be evaluated. However, if we have nominal observed doses </w:t>
      </w:r>
      <w:r w:rsidR="00667A79"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440" w:dyaOrig="360" w14:anchorId="19DF5451">
          <v:shape id="_x0000_i1107" type="#_x0000_t75" alt="" style="width:22.5pt;height:18pt;mso-width-percent:0;mso-height-percent:0;mso-width-percent:0;mso-height-percent:0" o:ole="" fillcolor="window">
            <v:imagedata r:id="rId18" o:title=""/>
          </v:shape>
          <o:OLEObject Type="Embed" ProgID="Equation.DSMT4" ShapeID="_x0000_i1107" DrawAspect="Content" ObjectID="_1763080883" r:id="rId19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then we can evaluate the marginal likelihood:</w:t>
      </w:r>
    </w:p>
    <w:p w14:paraId="7738BA39" w14:textId="77777777" w:rsidR="000D3116" w:rsidRPr="00A1254B" w:rsidRDefault="000D3116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67A79" w:rsidRPr="00667A79">
        <w:rPr>
          <w:rFonts w:ascii="Times New Roman" w:hAnsi="Times New Roman" w:cs="Times New Roman"/>
          <w:noProof/>
          <w:spacing w:val="-2"/>
          <w:position w:val="-16"/>
          <w:sz w:val="24"/>
          <w:szCs w:val="24"/>
        </w:rPr>
        <w:object w:dxaOrig="5980" w:dyaOrig="440" w14:anchorId="3C2B4F8B">
          <v:shape id="_x0000_i1108" type="#_x0000_t75" alt="" style="width:300pt;height:22.5pt;mso-width-percent:0;mso-height-percent:0;mso-width-percent:0;mso-height-percent:0" o:ole="" fillcolor="window">
            <v:imagedata r:id="rId20" o:title=""/>
          </v:shape>
          <o:OLEObject Type="Embed" ProgID="Equation.DSMT4" ShapeID="_x0000_i1108" DrawAspect="Content" ObjectID="_1763080884" r:id="rId21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ab/>
        <w:t>(A1)</w:t>
      </w:r>
    </w:p>
    <w:p w14:paraId="564D13C4" w14:textId="00C81A16" w:rsidR="000D3116" w:rsidRPr="00A1254B" w:rsidRDefault="000D3116" w:rsidP="000D3116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54B">
        <w:rPr>
          <w:rFonts w:ascii="Times New Roman" w:hAnsi="Times New Roman" w:cs="Times New Roman"/>
          <w:sz w:val="24"/>
          <w:szCs w:val="24"/>
        </w:rPr>
        <w:t xml:space="preserve">In particular this expression forms the basis of Monte Carlo maximum likelihood, when the integral on the </w:t>
      </w:r>
      <w:proofErr w:type="gramStart"/>
      <w:r w:rsidRPr="00A1254B">
        <w:rPr>
          <w:rFonts w:ascii="Times New Roman" w:hAnsi="Times New Roman" w:cs="Times New Roman"/>
          <w:sz w:val="24"/>
          <w:szCs w:val="24"/>
        </w:rPr>
        <w:t>right hand</w:t>
      </w:r>
      <w:proofErr w:type="gramEnd"/>
      <w:r w:rsidRPr="00A1254B">
        <w:rPr>
          <w:rFonts w:ascii="Times New Roman" w:hAnsi="Times New Roman" w:cs="Times New Roman"/>
          <w:sz w:val="24"/>
          <w:szCs w:val="24"/>
        </w:rPr>
        <w:t xml:space="preserve"> side is replaced by a sum over Monte Carlo </w:t>
      </w:r>
      <w:proofErr w:type="spellStart"/>
      <w:r w:rsidRPr="00A1254B">
        <w:rPr>
          <w:rFonts w:ascii="Times New Roman" w:hAnsi="Times New Roman" w:cs="Times New Roman"/>
          <w:sz w:val="24"/>
          <w:szCs w:val="24"/>
        </w:rPr>
        <w:t>realisations</w:t>
      </w:r>
      <w:proofErr w:type="spellEnd"/>
      <w:r w:rsidRPr="00A1254B">
        <w:rPr>
          <w:rFonts w:ascii="Times New Roman" w:hAnsi="Times New Roman" w:cs="Times New Roman"/>
          <w:sz w:val="24"/>
          <w:szCs w:val="24"/>
        </w:rPr>
        <w:t xml:space="preserve"> </w:t>
      </w:r>
      <w:r w:rsidR="00667A79"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980" w:dyaOrig="360" w14:anchorId="549F65EC">
          <v:shape id="_x0000_i1109" type="#_x0000_t75" alt="" style="width:48.75pt;height:18pt;mso-width-percent:0;mso-height-percent:0;mso-width-percent:0;mso-height-percent:0" o:ole="" fillcolor="window">
            <v:imagedata r:id="rId22" o:title=""/>
          </v:shape>
          <o:OLEObject Type="Embed" ProgID="Equation.DSMT4" ShapeID="_x0000_i1109" DrawAspect="Content" ObjectID="_1763080885" r:id="rId23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667A79" w:rsidRPr="00667A79">
        <w:rPr>
          <w:rFonts w:ascii="Times New Roman" w:hAnsi="Times New Roman" w:cs="Times New Roman"/>
          <w:noProof/>
          <w:spacing w:val="-2"/>
          <w:position w:val="-6"/>
          <w:sz w:val="24"/>
          <w:szCs w:val="24"/>
        </w:rPr>
        <w:object w:dxaOrig="220" w:dyaOrig="279" w14:anchorId="76F96FD5">
          <v:shape id="_x0000_i1110" type="#_x0000_t75" alt="" style="width:10.5pt;height:14.25pt;mso-width-percent:0;mso-height-percent:0;mso-width-percent:0;mso-height-percent:0" o:ole="" fillcolor="window">
            <v:imagedata r:id="rId14" o:title=""/>
          </v:shape>
          <o:OLEObject Type="Embed" ProgID="Equation.DSMT4" ShapeID="_x0000_i1110" DrawAspect="Content" ObjectID="_1763080886" r:id="rId24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can then be </w:t>
      </w:r>
      <w:proofErr w:type="spellStart"/>
      <w:r w:rsidRPr="00A1254B">
        <w:rPr>
          <w:rFonts w:ascii="Times New Roman" w:hAnsi="Times New Roman" w:cs="Times New Roman"/>
          <w:spacing w:val="-2"/>
          <w:sz w:val="24"/>
          <w:szCs w:val="24"/>
        </w:rPr>
        <w:t>maximised</w:t>
      </w:r>
      <w:proofErr w:type="spellEnd"/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in the usual way, and the usual likelihood machinery applied to perform inference </w:t>
      </w:r>
      <w:r w:rsidR="00E00162">
        <w:rPr>
          <w:rFonts w:ascii="Times New Roman" w:hAnsi="Times New Roman" w:cs="Times New Roman"/>
          <w:spacing w:val="-2"/>
          <w:sz w:val="24"/>
          <w:szCs w:val="24"/>
        </w:rPr>
        <w:fldChar w:fldCharType="begin"/>
      </w:r>
      <w:r w:rsidR="0047451A">
        <w:rPr>
          <w:rFonts w:ascii="Times New Roman" w:hAnsi="Times New Roman" w:cs="Times New Roman"/>
          <w:spacing w:val="-2"/>
          <w:sz w:val="24"/>
          <w:szCs w:val="24"/>
        </w:rPr>
        <w:instrText xml:space="preserve"> ADDIN EN.CITE &lt;EndNote&gt;&lt;Cite&gt;&lt;Author&gt;Schervish&lt;/Author&gt;&lt;Year&gt;1995&lt;/Year&gt;&lt;RecNum&gt;26945&lt;/RecNum&gt;&lt;DisplayText&gt;&lt;style face="superscript"&gt;1&lt;/style&gt;&lt;/DisplayText&gt;&lt;record&gt;&lt;rec-number&gt;26945&lt;/rec-number&gt;&lt;foreign-keys&gt;&lt;key app="EN" db-id="vat2tevxfaawa3e22eovr9wnf9ffza0aaewf" timestamp="1382563463" guid="16e2369a-e53f-40ad-9d02-f45206d11655"&gt;26945&lt;/key&gt;&lt;/foreign-keys&gt;&lt;ref-type name="Book"&gt;6&lt;/ref-type&gt;&lt;contributors&gt;&lt;authors&gt;&lt;author&gt;Schervish,M.J.&lt;/author&gt;&lt;/authors&gt;&lt;/contributors&gt;&lt;titles&gt;&lt;title&gt;Theory of statistics&lt;/title&gt;&lt;/titles&gt;&lt;pages&gt;1-724&lt;/pages&gt;&lt;reprint-edition&gt;Not in File&lt;/reprint-edition&gt;&lt;keywords&gt;&lt;keyword&gt;Statistics&lt;/keyword&gt;&lt;/keywords&gt;&lt;dates&gt;&lt;year&gt;1995&lt;/year&gt;&lt;pub-dates&gt;&lt;date&gt;1995&lt;/date&gt;&lt;/pub-dates&gt;&lt;/dates&gt;&lt;pub-location&gt;New York, NY&lt;/pub-location&gt;&lt;publisher&gt;Springer Verlag&lt;/publisher&gt;&lt;isbn&gt;978-0387945460&lt;/isbn&gt;&lt;label&gt;27134&lt;/label&gt;&lt;urls&gt;&lt;/urls&gt;&lt;/record&gt;&lt;/Cite&gt;&lt;/EndNote&gt;</w:instrText>
      </w:r>
      <w:r w:rsidR="00E00162">
        <w:rPr>
          <w:rFonts w:ascii="Times New Roman" w:hAnsi="Times New Roman" w:cs="Times New Roman"/>
          <w:spacing w:val="-2"/>
          <w:sz w:val="24"/>
          <w:szCs w:val="24"/>
        </w:rPr>
        <w:fldChar w:fldCharType="separate"/>
      </w:r>
      <w:r w:rsidR="0047451A" w:rsidRPr="0047451A">
        <w:rPr>
          <w:rFonts w:ascii="Times New Roman" w:hAnsi="Times New Roman" w:cs="Times New Roman"/>
          <w:noProof/>
          <w:spacing w:val="-2"/>
          <w:sz w:val="24"/>
          <w:szCs w:val="24"/>
          <w:vertAlign w:val="superscript"/>
        </w:rPr>
        <w:t>1</w:t>
      </w:r>
      <w:r w:rsidR="00E00162">
        <w:rPr>
          <w:rFonts w:ascii="Times New Roman" w:hAnsi="Times New Roman" w:cs="Times New Roman"/>
          <w:spacing w:val="-2"/>
          <w:sz w:val="24"/>
          <w:szCs w:val="24"/>
        </w:rPr>
        <w:fldChar w:fldCharType="end"/>
      </w:r>
      <w:r w:rsidRPr="00A1254B">
        <w:rPr>
          <w:rFonts w:ascii="Times New Roman" w:hAnsi="Times New Roman" w:cs="Times New Roman"/>
          <w:sz w:val="24"/>
          <w:szCs w:val="24"/>
        </w:rPr>
        <w:t xml:space="preserve">. </w: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By Taylor’s theorem we may expand the likelihood function </w:t>
      </w:r>
      <w:r w:rsidR="00667A79"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1440" w:dyaOrig="360" w14:anchorId="75C66C05">
          <v:shape id="_x0000_i1111" type="#_x0000_t75" alt="" style="width:1in;height:18pt;mso-width-percent:0;mso-height-percent:0;mso-width-percent:0;mso-height-percent:0" o:ole="" fillcolor="window">
            <v:imagedata r:id="rId25" o:title=""/>
          </v:shape>
          <o:OLEObject Type="Embed" ProgID="Equation.DSMT4" ShapeID="_x0000_i1111" DrawAspect="Content" ObjectID="_1763080887" r:id="rId26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65FC382B" w14:textId="77777777" w:rsidR="000D3116" w:rsidRPr="00A1254B" w:rsidRDefault="00667A79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7A79">
        <w:rPr>
          <w:rFonts w:ascii="Times New Roman" w:hAnsi="Times New Roman" w:cs="Times New Roman"/>
          <w:noProof/>
          <w:spacing w:val="-2"/>
          <w:position w:val="-78"/>
          <w:sz w:val="24"/>
          <w:szCs w:val="24"/>
        </w:rPr>
        <w:object w:dxaOrig="9600" w:dyaOrig="1680" w14:anchorId="2962D6AB">
          <v:shape id="_x0000_i1112" type="#_x0000_t75" alt="" style="width:479.25pt;height:84pt;mso-width-percent:0;mso-height-percent:0;mso-width-percent:0;mso-height-percent:0" o:ole="" fillcolor="window">
            <v:imagedata r:id="rId27" o:title=""/>
          </v:shape>
          <o:OLEObject Type="Embed" ProgID="Equation.DSMT4" ShapeID="_x0000_i1112" DrawAspect="Content" ObjectID="_1763080888" r:id="rId28"/>
        </w:object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  <w:t>(A2)</w:t>
      </w:r>
    </w:p>
    <w:p w14:paraId="1803AE07" w14:textId="77777777" w:rsidR="000D3116" w:rsidRPr="00A1254B" w:rsidRDefault="000D3116" w:rsidP="000D3116">
      <w:pPr>
        <w:spacing w:after="0" w:line="48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A1254B">
        <w:rPr>
          <w:rFonts w:ascii="Times New Roman" w:hAnsi="Times New Roman" w:cs="Times New Roman"/>
          <w:spacing w:val="-2"/>
          <w:sz w:val="24"/>
          <w:szCs w:val="24"/>
        </w:rPr>
        <w:t>Therefore</w:t>
      </w:r>
      <w:proofErr w:type="gramEnd"/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the marginal likelihood, analogous to (A1), obtained by taking conditional expectations of both sides in (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>2) can be written:</w:t>
      </w:r>
    </w:p>
    <w:p w14:paraId="6038054D" w14:textId="77777777" w:rsidR="000D3116" w:rsidRPr="00A1254B" w:rsidRDefault="00667A79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7A79">
        <w:rPr>
          <w:rFonts w:ascii="Times New Roman" w:hAnsi="Times New Roman" w:cs="Times New Roman"/>
          <w:noProof/>
          <w:spacing w:val="-2"/>
          <w:position w:val="-176"/>
          <w:sz w:val="24"/>
          <w:szCs w:val="24"/>
        </w:rPr>
        <w:object w:dxaOrig="8120" w:dyaOrig="4420" w14:anchorId="36CA0964">
          <v:shape id="_x0000_i1113" type="#_x0000_t75" alt="" style="width:400.5pt;height:218.25pt;mso-width-percent:0;mso-height-percent:0;mso-width-percent:0;mso-height-percent:0" o:ole="" fillcolor="window">
            <v:imagedata r:id="rId29" o:title=""/>
          </v:shape>
          <o:OLEObject Type="Embed" ProgID="Equation.DSMT4" ShapeID="_x0000_i1113" DrawAspect="Content" ObjectID="_1763080889" r:id="rId30"/>
        </w:object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>(A3)</w:t>
      </w:r>
    </w:p>
    <w:p w14:paraId="6030551B" w14:textId="77777777" w:rsidR="000D3116" w:rsidRPr="00A1254B" w:rsidRDefault="000D3116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254B">
        <w:rPr>
          <w:rFonts w:ascii="Times New Roman" w:hAnsi="Times New Roman" w:cs="Times New Roman"/>
          <w:spacing w:val="-2"/>
          <w:sz w:val="24"/>
          <w:szCs w:val="24"/>
        </w:rPr>
        <w:t>This makes use of the fact that:</w:t>
      </w:r>
    </w:p>
    <w:p w14:paraId="393DC97F" w14:textId="77777777" w:rsidR="000D3116" w:rsidRPr="00A1254B" w:rsidRDefault="000D3116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67A79" w:rsidRPr="00667A79">
        <w:rPr>
          <w:rFonts w:ascii="Times New Roman" w:hAnsi="Times New Roman" w:cs="Times New Roman"/>
          <w:noProof/>
          <w:spacing w:val="-2"/>
          <w:position w:val="-82"/>
          <w:sz w:val="24"/>
          <w:szCs w:val="24"/>
        </w:rPr>
        <w:object w:dxaOrig="5780" w:dyaOrig="1760" w14:anchorId="4E7E5858">
          <v:shape id="_x0000_i1114" type="#_x0000_t75" alt="" style="width:285.75pt;height:86.25pt;mso-width-percent:0;mso-height-percent:0;mso-width-percent:0;mso-height-percent:0" o:ole="" fillcolor="window">
            <v:imagedata r:id="rId31" o:title=""/>
          </v:shape>
          <o:OLEObject Type="Embed" ProgID="Equation.DSMT4" ShapeID="_x0000_i1114" DrawAspect="Content" ObjectID="_1763080890" r:id="rId32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ab/>
        <w:t>(A4)</w:t>
      </w:r>
    </w:p>
    <w:p w14:paraId="1267DB11" w14:textId="77777777" w:rsidR="000D3116" w:rsidRPr="00A1254B" w:rsidRDefault="000D3116" w:rsidP="000D3116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If we can neglect the quadratic and higher order terms in </w:t>
      </w:r>
      <w:r w:rsidR="00667A79"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1600" w:dyaOrig="360" w14:anchorId="2CB17EA4">
          <v:shape id="_x0000_i1115" type="#_x0000_t75" alt="" style="width:78.75pt;height:18pt;mso-width-percent:0;mso-height-percent:0;mso-width-percent:0;mso-height-percent:0" o:ole="" fillcolor="window">
            <v:imagedata r:id="rId33" o:title=""/>
          </v:shape>
          <o:OLEObject Type="Embed" ProgID="Equation.DSMT4" ShapeID="_x0000_i1115" DrawAspect="Content" ObjectID="_1763080891" r:id="rId34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the marginal likelihood (A3) therefore reduces to:</w:t>
      </w:r>
    </w:p>
    <w:p w14:paraId="354BCB0E" w14:textId="77777777" w:rsidR="000D3116" w:rsidRPr="00A1254B" w:rsidRDefault="00667A79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2700" w:dyaOrig="360" w14:anchorId="52D502A3">
          <v:shape id="_x0000_i1116" type="#_x0000_t75" alt="" style="width:135pt;height:18pt;mso-width-percent:0;mso-height-percent:0;mso-width-percent:0;mso-height-percent:0" o:ole="" fillcolor="window">
            <v:imagedata r:id="rId35" o:title=""/>
          </v:shape>
          <o:OLEObject Type="Embed" ProgID="Equation.DSMT4" ShapeID="_x0000_i1116" DrawAspect="Content" ObjectID="_1763080892" r:id="rId36"/>
        </w:object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  <w:t>(A5)</w:t>
      </w:r>
    </w:p>
    <w:p w14:paraId="37B9B48C" w14:textId="27338C55" w:rsidR="000D3116" w:rsidRPr="00A1254B" w:rsidRDefault="000D3116" w:rsidP="000D3116">
      <w:pPr>
        <w:spacing w:after="0" w:line="48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254B">
        <w:rPr>
          <w:rFonts w:ascii="Times New Roman" w:hAnsi="Times New Roman" w:cs="Times New Roman"/>
          <w:sz w:val="24"/>
          <w:szCs w:val="24"/>
        </w:rPr>
        <w:t xml:space="preserve">In this expression we therefore simply substitute true dose </w:t>
      </w:r>
      <w:r w:rsidR="00667A79"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480" w:dyaOrig="360" w14:anchorId="3C81FEC9">
          <v:shape id="_x0000_i1117" type="#_x0000_t75" alt="" style="width:23.25pt;height:18pt;mso-width-percent:0;mso-height-percent:0;mso-width-percent:0;mso-height-percent:0" o:ole="" fillcolor="window">
            <v:imagedata r:id="rId10" o:title=""/>
          </v:shape>
          <o:OLEObject Type="Embed" ProgID="Equation.DSMT4" ShapeID="_x0000_i1117" DrawAspect="Content" ObjectID="_1763080893" r:id="rId37"/>
        </w:object>
      </w:r>
      <w:r w:rsidRPr="00A1254B">
        <w:rPr>
          <w:rFonts w:ascii="Times New Roman" w:hAnsi="Times New Roman" w:cs="Times New Roman"/>
          <w:sz w:val="24"/>
          <w:szCs w:val="24"/>
        </w:rPr>
        <w:t xml:space="preserve">in the likelihood by the conditional expectation of the true dose with respect to the nominal dose </w:t>
      </w:r>
      <w:r w:rsidR="00667A79"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440" w:dyaOrig="360" w14:anchorId="618A851A">
          <v:shape id="_x0000_i1118" type="#_x0000_t75" alt="" style="width:22.5pt;height:18pt;mso-width-percent:0;mso-height-percent:0;mso-width-percent:0;mso-height-percent:0" o:ole="" fillcolor="window">
            <v:imagedata r:id="rId18" o:title=""/>
          </v:shape>
          <o:OLEObject Type="Embed" ProgID="Equation.DSMT4" ShapeID="_x0000_i1118" DrawAspect="Content" ObjectID="_1763080894" r:id="rId38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667A79"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1280" w:dyaOrig="360" w14:anchorId="2764822A">
          <v:shape id="_x0000_i1119" type="#_x0000_t75" alt="" style="width:63pt;height:18pt;mso-width-percent:0;mso-height-percent:0;mso-width-percent:0;mso-height-percent:0" o:ole="" fillcolor="window">
            <v:imagedata r:id="rId39" o:title=""/>
          </v:shape>
          <o:OLEObject Type="Embed" ProgID="Equation.DSMT4" ShapeID="_x0000_i1119" DrawAspect="Content" ObjectID="_1763080895" r:id="rId40"/>
        </w:object>
      </w:r>
      <w:r w:rsidRPr="00A1254B">
        <w:rPr>
          <w:rFonts w:ascii="Times New Roman" w:hAnsi="Times New Roman" w:cs="Times New Roman"/>
          <w:sz w:val="24"/>
          <w:szCs w:val="24"/>
        </w:rPr>
        <w:t xml:space="preserve">. This is the basis of regression calibration </w:t>
      </w:r>
      <w:r w:rsidR="00E00162">
        <w:rPr>
          <w:rFonts w:ascii="Times New Roman" w:hAnsi="Times New Roman" w:cs="Times New Roman"/>
          <w:sz w:val="24"/>
          <w:szCs w:val="24"/>
        </w:rPr>
        <w:fldChar w:fldCharType="begin"/>
      </w:r>
      <w:r w:rsidR="0047451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&lt;EndNote&gt;&lt;Cite&gt;&lt;Author&gt;Carroll&lt;/Author&gt;&lt;Year&gt;2006&lt;/Year&gt;&lt;RecNum&gt;9219&lt;/RecNum&gt;&lt;DisplayText&gt;&lt;style face="superscript"&gt;2&lt;/style&gt;&lt;/DisplayText&gt;&lt;record&gt;&lt;rec-number&gt;9219&lt;/rec-number&gt;&lt;foreign-keys&gt;&lt;key app="EN" db-id="vat2tevxfaawa3e22eovr9wnf9ffza0aaewf" timestamp="1382563375" guid="0b0d86a5-7cf6-4885-b414-28fdb1978be1"&gt;9219&lt;/key&gt;&lt;/foreign-keys&gt;&lt;ref-type name="Generic"&gt;13&lt;/ref-type&gt;&lt;contributors&gt;&lt;authors&gt;&lt;author&gt;Carroll,R.J.&lt;/author&gt;&lt;author&gt;Ruppert,D.&lt;/author&gt;&lt;author&gt;Stefanski,L.A.&lt;/author&gt;&lt;author&gt;Crainiceanu,C.M.&lt;/author&gt;&lt;/authors&gt;&lt;/contributors&gt;&lt;titles&gt;&lt;title&gt;Measurement error in nonlinear models. A modern perspective&lt;/title&gt;&lt;/titles&gt;&lt;pages&gt;1-488&lt;/pages&gt;&lt;reprint-edition&gt;In File&lt;/reprint-edition&gt;&lt;keywords&gt;&lt;keyword&gt;measurement error&lt;/keyword&gt;&lt;keyword&gt;ERROR&lt;/keyword&gt;&lt;keyword&gt;MODELS&lt;/keyword&gt;&lt;keyword&gt;MODEL&lt;/keyword&gt;&lt;keyword&gt;PERSPECTIVE&lt;/keyword&gt;&lt;/keywords&gt;&lt;dates&gt;&lt;year&gt;2006&lt;/year&gt;&lt;pub-dates&gt;&lt;date&gt;2006&lt;/date&gt;&lt;/pub-dates&gt;&lt;/dates&gt;&lt;pub-location&gt;Boca Raton, FL&lt;/pub-location&gt;&lt;publisher&gt;Chapman and Hall/CRC&lt;/publisher&gt;&lt;isbn&gt;978-1584886334&lt;/isbn&gt;&lt;label&gt;9270&lt;/label&gt;&lt;urls&gt;&lt;/urls&gt;&lt;/record&gt;&lt;/Cite&gt;&lt;/EndNote&gt;</w:instrText>
      </w:r>
      <w:r w:rsidR="00E00162">
        <w:rPr>
          <w:rFonts w:ascii="Times New Roman" w:hAnsi="Times New Roman" w:cs="Times New Roman"/>
          <w:sz w:val="24"/>
          <w:szCs w:val="24"/>
        </w:rPr>
        <w:fldChar w:fldCharType="separate"/>
      </w:r>
      <w:r w:rsidR="0047451A" w:rsidRPr="0047451A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="00E00162">
        <w:rPr>
          <w:rFonts w:ascii="Times New Roman" w:hAnsi="Times New Roman" w:cs="Times New Roman"/>
          <w:sz w:val="24"/>
          <w:szCs w:val="24"/>
        </w:rPr>
        <w:fldChar w:fldCharType="end"/>
      </w:r>
      <w:r w:rsidRPr="00A1254B">
        <w:rPr>
          <w:rFonts w:ascii="Times New Roman" w:hAnsi="Times New Roman" w:cs="Times New Roman"/>
          <w:sz w:val="24"/>
          <w:szCs w:val="24"/>
        </w:rPr>
        <w:t xml:space="preserve">. If either the dose errors or the regression coefficient in dose are </w:t>
      </w:r>
      <w:proofErr w:type="gramStart"/>
      <w:r w:rsidRPr="00A1254B">
        <w:rPr>
          <w:rFonts w:ascii="Times New Roman" w:hAnsi="Times New Roman" w:cs="Times New Roman"/>
          <w:sz w:val="24"/>
          <w:szCs w:val="24"/>
        </w:rPr>
        <w:t>large</w:t>
      </w:r>
      <w:proofErr w:type="gramEnd"/>
      <w:r w:rsidRPr="00A1254B">
        <w:rPr>
          <w:rFonts w:ascii="Times New Roman" w:hAnsi="Times New Roman" w:cs="Times New Roman"/>
          <w:sz w:val="24"/>
          <w:szCs w:val="24"/>
        </w:rPr>
        <w:t xml:space="preserve"> then the quadratic terms cannot be neglected. </w:t>
      </w:r>
      <w:proofErr w:type="gramStart"/>
      <w:r w:rsidRPr="00A1254B">
        <w:rPr>
          <w:rFonts w:ascii="Times New Roman" w:hAnsi="Times New Roman" w:cs="Times New Roman"/>
          <w:sz w:val="24"/>
          <w:szCs w:val="24"/>
        </w:rPr>
        <w:t>In particular these</w:t>
      </w:r>
      <w:proofErr w:type="gramEnd"/>
      <w:r w:rsidRPr="00A1254B">
        <w:rPr>
          <w:rFonts w:ascii="Times New Roman" w:hAnsi="Times New Roman" w:cs="Times New Roman"/>
          <w:sz w:val="24"/>
          <w:szCs w:val="24"/>
        </w:rPr>
        <w:t xml:space="preserve"> quadratic terms may include non-trivial terms for the interindividual correlations of the </w:t>
      </w:r>
      <w:r w:rsidR="00667A79"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480" w:dyaOrig="360" w14:anchorId="692EBE3A">
          <v:shape id="_x0000_i1120" type="#_x0000_t75" alt="" style="width:23.25pt;height:18pt;mso-width-percent:0;mso-height-percent:0;mso-width-percent:0;mso-height-percent:0" o:ole="" fillcolor="window">
            <v:imagedata r:id="rId41" o:title=""/>
          </v:shape>
          <o:OLEObject Type="Embed" ProgID="Equation.DSMT4" ShapeID="_x0000_i1120" DrawAspect="Content" ObjectID="_1763080896" r:id="rId42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6A503E3E" w14:textId="77777777" w:rsidR="000D3116" w:rsidRPr="00A1254B" w:rsidRDefault="000D3116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254B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When the quadratic terms in dose cannot be </w:t>
      </w:r>
      <w:proofErr w:type="gramStart"/>
      <w:r w:rsidRPr="00A1254B">
        <w:rPr>
          <w:rFonts w:ascii="Times New Roman" w:hAnsi="Times New Roman" w:cs="Times New Roman"/>
          <w:spacing w:val="-2"/>
          <w:sz w:val="24"/>
          <w:szCs w:val="24"/>
        </w:rPr>
        <w:t>neglected</w:t>
      </w:r>
      <w:proofErr w:type="gramEnd"/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we can use (A3) to derive a correction to the plug in term for the marginal likelihood </w:t>
      </w:r>
      <w:r w:rsidR="00667A79"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2700" w:dyaOrig="360" w14:anchorId="2D4C4D8B">
          <v:shape id="_x0000_i1121" type="#_x0000_t75" alt="" style="width:135pt;height:18pt;mso-width-percent:0;mso-height-percent:0;mso-width-percent:0;mso-height-percent:0" o:ole="" fillcolor="window">
            <v:imagedata r:id="rId35" o:title=""/>
          </v:shape>
          <o:OLEObject Type="Embed" ProgID="Equation.DSMT4" ShapeID="_x0000_i1121" DrawAspect="Content" ObjectID="_1763080897" r:id="rId43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to make it more nearly approximate the true marginal likelihood </w:t>
      </w:r>
      <w:r w:rsidR="00667A79" w:rsidRPr="00667A79">
        <w:rPr>
          <w:rFonts w:ascii="Times New Roman" w:hAnsi="Times New Roman" w:cs="Times New Roman"/>
          <w:noProof/>
          <w:spacing w:val="-2"/>
          <w:position w:val="-16"/>
          <w:sz w:val="24"/>
          <w:szCs w:val="24"/>
        </w:rPr>
        <w:object w:dxaOrig="2760" w:dyaOrig="440" w14:anchorId="7194C3A2">
          <v:shape id="_x0000_i1122" type="#_x0000_t75" alt="" style="width:136.5pt;height:22.5pt;mso-width-percent:0;mso-height-percent:0;mso-width-percent:0;mso-height-percent:0" o:ole="" fillcolor="window">
            <v:imagedata r:id="rId44" o:title=""/>
          </v:shape>
          <o:OLEObject Type="Embed" ProgID="Equation.DSMT4" ShapeID="_x0000_i1122" DrawAspect="Content" ObjectID="_1763080898" r:id="rId45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14:paraId="2370B322" w14:textId="77777777" w:rsidR="000D3116" w:rsidRPr="00A1254B" w:rsidRDefault="000D3116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It should be noted that the error terms in (A3) can be to some extent numerically evaluated. For example, suppose that a Poisson model is assumed for disease cases or deaths, so that for individual </w:t>
      </w:r>
      <w:r w:rsidR="00667A79" w:rsidRPr="00667A79">
        <w:rPr>
          <w:rFonts w:ascii="Times New Roman" w:hAnsi="Times New Roman" w:cs="Times New Roman"/>
          <w:noProof/>
          <w:spacing w:val="-2"/>
          <w:position w:val="-6"/>
          <w:sz w:val="24"/>
          <w:szCs w:val="24"/>
        </w:rPr>
        <w:object w:dxaOrig="139" w:dyaOrig="260" w14:anchorId="39884AEF">
          <v:shape id="_x0000_i1123" type="#_x0000_t75" alt="" style="width:6.75pt;height:12.75pt;mso-width-percent:0;mso-height-percent:0;mso-width-percent:0;mso-height-percent:0" o:ole="">
            <v:imagedata r:id="rId46" o:title=""/>
          </v:shape>
          <o:OLEObject Type="Embed" ProgID="Equation.DSMT4" ShapeID="_x0000_i1123" DrawAspect="Content" ObjectID="_1763080899" r:id="rId47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the expected number of cases/deaths is given by a linear-quadratic relative risk model:</w:t>
      </w:r>
    </w:p>
    <w:p w14:paraId="3594D454" w14:textId="77777777" w:rsidR="000D3116" w:rsidRPr="00A1254B" w:rsidRDefault="00667A79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3460" w:dyaOrig="380" w14:anchorId="2F245771">
          <v:shape id="_x0000_i1124" type="#_x0000_t75" alt="" style="width:172.5pt;height:19.5pt;mso-width-percent:0;mso-height-percent:0;mso-width-percent:0;mso-height-percent:0" o:ole="">
            <v:imagedata r:id="rId48" o:title=""/>
          </v:shape>
          <o:OLEObject Type="Embed" ProgID="Equation.DSMT4" ShapeID="_x0000_i1124" DrawAspect="Content" ObjectID="_1763080900" r:id="rId49"/>
        </w:object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  <w:t>(A6)</w:t>
      </w:r>
    </w:p>
    <w:p w14:paraId="29A25E1A" w14:textId="77777777" w:rsidR="000D3116" w:rsidRPr="00A1254B" w:rsidRDefault="000D3116" w:rsidP="000D3116">
      <w:pPr>
        <w:pStyle w:val="Heading2"/>
        <w:spacing w:line="480" w:lineRule="auto"/>
        <w:ind w:left="0" w:firstLine="0"/>
        <w:contextualSpacing/>
        <w:jc w:val="both"/>
        <w:rPr>
          <w:spacing w:val="-2"/>
          <w:sz w:val="24"/>
          <w:szCs w:val="24"/>
        </w:rPr>
      </w:pPr>
      <w:r w:rsidRPr="00A1254B">
        <w:rPr>
          <w:color w:val="000000"/>
          <w:sz w:val="24"/>
          <w:szCs w:val="24"/>
          <w:lang w:val="en-GB"/>
        </w:rPr>
        <w:t xml:space="preserve">where </w:t>
      </w:r>
      <w:r w:rsidR="00667A79" w:rsidRPr="00667A79">
        <w:rPr>
          <w:noProof/>
          <w:spacing w:val="-2"/>
          <w:position w:val="-12"/>
          <w:sz w:val="24"/>
          <w:szCs w:val="24"/>
        </w:rPr>
        <w:object w:dxaOrig="400" w:dyaOrig="360" w14:anchorId="796BC58F">
          <v:shape id="_x0000_i1125" type="#_x0000_t75" alt="" style="width:21pt;height:18pt;mso-width-percent:0;mso-height-percent:0;mso-width-percent:0;mso-height-percent:0" o:ole="">
            <v:imagedata r:id="rId50" o:title=""/>
          </v:shape>
          <o:OLEObject Type="Embed" ProgID="Equation.DSMT4" ShapeID="_x0000_i1125" DrawAspect="Content" ObjectID="_1763080901" r:id="rId51"/>
        </w:object>
      </w:r>
      <w:r w:rsidRPr="00A1254B">
        <w:rPr>
          <w:spacing w:val="-2"/>
          <w:sz w:val="24"/>
          <w:szCs w:val="24"/>
        </w:rPr>
        <w:t xml:space="preserve"> is the number of person years, the baseline disease rate is given by a specified parametric function</w:t>
      </w:r>
      <w:r>
        <w:rPr>
          <w:spacing w:val="-2"/>
          <w:sz w:val="24"/>
          <w:szCs w:val="24"/>
        </w:rPr>
        <w:t xml:space="preserve"> </w:t>
      </w:r>
      <w:r w:rsidR="00667A79" w:rsidRPr="00667A79">
        <w:rPr>
          <w:noProof/>
          <w:spacing w:val="-2"/>
          <w:position w:val="-10"/>
          <w:sz w:val="24"/>
          <w:szCs w:val="24"/>
        </w:rPr>
        <w:object w:dxaOrig="400" w:dyaOrig="320" w14:anchorId="320F5A36">
          <v:shape id="_x0000_i1126" type="#_x0000_t75" alt="" style="width:21pt;height:17.25pt;mso-width-percent:0;mso-height-percent:0;mso-width-percent:0;mso-height-percent:0" o:ole="">
            <v:imagedata r:id="rId52" o:title=""/>
          </v:shape>
          <o:OLEObject Type="Embed" ProgID="Equation.DSMT4" ShapeID="_x0000_i1126" DrawAspect="Content" ObjectID="_1763080902" r:id="rId53"/>
        </w:object>
      </w:r>
      <w:r w:rsidRPr="00A1254B">
        <w:rPr>
          <w:spacing w:val="-2"/>
          <w:sz w:val="24"/>
          <w:szCs w:val="24"/>
        </w:rPr>
        <w:t xml:space="preserve"> of a vector of covariates </w:t>
      </w:r>
      <w:r w:rsidR="00667A79" w:rsidRPr="00667A79">
        <w:rPr>
          <w:noProof/>
          <w:spacing w:val="-2"/>
          <w:position w:val="-12"/>
          <w:sz w:val="24"/>
          <w:szCs w:val="24"/>
        </w:rPr>
        <w:object w:dxaOrig="460" w:dyaOrig="360" w14:anchorId="605D81FD">
          <v:shape id="_x0000_i1127" type="#_x0000_t75" alt="" style="width:23.25pt;height:18pt;mso-width-percent:0;mso-height-percent:0;mso-width-percent:0;mso-height-percent:0" o:ole="">
            <v:imagedata r:id="rId54" o:title=""/>
          </v:shape>
          <o:OLEObject Type="Embed" ProgID="Equation.DSMT4" ShapeID="_x0000_i1127" DrawAspect="Content" ObjectID="_1763080903" r:id="rId55"/>
        </w:object>
      </w:r>
      <w:r w:rsidRPr="00A1254B">
        <w:rPr>
          <w:spacing w:val="-2"/>
          <w:sz w:val="24"/>
          <w:szCs w:val="24"/>
        </w:rPr>
        <w:t xml:space="preserve">and a vector of unknown parameters </w:t>
      </w:r>
      <w:r w:rsidR="00667A79" w:rsidRPr="00667A79">
        <w:rPr>
          <w:noProof/>
          <w:spacing w:val="-2"/>
          <w:position w:val="-12"/>
          <w:sz w:val="24"/>
          <w:szCs w:val="24"/>
        </w:rPr>
        <w:object w:dxaOrig="499" w:dyaOrig="380" w14:anchorId="241BD18B">
          <v:shape id="_x0000_i1128" type="#_x0000_t75" alt="" style="width:24.75pt;height:19.5pt;mso-width-percent:0;mso-height-percent:0;mso-width-percent:0;mso-height-percent:0" o:ole="">
            <v:imagedata r:id="rId56" o:title=""/>
          </v:shape>
          <o:OLEObject Type="Embed" ProgID="Equation.DSMT4" ShapeID="_x0000_i1128" DrawAspect="Content" ObjectID="_1763080904" r:id="rId57"/>
        </w:object>
      </w:r>
      <w:r w:rsidRPr="00A1254B">
        <w:rPr>
          <w:spacing w:val="-2"/>
          <w:sz w:val="24"/>
          <w:szCs w:val="24"/>
        </w:rPr>
        <w:t xml:space="preserve">. Assuming that </w:t>
      </w:r>
      <w:r w:rsidR="00667A79" w:rsidRPr="00667A79">
        <w:rPr>
          <w:noProof/>
          <w:spacing w:val="-2"/>
          <w:position w:val="-12"/>
          <w:sz w:val="24"/>
          <w:szCs w:val="24"/>
        </w:rPr>
        <w:object w:dxaOrig="240" w:dyaOrig="360" w14:anchorId="54061BD5">
          <v:shape id="_x0000_i1129" type="#_x0000_t75" alt="" style="width:12pt;height:18pt;mso-width-percent:0;mso-height-percent:0;mso-width-percent:0;mso-height-percent:0" o:ole="">
            <v:imagedata r:id="rId58" o:title=""/>
          </v:shape>
          <o:OLEObject Type="Embed" ProgID="Equation.DSMT4" ShapeID="_x0000_i1129" DrawAspect="Content" ObjectID="_1763080905" r:id="rId59"/>
        </w:object>
      </w:r>
      <w:r w:rsidRPr="00A1254B">
        <w:rPr>
          <w:spacing w:val="-2"/>
          <w:sz w:val="24"/>
          <w:szCs w:val="24"/>
        </w:rPr>
        <w:t xml:space="preserve"> is the number of deaths/cases then we may write the likelihood as:</w:t>
      </w:r>
    </w:p>
    <w:p w14:paraId="5500DF24" w14:textId="77777777" w:rsidR="000D3116" w:rsidRPr="00A1254B" w:rsidRDefault="00667A79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7A79">
        <w:rPr>
          <w:rFonts w:ascii="Times New Roman" w:hAnsi="Times New Roman" w:cs="Times New Roman"/>
          <w:noProof/>
          <w:spacing w:val="-2"/>
          <w:position w:val="-30"/>
          <w:sz w:val="24"/>
          <w:szCs w:val="24"/>
        </w:rPr>
        <w:object w:dxaOrig="3600" w:dyaOrig="720" w14:anchorId="59B5096F">
          <v:shape id="_x0000_i1130" type="#_x0000_t75" alt="" style="width:180.75pt;height:36.75pt;mso-width-percent:0;mso-height-percent:0;mso-width-percent:0;mso-height-percent:0" o:ole="" fillcolor="window">
            <v:imagedata r:id="rId60" o:title=""/>
          </v:shape>
          <o:OLEObject Type="Embed" ProgID="Equation.DSMT4" ShapeID="_x0000_i1130" DrawAspect="Content" ObjectID="_1763080906" r:id="rId61"/>
        </w:object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  <w:t>(A7)</w:t>
      </w:r>
    </w:p>
    <w:p w14:paraId="1D7D3DCC" w14:textId="77777777" w:rsidR="000D3116" w:rsidRPr="00A1254B" w:rsidRDefault="000D3116" w:rsidP="000D3116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1254B">
        <w:rPr>
          <w:rFonts w:ascii="Times New Roman" w:hAnsi="Times New Roman" w:cs="Times New Roman"/>
          <w:sz w:val="24"/>
          <w:szCs w:val="24"/>
          <w:lang w:val="en-GB"/>
        </w:rPr>
        <w:t>Then:</w:t>
      </w:r>
    </w:p>
    <w:p w14:paraId="68B88D27" w14:textId="77777777" w:rsidR="000D3116" w:rsidRPr="00A1254B" w:rsidRDefault="00667A79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7A79">
        <w:rPr>
          <w:rFonts w:ascii="Times New Roman" w:hAnsi="Times New Roman" w:cs="Times New Roman"/>
          <w:noProof/>
          <w:spacing w:val="-2"/>
          <w:position w:val="-32"/>
          <w:sz w:val="24"/>
          <w:szCs w:val="24"/>
        </w:rPr>
        <w:object w:dxaOrig="5560" w:dyaOrig="780" w14:anchorId="452040F4">
          <v:shape id="_x0000_i1131" type="#_x0000_t75" alt="" style="width:279pt;height:38.25pt;mso-width-percent:0;mso-height-percent:0;mso-width-percent:0;mso-height-percent:0" o:ole="" fillcolor="window">
            <v:imagedata r:id="rId62" o:title=""/>
          </v:shape>
          <o:OLEObject Type="Embed" ProgID="Equation.DSMT4" ShapeID="_x0000_i1131" DrawAspect="Content" ObjectID="_1763080907" r:id="rId63"/>
        </w:object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  <w:t>(A8)</w:t>
      </w:r>
    </w:p>
    <w:p w14:paraId="0B0C0D67" w14:textId="77777777" w:rsidR="000D3116" w:rsidRPr="00A1254B" w:rsidRDefault="000D3116" w:rsidP="000D3116">
      <w:pPr>
        <w:spacing w:after="0" w:line="48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254B">
        <w:rPr>
          <w:rFonts w:ascii="Times New Roman" w:hAnsi="Times New Roman" w:cs="Times New Roman"/>
          <w:spacing w:val="-2"/>
          <w:sz w:val="24"/>
          <w:szCs w:val="24"/>
        </w:rPr>
        <w:t>and:</w:t>
      </w:r>
    </w:p>
    <w:p w14:paraId="686AE209" w14:textId="77777777" w:rsidR="000D3116" w:rsidRPr="00A1254B" w:rsidRDefault="00667A79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7A79">
        <w:rPr>
          <w:rFonts w:ascii="Times New Roman" w:hAnsi="Times New Roman" w:cs="Times New Roman"/>
          <w:noProof/>
          <w:spacing w:val="-2"/>
          <w:position w:val="-74"/>
          <w:sz w:val="24"/>
          <w:szCs w:val="24"/>
        </w:rPr>
        <w:object w:dxaOrig="7780" w:dyaOrig="1600" w14:anchorId="5B4E19C5">
          <v:shape id="_x0000_i1132" type="#_x0000_t75" alt="" style="width:390pt;height:79.5pt;mso-width-percent:0;mso-height-percent:0;mso-width-percent:0;mso-height-percent:0" o:ole="" fillcolor="window">
            <v:imagedata r:id="rId64" o:title=""/>
          </v:shape>
          <o:OLEObject Type="Embed" ProgID="Equation.DSMT4" ShapeID="_x0000_i1132" DrawAspect="Content" ObjectID="_1763080908" r:id="rId65"/>
        </w:object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  <w:t>(A9)</w:t>
      </w:r>
    </w:p>
    <w:p w14:paraId="676E6742" w14:textId="77777777" w:rsidR="000D3116" w:rsidRPr="00A1254B" w:rsidRDefault="000D3116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1254B">
        <w:rPr>
          <w:rFonts w:ascii="Times New Roman" w:hAnsi="Times New Roman" w:cs="Times New Roman"/>
          <w:sz w:val="24"/>
          <w:szCs w:val="24"/>
          <w:lang w:val="en-GB"/>
        </w:rPr>
        <w:t>We can straightforwardly evaluate many parts of this expression. From (A6) we have:</w:t>
      </w:r>
    </w:p>
    <w:p w14:paraId="117C2FB6" w14:textId="77777777" w:rsidR="000D3116" w:rsidRPr="00A1254B" w:rsidRDefault="00667A79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7A79">
        <w:rPr>
          <w:rFonts w:ascii="Times New Roman" w:hAnsi="Times New Roman" w:cs="Times New Roman"/>
          <w:noProof/>
          <w:spacing w:val="-2"/>
          <w:position w:val="-32"/>
          <w:sz w:val="24"/>
          <w:szCs w:val="24"/>
        </w:rPr>
        <w:object w:dxaOrig="3560" w:dyaOrig="700" w14:anchorId="18DF73A7">
          <v:shape id="_x0000_i1133" type="#_x0000_t75" alt="" style="width:177.75pt;height:35.25pt;mso-width-percent:0;mso-height-percent:0;mso-width-percent:0;mso-height-percent:0" o:ole="">
            <v:imagedata r:id="rId66" o:title=""/>
          </v:shape>
          <o:OLEObject Type="Embed" ProgID="Equation.DSMT4" ShapeID="_x0000_i1133" DrawAspect="Content" ObjectID="_1763080909" r:id="rId67"/>
        </w:object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  <w:t>(A10)</w:t>
      </w:r>
    </w:p>
    <w:p w14:paraId="643F1FB3" w14:textId="77777777" w:rsidR="000D3116" w:rsidRPr="00A1254B" w:rsidRDefault="00667A79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7A79">
        <w:rPr>
          <w:rFonts w:ascii="Times New Roman" w:hAnsi="Times New Roman" w:cs="Times New Roman"/>
          <w:noProof/>
          <w:spacing w:val="-2"/>
          <w:position w:val="-32"/>
          <w:sz w:val="24"/>
          <w:szCs w:val="24"/>
        </w:rPr>
        <w:object w:dxaOrig="3240" w:dyaOrig="740" w14:anchorId="2ED439B9">
          <v:shape id="_x0000_i1134" type="#_x0000_t75" alt="" style="width:162pt;height:36.75pt;mso-width-percent:0;mso-height-percent:0;mso-width-percent:0;mso-height-percent:0" o:ole="">
            <v:imagedata r:id="rId68" o:title=""/>
          </v:shape>
          <o:OLEObject Type="Embed" ProgID="Equation.DSMT4" ShapeID="_x0000_i1134" DrawAspect="Content" ObjectID="_1763080910" r:id="rId69"/>
        </w:object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  <w:t>(A11)</w:t>
      </w:r>
    </w:p>
    <w:p w14:paraId="64AFF3E9" w14:textId="77777777" w:rsidR="000D3116" w:rsidRPr="00A1254B" w:rsidRDefault="000D3116" w:rsidP="000D3116">
      <w:pPr>
        <w:spacing w:after="0" w:line="48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254B">
        <w:rPr>
          <w:rFonts w:ascii="Times New Roman" w:hAnsi="Times New Roman" w:cs="Times New Roman"/>
          <w:spacing w:val="-2"/>
          <w:sz w:val="24"/>
          <w:szCs w:val="24"/>
        </w:rPr>
        <w:t>since only the dose to each individual cell is assumed (by (A6)) to affect that individual cell. This implies that (A8) and (A9) simplify considerably, as follows:</w:t>
      </w:r>
    </w:p>
    <w:p w14:paraId="4D2D2256" w14:textId="77777777" w:rsidR="000D3116" w:rsidRPr="00A1254B" w:rsidRDefault="00667A79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7A79">
        <w:rPr>
          <w:rFonts w:ascii="Times New Roman" w:hAnsi="Times New Roman" w:cs="Times New Roman"/>
          <w:noProof/>
          <w:spacing w:val="-2"/>
          <w:position w:val="-74"/>
          <w:sz w:val="24"/>
          <w:szCs w:val="24"/>
        </w:rPr>
        <w:object w:dxaOrig="5480" w:dyaOrig="1600" w14:anchorId="01116853">
          <v:shape id="_x0000_i1135" type="#_x0000_t75" alt="" style="width:274.5pt;height:79.5pt;mso-width-percent:0;mso-height-percent:0;mso-width-percent:0;mso-height-percent:0" o:ole="" fillcolor="window">
            <v:imagedata r:id="rId70" o:title=""/>
          </v:shape>
          <o:OLEObject Type="Embed" ProgID="Equation.DSMT4" ShapeID="_x0000_i1135" DrawAspect="Content" ObjectID="_1763080911" r:id="rId71"/>
        </w:object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ab/>
        <w:t>(A12)</w:t>
      </w:r>
    </w:p>
    <w:p w14:paraId="578B1E46" w14:textId="77777777" w:rsidR="000D3116" w:rsidRPr="00A1254B" w:rsidRDefault="000D3116" w:rsidP="000D3116">
      <w:pPr>
        <w:spacing w:after="0" w:line="48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254B">
        <w:rPr>
          <w:rFonts w:ascii="Times New Roman" w:hAnsi="Times New Roman" w:cs="Times New Roman"/>
          <w:spacing w:val="-2"/>
          <w:sz w:val="24"/>
          <w:szCs w:val="24"/>
        </w:rPr>
        <w:t>and:</w:t>
      </w:r>
    </w:p>
    <w:p w14:paraId="0F1545E4" w14:textId="77777777" w:rsidR="000D3116" w:rsidRPr="00A1254B" w:rsidRDefault="00667A79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7A79">
        <w:rPr>
          <w:rFonts w:ascii="Times New Roman" w:hAnsi="Times New Roman" w:cs="Times New Roman"/>
          <w:noProof/>
          <w:spacing w:val="-2"/>
          <w:position w:val="-172"/>
          <w:sz w:val="24"/>
          <w:szCs w:val="24"/>
        </w:rPr>
        <w:object w:dxaOrig="8080" w:dyaOrig="3560" w14:anchorId="26DD4D31">
          <v:shape id="_x0000_i1136" type="#_x0000_t75" alt="" style="width:403.5pt;height:177pt;mso-width-percent:0;mso-height-percent:0;mso-width-percent:0;mso-height-percent:0" o:ole="" fillcolor="window">
            <v:imagedata r:id="rId72" o:title=""/>
          </v:shape>
          <o:OLEObject Type="Embed" ProgID="Equation.DSMT4" ShapeID="_x0000_i1136" DrawAspect="Content" ObjectID="_1763080912" r:id="rId73"/>
        </w:object>
      </w:r>
      <w:r w:rsidR="000D3116" w:rsidRPr="00A1254B">
        <w:rPr>
          <w:rFonts w:ascii="Times New Roman" w:hAnsi="Times New Roman" w:cs="Times New Roman"/>
          <w:spacing w:val="-2"/>
          <w:sz w:val="24"/>
          <w:szCs w:val="24"/>
        </w:rPr>
        <w:t>(A13)</w:t>
      </w:r>
    </w:p>
    <w:p w14:paraId="3E26E2DE" w14:textId="1FD3B839" w:rsidR="000D3116" w:rsidRPr="00592DE6" w:rsidRDefault="000D3116" w:rsidP="000D3116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 w:rsidRPr="00A1254B">
        <w:rPr>
          <w:rFonts w:ascii="Times New Roman" w:hAnsi="Times New Roman" w:cs="Times New Roman"/>
          <w:sz w:val="24"/>
          <w:szCs w:val="24"/>
          <w:lang w:val="en-GB"/>
        </w:rPr>
        <w:t xml:space="preserve">All expressions in (A12) or (A13) are then evaluated at </w:t>
      </w:r>
      <w:r w:rsidR="00667A79"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1620" w:dyaOrig="360" w14:anchorId="0D3966BB">
          <v:shape id="_x0000_i1137" type="#_x0000_t75" alt="" style="width:81pt;height:18pt;mso-width-percent:0;mso-height-percent:0;mso-width-percent:0;mso-height-percent:0" o:ole="" fillcolor="window">
            <v:imagedata r:id="rId74" o:title=""/>
          </v:shape>
          <o:OLEObject Type="Embed" ProgID="Equation.DSMT4" ShapeID="_x0000_i1137" DrawAspect="Content" ObjectID="_1763080913" r:id="rId75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and</w:t>
      </w:r>
      <w:r w:rsidRPr="00A1254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67A79" w:rsidRPr="00667A79">
        <w:rPr>
          <w:rFonts w:ascii="Times New Roman" w:hAnsi="Times New Roman" w:cs="Times New Roman"/>
          <w:noProof/>
          <w:spacing w:val="-2"/>
          <w:position w:val="-14"/>
          <w:sz w:val="24"/>
          <w:szCs w:val="24"/>
        </w:rPr>
        <w:object w:dxaOrig="1700" w:dyaOrig="380" w14:anchorId="620AFA3F">
          <v:shape id="_x0000_i1138" type="#_x0000_t75" alt="" style="width:84pt;height:19.5pt;mso-width-percent:0;mso-height-percent:0;mso-width-percent:0;mso-height-percent:0" o:ole="" fillcolor="window">
            <v:imagedata r:id="rId76" o:title=""/>
          </v:shape>
          <o:OLEObject Type="Embed" ProgID="Equation.DSMT4" ShapeID="_x0000_i1138" DrawAspect="Content" ObjectID="_1763080914" r:id="rId77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for the purposes of plugging into expression (A3). </w:t>
      </w:r>
      <w:r w:rsidRPr="00A1254B">
        <w:rPr>
          <w:rFonts w:ascii="Times New Roman" w:hAnsi="Times New Roman" w:cs="Times New Roman"/>
          <w:sz w:val="24"/>
          <w:szCs w:val="24"/>
          <w:lang w:val="en-GB"/>
        </w:rPr>
        <w:t xml:space="preserve">The covariance of the </w:t>
      </w:r>
      <w:r w:rsidR="00667A79" w:rsidRPr="00667A79">
        <w:rPr>
          <w:rFonts w:ascii="Times New Roman" w:hAnsi="Times New Roman" w:cs="Times New Roman"/>
          <w:noProof/>
          <w:spacing w:val="-2"/>
          <w:position w:val="-12"/>
          <w:sz w:val="24"/>
          <w:szCs w:val="24"/>
        </w:rPr>
        <w:object w:dxaOrig="1600" w:dyaOrig="360" w14:anchorId="2695E11B">
          <v:shape id="_x0000_i1139" type="#_x0000_t75" alt="" style="width:78.75pt;height:18pt;mso-width-percent:0;mso-height-percent:0;mso-width-percent:0;mso-height-percent:0" o:ole="" fillcolor="window">
            <v:imagedata r:id="rId33" o:title=""/>
          </v:shape>
          <o:OLEObject Type="Embed" ProgID="Equation.DSMT4" ShapeID="_x0000_i1139" DrawAspect="Content" ObjectID="_1763080915" r:id="rId78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and</w:t>
      </w:r>
      <w:r w:rsidRPr="00A1254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67A79" w:rsidRPr="00667A79">
        <w:rPr>
          <w:rFonts w:ascii="Times New Roman" w:hAnsi="Times New Roman" w:cs="Times New Roman"/>
          <w:noProof/>
          <w:spacing w:val="-2"/>
          <w:position w:val="-14"/>
          <w:sz w:val="24"/>
          <w:szCs w:val="24"/>
        </w:rPr>
        <w:object w:dxaOrig="1660" w:dyaOrig="380" w14:anchorId="10D5E57A">
          <v:shape id="_x0000_i1140" type="#_x0000_t75" alt="" style="width:81pt;height:19.5pt;mso-width-percent:0;mso-height-percent:0;mso-width-percent:0;mso-height-percent:0" o:ole="" fillcolor="window">
            <v:imagedata r:id="rId79" o:title=""/>
          </v:shape>
          <o:OLEObject Type="Embed" ProgID="Equation.DSMT4" ShapeID="_x0000_i1140" DrawAspect="Content" ObjectID="_1763080916" r:id="rId80"/>
        </w:object>
      </w:r>
      <w:r w:rsidRPr="00A1254B">
        <w:rPr>
          <w:rFonts w:ascii="Times New Roman" w:hAnsi="Times New Roman" w:cs="Times New Roman"/>
          <w:spacing w:val="-2"/>
          <w:sz w:val="24"/>
          <w:szCs w:val="24"/>
        </w:rPr>
        <w:t xml:space="preserve"> can be straightforwardly derived from the output of a Monte Carlo dosimetry system, if such a thing exists. If the error distributions are known by other means (e.g. analytical or theoretical understanding of the dosimetry) the necessary low dimensional </w:t>
      </w:r>
      <w:r w:rsidRPr="00A1254B">
        <w:rPr>
          <w:rFonts w:ascii="Times New Roman" w:hAnsi="Times New Roman" w:cs="Times New Roman"/>
          <w:sz w:val="24"/>
          <w:szCs w:val="24"/>
          <w:lang w:val="en-GB"/>
        </w:rPr>
        <w:t xml:space="preserve">(2D) numerical integrals can be evaluated, possibly numerically, e.g., using </w:t>
      </w:r>
      <w:proofErr w:type="spellStart"/>
      <w:r w:rsidRPr="00A1254B">
        <w:rPr>
          <w:rFonts w:ascii="Times New Roman" w:hAnsi="Times New Roman" w:cs="Times New Roman"/>
          <w:sz w:val="24"/>
          <w:szCs w:val="24"/>
          <w:lang w:val="en-GB"/>
        </w:rPr>
        <w:t>Bulirsch-Stoer</w:t>
      </w:r>
      <w:proofErr w:type="spellEnd"/>
      <w:r w:rsidRPr="00A1254B">
        <w:rPr>
          <w:rFonts w:ascii="Times New Roman" w:hAnsi="Times New Roman" w:cs="Times New Roman"/>
          <w:sz w:val="24"/>
          <w:szCs w:val="24"/>
          <w:lang w:val="en-GB"/>
        </w:rPr>
        <w:t xml:space="preserve"> or other adaptive numerical integrators </w:t>
      </w:r>
      <w:r w:rsidR="00E00162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="0047451A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 &lt;EndNote&gt;&lt;Cite&gt;&lt;Author&gt;Press&lt;/Author&gt;&lt;Year&gt;1992&lt;/Year&gt;&lt;RecNum&gt;19980&lt;/RecNum&gt;&lt;DisplayText&gt;&lt;style face="superscript"&gt;3&lt;/style&gt;&lt;/DisplayText&gt;&lt;record&gt;&lt;rec-number&gt;19980&lt;/rec-number&gt;&lt;foreign-keys&gt;&lt;key app="EN" db-id="vat2tevxfaawa3e22eovr9wnf9ffza0aaewf" timestamp="1382563435" guid="349d4b17-1810-4e39-af5e-f3561d4decbc"&gt;19980&lt;/key&gt;&lt;/foreign-keys&gt;&lt;ref-type name="Generic"&gt;13&lt;/ref-type&gt;&lt;contributors&gt;&lt;authors&gt;&lt;author&gt;Press,W.H.&lt;/author&gt;&lt;author&gt;Teukolsky,S.A.&lt;/author&gt;&lt;author&gt;Vetterling,W.T.&lt;/author&gt;&lt;author&gt;Flannery,B.P.&lt;/author&gt;&lt;/authors&gt;&lt;/contributors&gt;&lt;titles&gt;&lt;title&gt;Numerical recipes in Fortran 77. The art of scientific computing. 2nd edition&lt;/title&gt;&lt;/titles&gt;&lt;pages&gt;1-934&lt;/pages&gt;&lt;reprint-edition&gt;Not in File&lt;/reprint-edition&gt;&lt;keywords&gt;&lt;keyword&gt;2ND&lt;/keyword&gt;&lt;/keywords&gt;&lt;dates&gt;&lt;year&gt;1992&lt;/year&gt;&lt;pub-dates&gt;&lt;date&gt;1992&lt;/date&gt;&lt;/pub-dates&gt;&lt;/dates&gt;&lt;pub-location&gt;Cambridge&lt;/pub-location&gt;&lt;publisher&gt;Cambridge University Press&lt;/publisher&gt;&lt;isbn&gt;0-521-43064-X&lt;/isbn&gt;&lt;label&gt;20153&lt;/label&gt;&lt;urls&gt;&lt;/urls&gt;&lt;/record&gt;&lt;/Cite&gt;&lt;/EndNote&gt;</w:instrText>
      </w:r>
      <w:r w:rsidR="00E00162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="0047451A" w:rsidRPr="0047451A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3</w:t>
      </w:r>
      <w:r w:rsidR="00E00162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Pr="00A1254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592DE6">
        <w:rPr>
          <w:rFonts w:ascii="Times New Roman" w:hAnsi="Times New Roman" w:cs="Times New Roman"/>
        </w:rPr>
        <w:t xml:space="preserve"> </w:t>
      </w:r>
    </w:p>
    <w:p w14:paraId="74DA2A79" w14:textId="77777777" w:rsidR="000D3116" w:rsidRPr="00A1254B" w:rsidRDefault="000D3116" w:rsidP="000D3116">
      <w:pPr>
        <w:spacing w:after="0" w:line="48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  <w:sectPr w:rsidR="000D3116" w:rsidRPr="00A1254B">
          <w:footerReference w:type="default" r:id="rId81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1DA046EC" w14:textId="77777777" w:rsidR="00E00162" w:rsidRDefault="0062504B" w:rsidP="008E1CBF">
      <w:pPr>
        <w:spacing w:after="0" w:line="240" w:lineRule="auto"/>
        <w:ind w:left="567" w:hanging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2A6BB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References</w:t>
      </w:r>
    </w:p>
    <w:p w14:paraId="737E33C5" w14:textId="77777777" w:rsidR="00E00162" w:rsidRPr="0047451A" w:rsidRDefault="00E00162" w:rsidP="008E1CBF">
      <w:pPr>
        <w:spacing w:after="0" w:line="240" w:lineRule="auto"/>
        <w:ind w:left="567" w:hanging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6E808203" w14:textId="77777777" w:rsidR="0047451A" w:rsidRPr="0047451A" w:rsidRDefault="00E00162" w:rsidP="0047451A">
      <w:pPr>
        <w:pStyle w:val="EndNoteBibliography"/>
        <w:spacing w:after="0"/>
        <w:ind w:left="720" w:hanging="720"/>
        <w:rPr>
          <w:sz w:val="24"/>
          <w:szCs w:val="24"/>
        </w:rPr>
      </w:pPr>
      <w:r w:rsidRPr="0047451A">
        <w:rPr>
          <w:b/>
          <w:bCs/>
          <w:sz w:val="24"/>
          <w:szCs w:val="24"/>
          <w:u w:val="single"/>
          <w:lang w:val="en-GB"/>
        </w:rPr>
        <w:fldChar w:fldCharType="begin"/>
      </w:r>
      <w:r w:rsidRPr="0047451A">
        <w:rPr>
          <w:b/>
          <w:bCs/>
          <w:sz w:val="24"/>
          <w:szCs w:val="24"/>
          <w:u w:val="single"/>
          <w:lang w:val="en-GB"/>
        </w:rPr>
        <w:instrText xml:space="preserve"> ADDIN EN.REFLIST </w:instrText>
      </w:r>
      <w:r w:rsidRPr="0047451A">
        <w:rPr>
          <w:b/>
          <w:bCs/>
          <w:sz w:val="24"/>
          <w:szCs w:val="24"/>
          <w:u w:val="single"/>
          <w:lang w:val="en-GB"/>
        </w:rPr>
        <w:fldChar w:fldCharType="separate"/>
      </w:r>
      <w:r w:rsidR="0047451A" w:rsidRPr="0047451A">
        <w:rPr>
          <w:sz w:val="24"/>
          <w:szCs w:val="24"/>
        </w:rPr>
        <w:t>1</w:t>
      </w:r>
      <w:r w:rsidR="0047451A" w:rsidRPr="0047451A">
        <w:rPr>
          <w:sz w:val="24"/>
          <w:szCs w:val="24"/>
        </w:rPr>
        <w:tab/>
        <w:t xml:space="preserve">Schervish, M. J. </w:t>
      </w:r>
      <w:r w:rsidR="0047451A" w:rsidRPr="0047451A">
        <w:rPr>
          <w:i/>
          <w:sz w:val="24"/>
          <w:szCs w:val="24"/>
        </w:rPr>
        <w:t>Theory of statistics</w:t>
      </w:r>
      <w:r w:rsidR="0047451A" w:rsidRPr="0047451A">
        <w:rPr>
          <w:sz w:val="24"/>
          <w:szCs w:val="24"/>
        </w:rPr>
        <w:t>.  (Springer Verlag, 1995).</w:t>
      </w:r>
    </w:p>
    <w:p w14:paraId="0F03E6F6" w14:textId="77777777" w:rsidR="0047451A" w:rsidRPr="0047451A" w:rsidRDefault="0047451A" w:rsidP="0047451A">
      <w:pPr>
        <w:pStyle w:val="EndNoteBibliography"/>
        <w:spacing w:after="0"/>
        <w:ind w:left="720" w:hanging="720"/>
        <w:rPr>
          <w:sz w:val="24"/>
          <w:szCs w:val="24"/>
        </w:rPr>
      </w:pPr>
      <w:r w:rsidRPr="0047451A">
        <w:rPr>
          <w:sz w:val="24"/>
          <w:szCs w:val="24"/>
        </w:rPr>
        <w:t>2</w:t>
      </w:r>
      <w:r w:rsidRPr="0047451A">
        <w:rPr>
          <w:sz w:val="24"/>
          <w:szCs w:val="24"/>
        </w:rPr>
        <w:tab/>
        <w:t>Carroll, R. J., Ruppert, D., Stefanski, L. A. &amp; Crainiceanu, C. M.     1-488 (Chapman and Hall/CRC, Boca Raton, FL, 2006).</w:t>
      </w:r>
    </w:p>
    <w:p w14:paraId="77560114" w14:textId="77777777" w:rsidR="0047451A" w:rsidRPr="0047451A" w:rsidRDefault="0047451A" w:rsidP="0047451A">
      <w:pPr>
        <w:pStyle w:val="EndNoteBibliography"/>
        <w:ind w:left="720" w:hanging="720"/>
        <w:rPr>
          <w:sz w:val="24"/>
          <w:szCs w:val="24"/>
        </w:rPr>
      </w:pPr>
      <w:r w:rsidRPr="0047451A">
        <w:rPr>
          <w:sz w:val="24"/>
          <w:szCs w:val="24"/>
        </w:rPr>
        <w:t>3</w:t>
      </w:r>
      <w:r w:rsidRPr="0047451A">
        <w:rPr>
          <w:sz w:val="24"/>
          <w:szCs w:val="24"/>
        </w:rPr>
        <w:tab/>
        <w:t>Press, W. H., Teukolsky, S. A., Vetterling, W. T. &amp; Flannery, B. P.     1-934 (Cambridge University Press, Cambridge, 1992).</w:t>
      </w:r>
    </w:p>
    <w:p w14:paraId="30F843E3" w14:textId="1E352195" w:rsidR="00C35316" w:rsidRPr="0047451A" w:rsidRDefault="00E00162" w:rsidP="008E1CBF">
      <w:pPr>
        <w:spacing w:after="0" w:line="240" w:lineRule="auto"/>
        <w:ind w:left="567" w:hanging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47451A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fldChar w:fldCharType="end"/>
      </w:r>
    </w:p>
    <w:sectPr w:rsidR="00C35316" w:rsidRPr="0047451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2EC67" w14:textId="77777777" w:rsidR="00341C93" w:rsidRDefault="00341C93" w:rsidP="00563BE8">
      <w:pPr>
        <w:spacing w:after="0" w:line="240" w:lineRule="auto"/>
      </w:pPr>
      <w:r>
        <w:separator/>
      </w:r>
    </w:p>
  </w:endnote>
  <w:endnote w:type="continuationSeparator" w:id="0">
    <w:p w14:paraId="3CE381AF" w14:textId="77777777" w:rsidR="00341C93" w:rsidRDefault="00341C93" w:rsidP="00563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859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480CBD9" w14:textId="77777777" w:rsidR="00CD4D77" w:rsidRPr="003E5B5C" w:rsidRDefault="00CD4D77" w:rsidP="003E5B5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E5B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E5B5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E5B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E5B5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E5B5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C193D25" w14:textId="77777777" w:rsidR="00CD4D77" w:rsidRDefault="00CD4D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CD324D" w14:textId="77777777" w:rsidR="00341C93" w:rsidRDefault="00341C93" w:rsidP="00563BE8">
      <w:pPr>
        <w:spacing w:after="0" w:line="240" w:lineRule="auto"/>
      </w:pPr>
      <w:r>
        <w:separator/>
      </w:r>
    </w:p>
  </w:footnote>
  <w:footnote w:type="continuationSeparator" w:id="0">
    <w:p w14:paraId="7183D8F3" w14:textId="77777777" w:rsidR="00341C93" w:rsidRDefault="00341C93" w:rsidP="00563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1B2F454"/>
    <w:lvl w:ilvl="0">
      <w:numFmt w:val="bullet"/>
      <w:lvlText w:val="*"/>
      <w:lvlJc w:val="left"/>
    </w:lvl>
  </w:abstractNum>
  <w:abstractNum w:abstractNumId="1" w15:restartNumberingAfterBreak="0">
    <w:nsid w:val="392D3EA1"/>
    <w:multiLevelType w:val="hybridMultilevel"/>
    <w:tmpl w:val="A0FEB44C"/>
    <w:lvl w:ilvl="0" w:tplc="D104FC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83724"/>
    <w:multiLevelType w:val="hybridMultilevel"/>
    <w:tmpl w:val="BD004DD0"/>
    <w:lvl w:ilvl="0" w:tplc="FFFFFFFF">
      <w:start w:val="1"/>
      <w:numFmt w:val="decimal"/>
      <w:pStyle w:val="Annalstext"/>
      <w:lvlText w:val="(%1)"/>
      <w:lvlJc w:val="left"/>
      <w:pPr>
        <w:tabs>
          <w:tab w:val="num" w:pos="644"/>
        </w:tabs>
        <w:ind w:left="0" w:firstLine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B7224282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Monotype Sorts" w:hAnsi="Monotype Sorts" w:hint="default"/>
          <w:sz w:val="48"/>
        </w:rPr>
      </w:lvl>
    </w:lvlOverride>
  </w:num>
  <w:num w:numId="2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Monotype Sorts" w:hAnsi="Monotype Sorts" w:hint="default"/>
          <w:sz w:val="42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56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2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t2tevxfaawa3e22eovr9wnf9ffza0aaewf&quot;&gt;Mark Little main radiation repaired mk 2-Converted&lt;record-ids&gt;&lt;item&gt;9219&lt;/item&gt;&lt;item&gt;19980&lt;/item&gt;&lt;item&gt;26945&lt;/item&gt;&lt;/record-ids&gt;&lt;/item&gt;&lt;/Libraries&gt;"/>
  </w:docVars>
  <w:rsids>
    <w:rsidRoot w:val="00012747"/>
    <w:rsid w:val="00000CB4"/>
    <w:rsid w:val="00002D75"/>
    <w:rsid w:val="000064F1"/>
    <w:rsid w:val="00012747"/>
    <w:rsid w:val="000134E3"/>
    <w:rsid w:val="00017751"/>
    <w:rsid w:val="00017B6A"/>
    <w:rsid w:val="000200C9"/>
    <w:rsid w:val="00023D89"/>
    <w:rsid w:val="00025910"/>
    <w:rsid w:val="000259B0"/>
    <w:rsid w:val="00045C05"/>
    <w:rsid w:val="000562C4"/>
    <w:rsid w:val="0005648F"/>
    <w:rsid w:val="00057883"/>
    <w:rsid w:val="000636D8"/>
    <w:rsid w:val="00081E94"/>
    <w:rsid w:val="00084912"/>
    <w:rsid w:val="000A2E43"/>
    <w:rsid w:val="000A7DC7"/>
    <w:rsid w:val="000A7EFE"/>
    <w:rsid w:val="000B0103"/>
    <w:rsid w:val="000C08EB"/>
    <w:rsid w:val="000C2378"/>
    <w:rsid w:val="000C59E0"/>
    <w:rsid w:val="000C5ACE"/>
    <w:rsid w:val="000D290E"/>
    <w:rsid w:val="000D3116"/>
    <w:rsid w:val="000D5A0E"/>
    <w:rsid w:val="000D5F71"/>
    <w:rsid w:val="000D7484"/>
    <w:rsid w:val="000E3A0F"/>
    <w:rsid w:val="000E591C"/>
    <w:rsid w:val="000E752C"/>
    <w:rsid w:val="00101F3D"/>
    <w:rsid w:val="00102F2C"/>
    <w:rsid w:val="00103016"/>
    <w:rsid w:val="001065AC"/>
    <w:rsid w:val="00110CAD"/>
    <w:rsid w:val="00114693"/>
    <w:rsid w:val="00120EBC"/>
    <w:rsid w:val="001275D4"/>
    <w:rsid w:val="00127B30"/>
    <w:rsid w:val="00127F5D"/>
    <w:rsid w:val="00130949"/>
    <w:rsid w:val="00130B5A"/>
    <w:rsid w:val="001349FD"/>
    <w:rsid w:val="00142775"/>
    <w:rsid w:val="001427E1"/>
    <w:rsid w:val="00142E75"/>
    <w:rsid w:val="00143050"/>
    <w:rsid w:val="00153B64"/>
    <w:rsid w:val="001623EE"/>
    <w:rsid w:val="00173468"/>
    <w:rsid w:val="00173495"/>
    <w:rsid w:val="00182242"/>
    <w:rsid w:val="00186109"/>
    <w:rsid w:val="00190CBB"/>
    <w:rsid w:val="0019212B"/>
    <w:rsid w:val="001930BF"/>
    <w:rsid w:val="00193921"/>
    <w:rsid w:val="00194EFE"/>
    <w:rsid w:val="00196F0A"/>
    <w:rsid w:val="001A45E1"/>
    <w:rsid w:val="001A4B89"/>
    <w:rsid w:val="001A7AE2"/>
    <w:rsid w:val="001B1714"/>
    <w:rsid w:val="001B4A51"/>
    <w:rsid w:val="001C418B"/>
    <w:rsid w:val="001D247D"/>
    <w:rsid w:val="001D57D0"/>
    <w:rsid w:val="001D6D6C"/>
    <w:rsid w:val="001E016D"/>
    <w:rsid w:val="001E12D4"/>
    <w:rsid w:val="001E4E6B"/>
    <w:rsid w:val="001F44E2"/>
    <w:rsid w:val="00205C05"/>
    <w:rsid w:val="00214392"/>
    <w:rsid w:val="00235130"/>
    <w:rsid w:val="00240707"/>
    <w:rsid w:val="00247710"/>
    <w:rsid w:val="00250BC7"/>
    <w:rsid w:val="00256F5E"/>
    <w:rsid w:val="00261B93"/>
    <w:rsid w:val="00261F97"/>
    <w:rsid w:val="00262777"/>
    <w:rsid w:val="00264ED4"/>
    <w:rsid w:val="0026772F"/>
    <w:rsid w:val="00281139"/>
    <w:rsid w:val="00285B3E"/>
    <w:rsid w:val="00291C34"/>
    <w:rsid w:val="00292E03"/>
    <w:rsid w:val="00294AEA"/>
    <w:rsid w:val="0029513E"/>
    <w:rsid w:val="002A6BBF"/>
    <w:rsid w:val="002A720A"/>
    <w:rsid w:val="002A7C83"/>
    <w:rsid w:val="002B236A"/>
    <w:rsid w:val="002B2AF9"/>
    <w:rsid w:val="002B4D9F"/>
    <w:rsid w:val="002B68ED"/>
    <w:rsid w:val="002C00D5"/>
    <w:rsid w:val="002D4733"/>
    <w:rsid w:val="002D5BCD"/>
    <w:rsid w:val="002E0159"/>
    <w:rsid w:val="002F200B"/>
    <w:rsid w:val="002F6851"/>
    <w:rsid w:val="00312542"/>
    <w:rsid w:val="00332DD8"/>
    <w:rsid w:val="00332E4A"/>
    <w:rsid w:val="003369C7"/>
    <w:rsid w:val="00341C93"/>
    <w:rsid w:val="0036179A"/>
    <w:rsid w:val="00370275"/>
    <w:rsid w:val="0037511E"/>
    <w:rsid w:val="003774B1"/>
    <w:rsid w:val="00377EE0"/>
    <w:rsid w:val="0038274E"/>
    <w:rsid w:val="00383439"/>
    <w:rsid w:val="00385F07"/>
    <w:rsid w:val="003902FE"/>
    <w:rsid w:val="0039105A"/>
    <w:rsid w:val="0039291B"/>
    <w:rsid w:val="003A1250"/>
    <w:rsid w:val="003B6FA7"/>
    <w:rsid w:val="003D151C"/>
    <w:rsid w:val="003D29A9"/>
    <w:rsid w:val="003D344C"/>
    <w:rsid w:val="003E1248"/>
    <w:rsid w:val="003E5B5C"/>
    <w:rsid w:val="003F2451"/>
    <w:rsid w:val="003F642B"/>
    <w:rsid w:val="003F6FF9"/>
    <w:rsid w:val="00400A35"/>
    <w:rsid w:val="004023CB"/>
    <w:rsid w:val="004055D7"/>
    <w:rsid w:val="004062B4"/>
    <w:rsid w:val="0041174D"/>
    <w:rsid w:val="004127CA"/>
    <w:rsid w:val="00416E87"/>
    <w:rsid w:val="00427A62"/>
    <w:rsid w:val="00434572"/>
    <w:rsid w:val="0043457B"/>
    <w:rsid w:val="00441A3B"/>
    <w:rsid w:val="00444FB8"/>
    <w:rsid w:val="004462B8"/>
    <w:rsid w:val="004478E3"/>
    <w:rsid w:val="0045535E"/>
    <w:rsid w:val="00455738"/>
    <w:rsid w:val="00456C69"/>
    <w:rsid w:val="0046192E"/>
    <w:rsid w:val="0047451A"/>
    <w:rsid w:val="0047558B"/>
    <w:rsid w:val="00480399"/>
    <w:rsid w:val="00480D77"/>
    <w:rsid w:val="00482C94"/>
    <w:rsid w:val="00484528"/>
    <w:rsid w:val="00485DF5"/>
    <w:rsid w:val="004874A0"/>
    <w:rsid w:val="004905CE"/>
    <w:rsid w:val="00494CEA"/>
    <w:rsid w:val="00497F82"/>
    <w:rsid w:val="004A5ACD"/>
    <w:rsid w:val="004B6291"/>
    <w:rsid w:val="004C1307"/>
    <w:rsid w:val="004C316C"/>
    <w:rsid w:val="004C3AD0"/>
    <w:rsid w:val="004C3FCA"/>
    <w:rsid w:val="004C5E2E"/>
    <w:rsid w:val="004D1B51"/>
    <w:rsid w:val="004D1F35"/>
    <w:rsid w:val="004F165A"/>
    <w:rsid w:val="004F28A2"/>
    <w:rsid w:val="004F2D42"/>
    <w:rsid w:val="004F3E8B"/>
    <w:rsid w:val="0050769F"/>
    <w:rsid w:val="00516073"/>
    <w:rsid w:val="00524CD7"/>
    <w:rsid w:val="00525B88"/>
    <w:rsid w:val="00527582"/>
    <w:rsid w:val="005308CB"/>
    <w:rsid w:val="00534AAD"/>
    <w:rsid w:val="005444E3"/>
    <w:rsid w:val="00546D58"/>
    <w:rsid w:val="005473B7"/>
    <w:rsid w:val="00563BE8"/>
    <w:rsid w:val="00571CB0"/>
    <w:rsid w:val="00575064"/>
    <w:rsid w:val="00575E79"/>
    <w:rsid w:val="00582D66"/>
    <w:rsid w:val="00583960"/>
    <w:rsid w:val="00584E50"/>
    <w:rsid w:val="0059125A"/>
    <w:rsid w:val="00592DE6"/>
    <w:rsid w:val="005943CC"/>
    <w:rsid w:val="00595E31"/>
    <w:rsid w:val="005A6433"/>
    <w:rsid w:val="005C2317"/>
    <w:rsid w:val="005C79AB"/>
    <w:rsid w:val="005D00DA"/>
    <w:rsid w:val="005E21C2"/>
    <w:rsid w:val="005E2EF5"/>
    <w:rsid w:val="005E3DAB"/>
    <w:rsid w:val="005F0C2A"/>
    <w:rsid w:val="005F1097"/>
    <w:rsid w:val="005F4CAC"/>
    <w:rsid w:val="005F5E7A"/>
    <w:rsid w:val="00600E51"/>
    <w:rsid w:val="00605FC7"/>
    <w:rsid w:val="0061133A"/>
    <w:rsid w:val="00611FF0"/>
    <w:rsid w:val="00612731"/>
    <w:rsid w:val="00614B29"/>
    <w:rsid w:val="00616A2D"/>
    <w:rsid w:val="00620244"/>
    <w:rsid w:val="006217D0"/>
    <w:rsid w:val="00624CE0"/>
    <w:rsid w:val="0062504B"/>
    <w:rsid w:val="00625940"/>
    <w:rsid w:val="00630057"/>
    <w:rsid w:val="00631DF2"/>
    <w:rsid w:val="00632E63"/>
    <w:rsid w:val="006338E6"/>
    <w:rsid w:val="006348FF"/>
    <w:rsid w:val="0064094A"/>
    <w:rsid w:val="0064235C"/>
    <w:rsid w:val="00647E8F"/>
    <w:rsid w:val="0065290E"/>
    <w:rsid w:val="00654D8E"/>
    <w:rsid w:val="00655439"/>
    <w:rsid w:val="00656CCB"/>
    <w:rsid w:val="006622D7"/>
    <w:rsid w:val="00664642"/>
    <w:rsid w:val="00664AD5"/>
    <w:rsid w:val="00665F41"/>
    <w:rsid w:val="00667A79"/>
    <w:rsid w:val="00671113"/>
    <w:rsid w:val="006733BA"/>
    <w:rsid w:val="006736A5"/>
    <w:rsid w:val="00674963"/>
    <w:rsid w:val="0067734D"/>
    <w:rsid w:val="0068174D"/>
    <w:rsid w:val="006832B1"/>
    <w:rsid w:val="00691841"/>
    <w:rsid w:val="00693B08"/>
    <w:rsid w:val="00696E7D"/>
    <w:rsid w:val="006A0CE8"/>
    <w:rsid w:val="006A690C"/>
    <w:rsid w:val="006A7EE7"/>
    <w:rsid w:val="006C2F8A"/>
    <w:rsid w:val="006C5A56"/>
    <w:rsid w:val="006D037D"/>
    <w:rsid w:val="006D1B52"/>
    <w:rsid w:val="006D5334"/>
    <w:rsid w:val="006D6450"/>
    <w:rsid w:val="006F0C13"/>
    <w:rsid w:val="006F2330"/>
    <w:rsid w:val="006F592F"/>
    <w:rsid w:val="006F7F11"/>
    <w:rsid w:val="00700A3D"/>
    <w:rsid w:val="0070366E"/>
    <w:rsid w:val="007053C5"/>
    <w:rsid w:val="00707799"/>
    <w:rsid w:val="007103C9"/>
    <w:rsid w:val="00710864"/>
    <w:rsid w:val="00711279"/>
    <w:rsid w:val="00715026"/>
    <w:rsid w:val="00715D70"/>
    <w:rsid w:val="007223B1"/>
    <w:rsid w:val="00722EF4"/>
    <w:rsid w:val="00730B3F"/>
    <w:rsid w:val="00732480"/>
    <w:rsid w:val="007355DA"/>
    <w:rsid w:val="007426F5"/>
    <w:rsid w:val="0074381A"/>
    <w:rsid w:val="00745081"/>
    <w:rsid w:val="0075045C"/>
    <w:rsid w:val="00752992"/>
    <w:rsid w:val="00756A43"/>
    <w:rsid w:val="00773835"/>
    <w:rsid w:val="00774191"/>
    <w:rsid w:val="00776574"/>
    <w:rsid w:val="0077713A"/>
    <w:rsid w:val="00777B14"/>
    <w:rsid w:val="007845A8"/>
    <w:rsid w:val="007852D9"/>
    <w:rsid w:val="007A6FCB"/>
    <w:rsid w:val="007A76D5"/>
    <w:rsid w:val="007B02E3"/>
    <w:rsid w:val="007B3339"/>
    <w:rsid w:val="007B40B9"/>
    <w:rsid w:val="007B6776"/>
    <w:rsid w:val="007C0429"/>
    <w:rsid w:val="007C1069"/>
    <w:rsid w:val="007C35AB"/>
    <w:rsid w:val="007C6734"/>
    <w:rsid w:val="007D309E"/>
    <w:rsid w:val="007D4419"/>
    <w:rsid w:val="007D5059"/>
    <w:rsid w:val="007E5251"/>
    <w:rsid w:val="007E70B2"/>
    <w:rsid w:val="008049BA"/>
    <w:rsid w:val="00811C35"/>
    <w:rsid w:val="008220AA"/>
    <w:rsid w:val="00823292"/>
    <w:rsid w:val="00824F03"/>
    <w:rsid w:val="00826C8E"/>
    <w:rsid w:val="0083277E"/>
    <w:rsid w:val="00834A91"/>
    <w:rsid w:val="00835E37"/>
    <w:rsid w:val="0083621E"/>
    <w:rsid w:val="00843CD4"/>
    <w:rsid w:val="00846B6E"/>
    <w:rsid w:val="008477D7"/>
    <w:rsid w:val="00855CEE"/>
    <w:rsid w:val="00863021"/>
    <w:rsid w:val="008659F1"/>
    <w:rsid w:val="00866368"/>
    <w:rsid w:val="008667B6"/>
    <w:rsid w:val="008676C7"/>
    <w:rsid w:val="008701A2"/>
    <w:rsid w:val="00870F32"/>
    <w:rsid w:val="0087762B"/>
    <w:rsid w:val="008A17C4"/>
    <w:rsid w:val="008B670B"/>
    <w:rsid w:val="008D04BB"/>
    <w:rsid w:val="008D0FD9"/>
    <w:rsid w:val="008D3EF6"/>
    <w:rsid w:val="008D4C39"/>
    <w:rsid w:val="008E1CBF"/>
    <w:rsid w:val="008E3C5A"/>
    <w:rsid w:val="008E5180"/>
    <w:rsid w:val="008F1007"/>
    <w:rsid w:val="008F6E58"/>
    <w:rsid w:val="009053ED"/>
    <w:rsid w:val="00916664"/>
    <w:rsid w:val="00916CCD"/>
    <w:rsid w:val="00920119"/>
    <w:rsid w:val="009210CF"/>
    <w:rsid w:val="00930129"/>
    <w:rsid w:val="0093244A"/>
    <w:rsid w:val="00941B2F"/>
    <w:rsid w:val="00957C22"/>
    <w:rsid w:val="009666A8"/>
    <w:rsid w:val="00973B3E"/>
    <w:rsid w:val="00980178"/>
    <w:rsid w:val="00983131"/>
    <w:rsid w:val="00983977"/>
    <w:rsid w:val="00990D0D"/>
    <w:rsid w:val="0099305A"/>
    <w:rsid w:val="009A3FFF"/>
    <w:rsid w:val="009A5783"/>
    <w:rsid w:val="009B23EF"/>
    <w:rsid w:val="009B5195"/>
    <w:rsid w:val="009B533E"/>
    <w:rsid w:val="009C4501"/>
    <w:rsid w:val="009D1871"/>
    <w:rsid w:val="009D3021"/>
    <w:rsid w:val="009D7C33"/>
    <w:rsid w:val="00A01CEE"/>
    <w:rsid w:val="00A07CB6"/>
    <w:rsid w:val="00A1254B"/>
    <w:rsid w:val="00A208E3"/>
    <w:rsid w:val="00A21B02"/>
    <w:rsid w:val="00A227E0"/>
    <w:rsid w:val="00A33F1F"/>
    <w:rsid w:val="00A37DF2"/>
    <w:rsid w:val="00A4280D"/>
    <w:rsid w:val="00A47BA4"/>
    <w:rsid w:val="00A62A67"/>
    <w:rsid w:val="00A6402C"/>
    <w:rsid w:val="00A64CCD"/>
    <w:rsid w:val="00A7067F"/>
    <w:rsid w:val="00A73C66"/>
    <w:rsid w:val="00A84D35"/>
    <w:rsid w:val="00A928BF"/>
    <w:rsid w:val="00AA0C04"/>
    <w:rsid w:val="00AA123A"/>
    <w:rsid w:val="00AA19AE"/>
    <w:rsid w:val="00AB3542"/>
    <w:rsid w:val="00AC0606"/>
    <w:rsid w:val="00AC25A7"/>
    <w:rsid w:val="00AC3F39"/>
    <w:rsid w:val="00AC4E27"/>
    <w:rsid w:val="00AD2DC3"/>
    <w:rsid w:val="00AE0166"/>
    <w:rsid w:val="00AE3106"/>
    <w:rsid w:val="00AE3AF6"/>
    <w:rsid w:val="00AF5D9E"/>
    <w:rsid w:val="00B00F40"/>
    <w:rsid w:val="00B01F57"/>
    <w:rsid w:val="00B02C9C"/>
    <w:rsid w:val="00B10A3E"/>
    <w:rsid w:val="00B12254"/>
    <w:rsid w:val="00B13403"/>
    <w:rsid w:val="00B17A50"/>
    <w:rsid w:val="00B21558"/>
    <w:rsid w:val="00B23C89"/>
    <w:rsid w:val="00B26034"/>
    <w:rsid w:val="00B2611B"/>
    <w:rsid w:val="00B31001"/>
    <w:rsid w:val="00B329DD"/>
    <w:rsid w:val="00B35026"/>
    <w:rsid w:val="00B469FA"/>
    <w:rsid w:val="00B55B1F"/>
    <w:rsid w:val="00B62C35"/>
    <w:rsid w:val="00B66D6C"/>
    <w:rsid w:val="00B70389"/>
    <w:rsid w:val="00B70509"/>
    <w:rsid w:val="00B71F35"/>
    <w:rsid w:val="00B725E3"/>
    <w:rsid w:val="00B81524"/>
    <w:rsid w:val="00B83F63"/>
    <w:rsid w:val="00B852C9"/>
    <w:rsid w:val="00B976AF"/>
    <w:rsid w:val="00BA6A5A"/>
    <w:rsid w:val="00BB6A1D"/>
    <w:rsid w:val="00BC01EF"/>
    <w:rsid w:val="00BC1A1E"/>
    <w:rsid w:val="00BC6BF4"/>
    <w:rsid w:val="00BC6E35"/>
    <w:rsid w:val="00BE1D6C"/>
    <w:rsid w:val="00BE6A06"/>
    <w:rsid w:val="00BE6E98"/>
    <w:rsid w:val="00BF26B7"/>
    <w:rsid w:val="00BF6B37"/>
    <w:rsid w:val="00C06123"/>
    <w:rsid w:val="00C113FD"/>
    <w:rsid w:val="00C308BF"/>
    <w:rsid w:val="00C31E5B"/>
    <w:rsid w:val="00C32C79"/>
    <w:rsid w:val="00C3327A"/>
    <w:rsid w:val="00C35316"/>
    <w:rsid w:val="00C61ED5"/>
    <w:rsid w:val="00C65A23"/>
    <w:rsid w:val="00C77C0C"/>
    <w:rsid w:val="00C81E07"/>
    <w:rsid w:val="00C85D8E"/>
    <w:rsid w:val="00C9277E"/>
    <w:rsid w:val="00C96D59"/>
    <w:rsid w:val="00CA09C4"/>
    <w:rsid w:val="00CA0CEA"/>
    <w:rsid w:val="00CA18E5"/>
    <w:rsid w:val="00CA62F1"/>
    <w:rsid w:val="00CB1CC4"/>
    <w:rsid w:val="00CB23CA"/>
    <w:rsid w:val="00CB392E"/>
    <w:rsid w:val="00CB3D0D"/>
    <w:rsid w:val="00CB65F3"/>
    <w:rsid w:val="00CD1CAD"/>
    <w:rsid w:val="00CD28B4"/>
    <w:rsid w:val="00CD4D77"/>
    <w:rsid w:val="00CD5FE6"/>
    <w:rsid w:val="00CF3EB3"/>
    <w:rsid w:val="00CF51D4"/>
    <w:rsid w:val="00CF6AED"/>
    <w:rsid w:val="00D00052"/>
    <w:rsid w:val="00D03E0A"/>
    <w:rsid w:val="00D041D4"/>
    <w:rsid w:val="00D11B93"/>
    <w:rsid w:val="00D16375"/>
    <w:rsid w:val="00D165F6"/>
    <w:rsid w:val="00D247A3"/>
    <w:rsid w:val="00D32D86"/>
    <w:rsid w:val="00D37604"/>
    <w:rsid w:val="00D40B83"/>
    <w:rsid w:val="00D531C7"/>
    <w:rsid w:val="00D565FF"/>
    <w:rsid w:val="00D5737D"/>
    <w:rsid w:val="00D57AF2"/>
    <w:rsid w:val="00D6603E"/>
    <w:rsid w:val="00D70E88"/>
    <w:rsid w:val="00D7335C"/>
    <w:rsid w:val="00D771FB"/>
    <w:rsid w:val="00D80090"/>
    <w:rsid w:val="00D828DE"/>
    <w:rsid w:val="00D83833"/>
    <w:rsid w:val="00D83D87"/>
    <w:rsid w:val="00D85CF7"/>
    <w:rsid w:val="00D87B21"/>
    <w:rsid w:val="00D92D66"/>
    <w:rsid w:val="00D96D95"/>
    <w:rsid w:val="00DB1740"/>
    <w:rsid w:val="00DB3FFA"/>
    <w:rsid w:val="00DB72FD"/>
    <w:rsid w:val="00DC1294"/>
    <w:rsid w:val="00DC2638"/>
    <w:rsid w:val="00DD29DF"/>
    <w:rsid w:val="00DF1958"/>
    <w:rsid w:val="00E00162"/>
    <w:rsid w:val="00E116C8"/>
    <w:rsid w:val="00E16AB9"/>
    <w:rsid w:val="00E31729"/>
    <w:rsid w:val="00E34A24"/>
    <w:rsid w:val="00E46A27"/>
    <w:rsid w:val="00E4731C"/>
    <w:rsid w:val="00E53B96"/>
    <w:rsid w:val="00E57CD6"/>
    <w:rsid w:val="00E666A7"/>
    <w:rsid w:val="00E67A94"/>
    <w:rsid w:val="00E778BD"/>
    <w:rsid w:val="00E804AA"/>
    <w:rsid w:val="00E87998"/>
    <w:rsid w:val="00E87D17"/>
    <w:rsid w:val="00E9141F"/>
    <w:rsid w:val="00E95A6D"/>
    <w:rsid w:val="00E96798"/>
    <w:rsid w:val="00E977A1"/>
    <w:rsid w:val="00EA1B10"/>
    <w:rsid w:val="00EB6E83"/>
    <w:rsid w:val="00EB7699"/>
    <w:rsid w:val="00EC3629"/>
    <w:rsid w:val="00ED295E"/>
    <w:rsid w:val="00EE2532"/>
    <w:rsid w:val="00F05952"/>
    <w:rsid w:val="00F07124"/>
    <w:rsid w:val="00F1210D"/>
    <w:rsid w:val="00F12B62"/>
    <w:rsid w:val="00F15A8F"/>
    <w:rsid w:val="00F16741"/>
    <w:rsid w:val="00F16ADF"/>
    <w:rsid w:val="00F16C8C"/>
    <w:rsid w:val="00F227A9"/>
    <w:rsid w:val="00F31CA4"/>
    <w:rsid w:val="00F37E60"/>
    <w:rsid w:val="00F47CF5"/>
    <w:rsid w:val="00F504AF"/>
    <w:rsid w:val="00F5605D"/>
    <w:rsid w:val="00F61416"/>
    <w:rsid w:val="00F61F08"/>
    <w:rsid w:val="00F70F83"/>
    <w:rsid w:val="00F71186"/>
    <w:rsid w:val="00F732D8"/>
    <w:rsid w:val="00F74E01"/>
    <w:rsid w:val="00F75212"/>
    <w:rsid w:val="00F77727"/>
    <w:rsid w:val="00F8065A"/>
    <w:rsid w:val="00F80A8F"/>
    <w:rsid w:val="00F838B6"/>
    <w:rsid w:val="00F841A1"/>
    <w:rsid w:val="00F84B26"/>
    <w:rsid w:val="00F86683"/>
    <w:rsid w:val="00F91D34"/>
    <w:rsid w:val="00FA63EA"/>
    <w:rsid w:val="00FB38D3"/>
    <w:rsid w:val="00FB6A1E"/>
    <w:rsid w:val="00FB7FF8"/>
    <w:rsid w:val="00FD25F5"/>
    <w:rsid w:val="00FD4513"/>
    <w:rsid w:val="00FF1452"/>
    <w:rsid w:val="00FF1692"/>
    <w:rsid w:val="00FF17F8"/>
    <w:rsid w:val="00FF33C7"/>
    <w:rsid w:val="00FF4360"/>
    <w:rsid w:val="00FF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F322CA"/>
  <w14:defaultImageDpi w14:val="0"/>
  <w15:docId w15:val="{D0957CEC-CA67-4B4D-BB1C-4AC80A6D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 w:cs="Times New Roman"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Times New Roman" w:hAnsi="Times New Roman" w:cs="Times New Roman"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Times New Roman" w:hAnsi="Times New Roman" w:cs="Times New Roman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Times New Roman" w:hAnsi="Times New Roman" w:cs="Times New Roman"/>
      <w:sz w:val="40"/>
      <w:szCs w:val="4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Times New Roman" w:hAnsi="Times New Roman" w:cs="Times New Roman"/>
      <w:sz w:val="40"/>
      <w:szCs w:val="40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 w:cs="Times New Roman"/>
      <w:sz w:val="40"/>
      <w:szCs w:val="40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 w:cs="Times New Roman"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 w:cs="Times New Roman"/>
      <w:sz w:val="40"/>
      <w:szCs w:val="40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 w:cs="Times New Roman"/>
      <w:sz w:val="40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paragraph" w:customStyle="1" w:styleId="EndNoteBibliographyTitle">
    <w:name w:val="EndNote Bibliography Title"/>
    <w:basedOn w:val="Normal"/>
    <w:link w:val="EndNoteBibliographyTitleChar"/>
    <w:rsid w:val="005D00DA"/>
    <w:pPr>
      <w:spacing w:after="0"/>
      <w:jc w:val="center"/>
    </w:pPr>
    <w:rPr>
      <w:rFonts w:ascii="Times New Roman" w:hAnsi="Times New Roman" w:cs="Times New Roman"/>
      <w:noProof/>
      <w:sz w:val="56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D00DA"/>
    <w:rPr>
      <w:rFonts w:ascii="Times New Roman" w:hAnsi="Times New Roman" w:cs="Times New Roman"/>
      <w:noProof/>
      <w:sz w:val="56"/>
    </w:rPr>
  </w:style>
  <w:style w:type="paragraph" w:customStyle="1" w:styleId="EndNoteBibliography">
    <w:name w:val="EndNote Bibliography"/>
    <w:basedOn w:val="Normal"/>
    <w:link w:val="EndNoteBibliographyChar"/>
    <w:rsid w:val="005D00DA"/>
    <w:pPr>
      <w:spacing w:line="240" w:lineRule="auto"/>
    </w:pPr>
    <w:rPr>
      <w:rFonts w:ascii="Times New Roman" w:hAnsi="Times New Roman" w:cs="Times New Roman"/>
      <w:noProof/>
      <w:sz w:val="56"/>
    </w:rPr>
  </w:style>
  <w:style w:type="character" w:customStyle="1" w:styleId="EndNoteBibliographyChar">
    <w:name w:val="EndNote Bibliography Char"/>
    <w:basedOn w:val="DefaultParagraphFont"/>
    <w:link w:val="EndNoteBibliography"/>
    <w:rsid w:val="005D00DA"/>
    <w:rPr>
      <w:rFonts w:ascii="Times New Roman" w:hAnsi="Times New Roman" w:cs="Times New Roman"/>
      <w:noProof/>
      <w:sz w:val="56"/>
    </w:rPr>
  </w:style>
  <w:style w:type="character" w:styleId="Hyperlink">
    <w:name w:val="Hyperlink"/>
    <w:basedOn w:val="DefaultParagraphFont"/>
    <w:uiPriority w:val="99"/>
    <w:unhideWhenUsed/>
    <w:rsid w:val="00EE2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5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63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BE8"/>
  </w:style>
  <w:style w:type="paragraph" w:styleId="Footer">
    <w:name w:val="footer"/>
    <w:basedOn w:val="Normal"/>
    <w:link w:val="FooterChar"/>
    <w:uiPriority w:val="99"/>
    <w:unhideWhenUsed/>
    <w:rsid w:val="00563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BE8"/>
  </w:style>
  <w:style w:type="character" w:styleId="CommentReference">
    <w:name w:val="annotation reference"/>
    <w:basedOn w:val="DefaultParagraphFont"/>
    <w:uiPriority w:val="99"/>
    <w:semiHidden/>
    <w:unhideWhenUsed/>
    <w:rsid w:val="007C0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04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04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04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0429"/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D565FF"/>
    <w:pPr>
      <w:widowControl w:val="0"/>
      <w:tabs>
        <w:tab w:val="left" w:pos="450"/>
        <w:tab w:val="left" w:pos="720"/>
      </w:tabs>
      <w:overflowPunct w:val="0"/>
      <w:autoSpaceDE w:val="0"/>
      <w:autoSpaceDN w:val="0"/>
      <w:adjustRightInd w:val="0"/>
      <w:spacing w:after="120" w:line="480" w:lineRule="atLeast"/>
      <w:ind w:right="-14"/>
      <w:textAlignment w:val="baseline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D565FF"/>
    <w:rPr>
      <w:rFonts w:ascii="Times New Roman" w:hAnsi="Times New Roman" w:cs="Times New Roman"/>
      <w:sz w:val="24"/>
      <w:szCs w:val="24"/>
    </w:rPr>
  </w:style>
  <w:style w:type="paragraph" w:customStyle="1" w:styleId="Annalstext">
    <w:name w:val="Annals text"/>
    <w:basedOn w:val="Normal"/>
    <w:uiPriority w:val="99"/>
    <w:rsid w:val="00D565FF"/>
    <w:pPr>
      <w:numPr>
        <w:numId w:val="3"/>
      </w:numPr>
      <w:tabs>
        <w:tab w:val="left" w:pos="851"/>
      </w:tabs>
      <w:spacing w:after="0" w:line="240" w:lineRule="auto"/>
      <w:jc w:val="both"/>
    </w:pPr>
    <w:rPr>
      <w:rFonts w:ascii="Times New Roman" w:hAnsi="Times New Roman" w:cs="Times New Roman"/>
      <w:snapToGrid w:val="0"/>
      <w:sz w:val="24"/>
      <w:szCs w:val="24"/>
      <w:lang w:val="en-GB" w:eastAsia="sv-SE"/>
    </w:rPr>
  </w:style>
  <w:style w:type="table" w:styleId="TableGrid">
    <w:name w:val="Table Grid"/>
    <w:basedOn w:val="TableNormal"/>
    <w:uiPriority w:val="39"/>
    <w:rsid w:val="002A7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05CE"/>
    <w:pPr>
      <w:spacing w:after="0" w:line="240" w:lineRule="auto"/>
    </w:pPr>
    <w:rPr>
      <w:rFonts w:ascii="MS Mincho" w:eastAsia="MS Minch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5CE"/>
    <w:rPr>
      <w:rFonts w:ascii="MS Mincho" w:eastAsia="MS Mincho"/>
      <w:sz w:val="18"/>
      <w:szCs w:val="18"/>
    </w:rPr>
  </w:style>
  <w:style w:type="paragraph" w:styleId="Revision">
    <w:name w:val="Revision"/>
    <w:hidden/>
    <w:uiPriority w:val="99"/>
    <w:semiHidden/>
    <w:rsid w:val="006711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43050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64094A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4094A"/>
    <w:rPr>
      <w:rFonts w:ascii="Calibri" w:eastAsiaTheme="minorHAns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29.wmf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4.wmf"/><Relationship Id="rId74" Type="http://schemas.openxmlformats.org/officeDocument/2006/relationships/image" Target="media/image32.wmf"/><Relationship Id="rId79" Type="http://schemas.openxmlformats.org/officeDocument/2006/relationships/image" Target="media/image34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82" Type="http://schemas.openxmlformats.org/officeDocument/2006/relationships/fontTable" Target="fontTable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oleObject" Target="embeddings/oleObject20.bin"/><Relationship Id="rId48" Type="http://schemas.openxmlformats.org/officeDocument/2006/relationships/image" Target="media/image19.wmf"/><Relationship Id="rId56" Type="http://schemas.openxmlformats.org/officeDocument/2006/relationships/image" Target="media/image23.wmf"/><Relationship Id="rId64" Type="http://schemas.openxmlformats.org/officeDocument/2006/relationships/image" Target="media/image27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image" Target="media/image1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1.wmf"/><Relationship Id="rId80" Type="http://schemas.openxmlformats.org/officeDocument/2006/relationships/oleObject" Target="embeddings/oleObject39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46" Type="http://schemas.openxmlformats.org/officeDocument/2006/relationships/image" Target="media/image18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7.wmf"/><Relationship Id="rId41" Type="http://schemas.openxmlformats.org/officeDocument/2006/relationships/image" Target="media/image16.wmf"/><Relationship Id="rId54" Type="http://schemas.openxmlformats.org/officeDocument/2006/relationships/image" Target="media/image22.wmf"/><Relationship Id="rId62" Type="http://schemas.openxmlformats.org/officeDocument/2006/relationships/image" Target="media/image26.wmf"/><Relationship Id="rId70" Type="http://schemas.openxmlformats.org/officeDocument/2006/relationships/image" Target="media/image30.wmf"/><Relationship Id="rId75" Type="http://schemas.openxmlformats.org/officeDocument/2006/relationships/oleObject" Target="embeddings/oleObject36.bin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8.bin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5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3.wmf"/><Relationship Id="rId7" Type="http://schemas.openxmlformats.org/officeDocument/2006/relationships/endnotes" Target="endnotes.xml"/><Relationship Id="rId71" Type="http://schemas.openxmlformats.org/officeDocument/2006/relationships/oleObject" Target="embeddings/oleObject34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66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190AB-66F2-374F-93BA-5F27729B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1165</Words>
  <Characters>6642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Little, Mark (NIH/NCI) [E]</dc:creator>
  <cp:keywords/>
  <dc:description/>
  <cp:lastModifiedBy>Little, Mark (NIH/NCI) [E]</cp:lastModifiedBy>
  <cp:revision>6</cp:revision>
  <dcterms:created xsi:type="dcterms:W3CDTF">2023-12-03T08:30:00Z</dcterms:created>
  <dcterms:modified xsi:type="dcterms:W3CDTF">2023-12-03T08:52:00Z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