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47460" w14:textId="77777777" w:rsidR="007A6F1E" w:rsidRPr="00396096" w:rsidRDefault="007A6F1E" w:rsidP="007A6F1E">
      <w:pPr>
        <w:spacing w:line="360" w:lineRule="auto"/>
        <w:jc w:val="both"/>
        <w:rPr>
          <w:b/>
          <w:sz w:val="28"/>
          <w:lang w:val="en-US"/>
        </w:rPr>
      </w:pPr>
      <w:r w:rsidRPr="00396096">
        <w:rPr>
          <w:b/>
          <w:sz w:val="28"/>
          <w:lang w:val="en-US"/>
        </w:rPr>
        <w:t>Supplementary materials</w:t>
      </w:r>
    </w:p>
    <w:p w14:paraId="7A51807B" w14:textId="77777777" w:rsidR="007A6F1E" w:rsidRDefault="007A6F1E" w:rsidP="007A6F1E">
      <w:pPr>
        <w:spacing w:line="360" w:lineRule="auto"/>
        <w:jc w:val="both"/>
        <w:rPr>
          <w:lang w:val="en-US"/>
        </w:rPr>
      </w:pPr>
    </w:p>
    <w:p w14:paraId="23BAE765" w14:textId="77777777" w:rsidR="007A6F1E" w:rsidRPr="00C931CB" w:rsidRDefault="007A6F1E" w:rsidP="007A6F1E">
      <w:pPr>
        <w:spacing w:line="480" w:lineRule="auto"/>
        <w:jc w:val="both"/>
        <w:rPr>
          <w:lang w:val="en-GB"/>
        </w:rPr>
      </w:pPr>
      <w:r w:rsidRPr="00C931CB">
        <w:rPr>
          <w:b/>
          <w:lang w:val="en-GB"/>
        </w:rPr>
        <w:t>Table S1:</w:t>
      </w:r>
      <w:r w:rsidRPr="00C931CB">
        <w:rPr>
          <w:lang w:val="en-GB"/>
        </w:rPr>
        <w:t xml:space="preserve"> All concomitant treatments administered from inclusion to Day 7 in both groups.</w:t>
      </w:r>
    </w:p>
    <w:p w14:paraId="544BD925" w14:textId="77777777" w:rsidR="007A6F1E" w:rsidRPr="00C931CB" w:rsidRDefault="007A6F1E" w:rsidP="007A6F1E">
      <w:pPr>
        <w:spacing w:line="480" w:lineRule="auto"/>
        <w:jc w:val="both"/>
        <w:outlineLvl w:val="0"/>
        <w:rPr>
          <w:lang w:val="en-GB"/>
        </w:rPr>
      </w:pPr>
      <w:r w:rsidRPr="00C931CB">
        <w:rPr>
          <w:b/>
          <w:lang w:val="en-GB"/>
        </w:rPr>
        <w:t>Table S2:</w:t>
      </w:r>
      <w:r w:rsidRPr="00C931CB">
        <w:rPr>
          <w:lang w:val="en-GB"/>
        </w:rPr>
        <w:t xml:space="preserve"> Main reason why CAM-ICU assessment were missing from Day 1 to Day 7.</w:t>
      </w:r>
    </w:p>
    <w:p w14:paraId="7CD636E8" w14:textId="77777777" w:rsidR="007A6F1E" w:rsidRPr="00C931CB" w:rsidRDefault="007A6F1E" w:rsidP="007A6F1E">
      <w:pPr>
        <w:spacing w:line="480" w:lineRule="auto"/>
        <w:jc w:val="both"/>
        <w:rPr>
          <w:lang w:val="en-US"/>
        </w:rPr>
      </w:pPr>
      <w:r w:rsidRPr="00C931CB">
        <w:rPr>
          <w:b/>
          <w:lang w:val="en-US"/>
        </w:rPr>
        <w:t xml:space="preserve">Table S3: </w:t>
      </w:r>
      <w:r w:rsidRPr="00C931CB">
        <w:rPr>
          <w:lang w:val="en-US"/>
        </w:rPr>
        <w:t>Comparison of dexmedetomidine versus placebo on secondary outcomes: daily evaluation of sleep quality. Data are expressed as median and IQR.</w:t>
      </w:r>
    </w:p>
    <w:p w14:paraId="410553A6" w14:textId="77777777" w:rsidR="007A6F1E" w:rsidRPr="00C931CB" w:rsidRDefault="007A6F1E" w:rsidP="007A6F1E">
      <w:pPr>
        <w:spacing w:line="480" w:lineRule="auto"/>
        <w:jc w:val="both"/>
        <w:rPr>
          <w:lang w:val="en-US"/>
        </w:rPr>
      </w:pPr>
      <w:r w:rsidRPr="00C931CB">
        <w:rPr>
          <w:b/>
          <w:lang w:val="en-US"/>
        </w:rPr>
        <w:t xml:space="preserve">Table S4: </w:t>
      </w:r>
      <w:r w:rsidRPr="00C931CB">
        <w:rPr>
          <w:lang w:val="en-US"/>
        </w:rPr>
        <w:t>Comparison of dexmedetomidine versus placebo on secondary outcomes: detailed sections of LSEQ during the 7 days of observation. Data are expressed as median and IQR.</w:t>
      </w:r>
    </w:p>
    <w:p w14:paraId="0466DA67" w14:textId="77777777" w:rsidR="007A6F1E" w:rsidRPr="00C931CB" w:rsidRDefault="007A6F1E" w:rsidP="007A6F1E">
      <w:pPr>
        <w:spacing w:line="480" w:lineRule="auto"/>
        <w:jc w:val="both"/>
        <w:rPr>
          <w:lang w:val="en-GB"/>
        </w:rPr>
      </w:pPr>
      <w:r w:rsidRPr="00C931CB">
        <w:rPr>
          <w:b/>
          <w:lang w:val="en-GB"/>
        </w:rPr>
        <w:t>Table S5:</w:t>
      </w:r>
      <w:r w:rsidRPr="00C931CB">
        <w:rPr>
          <w:lang w:val="en-GB"/>
        </w:rPr>
        <w:t xml:space="preserve"> Main reasons why Sleep quality evaluation was not performed or missing.</w:t>
      </w:r>
    </w:p>
    <w:p w14:paraId="78D565C0" w14:textId="77777777" w:rsidR="007A6F1E" w:rsidRDefault="007A6F1E" w:rsidP="007A6F1E">
      <w:pPr>
        <w:spacing w:line="480" w:lineRule="auto"/>
        <w:jc w:val="both"/>
        <w:rPr>
          <w:lang w:val="en-US"/>
        </w:rPr>
      </w:pPr>
      <w:r w:rsidRPr="00C931CB">
        <w:rPr>
          <w:b/>
          <w:lang w:val="en-US"/>
        </w:rPr>
        <w:t xml:space="preserve">Table S6: </w:t>
      </w:r>
      <w:r w:rsidRPr="00C931CB">
        <w:rPr>
          <w:lang w:val="en-US"/>
        </w:rPr>
        <w:t>Preplanned sub-group analysis for the primary outcome. Occurrence of PoD within the 7 days after surgery are expressed as number (%).</w:t>
      </w:r>
    </w:p>
    <w:p w14:paraId="2DAD69C4" w14:textId="77777777" w:rsidR="007A6F1E" w:rsidRDefault="007A6F1E" w:rsidP="007A6F1E">
      <w:pPr>
        <w:spacing w:line="480" w:lineRule="auto"/>
        <w:jc w:val="both"/>
        <w:rPr>
          <w:lang w:val="en-US"/>
        </w:rPr>
      </w:pPr>
    </w:p>
    <w:p w14:paraId="70BF5725" w14:textId="77777777" w:rsidR="007A6F1E" w:rsidRPr="00086C95" w:rsidRDefault="007A6F1E" w:rsidP="007A6F1E">
      <w:pPr>
        <w:rPr>
          <w:lang w:val="en-US"/>
        </w:rPr>
      </w:pPr>
      <w:r w:rsidRPr="00086C95">
        <w:rPr>
          <w:b/>
          <w:lang w:val="en-US"/>
        </w:rPr>
        <w:t>Appendix 1:</w:t>
      </w:r>
      <w:r w:rsidRPr="00086C95">
        <w:rPr>
          <w:lang w:val="en-US"/>
        </w:rPr>
        <w:t xml:space="preserve"> The cognitive failures questionnaire</w:t>
      </w:r>
    </w:p>
    <w:p w14:paraId="777F2990" w14:textId="77777777" w:rsidR="007A6F1E" w:rsidRPr="00086C95" w:rsidRDefault="007A6F1E" w:rsidP="007A6F1E">
      <w:pPr>
        <w:rPr>
          <w:lang w:val="en-US"/>
        </w:rPr>
      </w:pPr>
    </w:p>
    <w:p w14:paraId="646A74B8" w14:textId="77777777" w:rsidR="007A6F1E" w:rsidRPr="00086C95" w:rsidRDefault="007A6F1E" w:rsidP="007A6F1E">
      <w:pPr>
        <w:rPr>
          <w:lang w:val="en-US"/>
        </w:rPr>
      </w:pPr>
      <w:r w:rsidRPr="00086C95">
        <w:rPr>
          <w:b/>
          <w:lang w:val="en-US"/>
        </w:rPr>
        <w:t>Appendix 2:</w:t>
      </w:r>
      <w:r w:rsidRPr="00086C95">
        <w:rPr>
          <w:lang w:val="en-US"/>
        </w:rPr>
        <w:t xml:space="preserve"> The PCL-5 standard form checklist</w:t>
      </w:r>
    </w:p>
    <w:p w14:paraId="24358F0E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F1E"/>
    <w:rsid w:val="001942F0"/>
    <w:rsid w:val="002C0857"/>
    <w:rsid w:val="003F01F8"/>
    <w:rsid w:val="007A6F1E"/>
    <w:rsid w:val="00833D74"/>
    <w:rsid w:val="00884728"/>
    <w:rsid w:val="008E2845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E8AE8"/>
  <w15:chartTrackingRefBased/>
  <w15:docId w15:val="{2ACF80F8-75FC-4AF4-B67A-BA7A9437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>Springer Nature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2023-12-06T06:21:00Z</dcterms:created>
  <dcterms:modified xsi:type="dcterms:W3CDTF">2023-12-06T06:21:00Z</dcterms:modified>
</cp:coreProperties>
</file>