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6698B" w14:textId="77777777" w:rsidR="00071585" w:rsidRDefault="00000000">
      <w:pPr>
        <w:spacing w:line="480" w:lineRule="auto"/>
        <w:rPr>
          <w:rFonts w:ascii="Times New Roman" w:eastAsia="Times New Roman" w:hAnsi="Times New Roman" w:cs="SimHei"/>
          <w:b/>
          <w:bCs/>
          <w:sz w:val="24"/>
        </w:rPr>
      </w:pPr>
      <w:r>
        <w:rPr>
          <w:rFonts w:ascii="Times New Roman" w:eastAsia="Times New Roman" w:hAnsi="Times New Roman" w:cs="SimHei"/>
          <w:b/>
          <w:bCs/>
          <w:sz w:val="24"/>
        </w:rPr>
        <w:t>Supplementary material</w:t>
      </w:r>
    </w:p>
    <w:p w14:paraId="78FBCF49" w14:textId="77777777" w:rsidR="00071585" w:rsidRDefault="00000000">
      <w:pPr>
        <w:spacing w:line="480" w:lineRule="auto"/>
        <w:ind w:firstLineChars="200" w:firstLine="480"/>
        <w:rPr>
          <w:rFonts w:ascii="Times New Roman" w:eastAsia="DengXian" w:hAnsi="Times New Roman" w:cs="SimHei"/>
          <w:sz w:val="24"/>
        </w:rPr>
      </w:pPr>
      <w:r>
        <w:rPr>
          <w:rFonts w:ascii="Times New Roman" w:eastAsia="DengXian" w:hAnsi="Times New Roman" w:cs="SimHei"/>
          <w:sz w:val="24"/>
        </w:rPr>
        <w:t>To further assess the role of ERK in the phosphorylation of tau protein following Al(mal)</w:t>
      </w:r>
      <w:r>
        <w:rPr>
          <w:rFonts w:ascii="Times New Roman" w:eastAsia="DengXian" w:hAnsi="Times New Roman" w:cs="SimHei"/>
          <w:sz w:val="24"/>
          <w:vertAlign w:val="subscript"/>
        </w:rPr>
        <w:t>3</w:t>
      </w:r>
      <w:r>
        <w:rPr>
          <w:rFonts w:ascii="Times New Roman" w:eastAsia="DengXian" w:hAnsi="Times New Roman" w:cs="SimHei"/>
          <w:sz w:val="24"/>
        </w:rPr>
        <w:t xml:space="preserve"> treatment, we selected ERK inhibitors to treat PC12 cells. We first examined the effect of U0126 on cell viability using the CCK8 kit. Different concentrations of U0126 were used to treat PC12 cells (10 μmol/L, 20 μmol/L, 30 μmol/L, 40 μmol/L, 50 μmol/L, and 60 μmol/L), and a CCK8 kit was used to detect cell viability after 25 hours. We observed that when cells were treated with U0126 at doses ranging from 10 to 50 μM, cell viability was above 80% in all groups. Therefore, to achieve the highest inhibition rate, we used 50 μM U0126 for the subsequent experiments (Figure S1).</w:t>
      </w:r>
    </w:p>
    <w:p w14:paraId="6F4C22E5" w14:textId="77777777" w:rsidR="00071585" w:rsidRDefault="00000000">
      <w:pPr>
        <w:spacing w:line="480" w:lineRule="auto"/>
        <w:ind w:firstLineChars="200" w:firstLine="480"/>
        <w:jc w:val="center"/>
        <w:rPr>
          <w:rFonts w:ascii="Times New Roman" w:eastAsia="DengXian" w:hAnsi="Times New Roman" w:cs="SimHei"/>
          <w:sz w:val="24"/>
        </w:rPr>
      </w:pPr>
      <w:r>
        <w:rPr>
          <w:rFonts w:ascii="Times New Roman" w:eastAsia="DengXian" w:hAnsi="Times New Roman" w:cs="SimHei"/>
          <w:noProof/>
          <w:sz w:val="24"/>
          <w:lang w:eastAsia="en-US"/>
        </w:rPr>
        <w:drawing>
          <wp:inline distT="0" distB="0" distL="0" distR="0" wp14:anchorId="49C6B448" wp14:editId="66FF0F90">
            <wp:extent cx="3055620" cy="2245360"/>
            <wp:effectExtent l="0" t="0" r="0" b="254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8"/>
                    <a:srcRect l="3202" t="7705" r="13194" b="2882"/>
                    <a:stretch>
                      <a:fillRect/>
                    </a:stretch>
                  </pic:blipFill>
                  <pic:spPr>
                    <a:xfrm>
                      <a:off x="0" y="0"/>
                      <a:ext cx="3061053" cy="2249580"/>
                    </a:xfrm>
                    <a:prstGeom prst="rect">
                      <a:avLst/>
                    </a:prstGeom>
                    <a:ln>
                      <a:noFill/>
                    </a:ln>
                  </pic:spPr>
                </pic:pic>
              </a:graphicData>
            </a:graphic>
          </wp:inline>
        </w:drawing>
      </w:r>
    </w:p>
    <w:p w14:paraId="56E3A34D" w14:textId="77777777" w:rsidR="00071585" w:rsidRDefault="00000000">
      <w:pPr>
        <w:widowControl/>
        <w:jc w:val="left"/>
        <w:rPr>
          <w:rFonts w:ascii="Times New Roman" w:eastAsia="SimSun" w:hAnsi="Times New Roman" w:cs="Times New Roman"/>
          <w:color w:val="000000"/>
          <w:kern w:val="0"/>
          <w:szCs w:val="21"/>
        </w:rPr>
      </w:pPr>
      <w:r>
        <w:rPr>
          <w:rFonts w:ascii="Times New Roman" w:eastAsia="SimSun" w:hAnsi="Times New Roman" w:cs="Times New Roman"/>
          <w:color w:val="000000"/>
          <w:kern w:val="0"/>
          <w:szCs w:val="21"/>
        </w:rPr>
        <w:t>Figure S1</w:t>
      </w:r>
      <w:r>
        <w:rPr>
          <w:rFonts w:ascii="Times New Roman" w:eastAsia="Times New Roman" w:hAnsi="Times New Roman" w:cs="Times New Roman"/>
          <w:szCs w:val="21"/>
        </w:rPr>
        <w:t xml:space="preserve"> </w:t>
      </w:r>
      <w:r>
        <w:rPr>
          <w:rFonts w:ascii="Times New Roman" w:eastAsia="SimSun" w:hAnsi="Times New Roman" w:cs="Times New Roman"/>
          <w:color w:val="000000"/>
          <w:kern w:val="0"/>
          <w:szCs w:val="21"/>
        </w:rPr>
        <w:t>Cell viability after treatment with different U0126 concentrations.</w:t>
      </w:r>
      <w:r>
        <w:rPr>
          <w:rFonts w:ascii="Times New Roman" w:eastAsia="Times New Roman" w:hAnsi="Times New Roman" w:cs="Times New Roman"/>
          <w:szCs w:val="21"/>
        </w:rPr>
        <w:t xml:space="preserve"> </w:t>
      </w:r>
      <w:r>
        <w:rPr>
          <w:rFonts w:ascii="Times New Roman" w:eastAsia="SimSun" w:hAnsi="Times New Roman" w:cs="Times New Roman"/>
          <w:color w:val="000000"/>
          <w:kern w:val="0"/>
          <w:szCs w:val="21"/>
        </w:rPr>
        <w:t>*</w:t>
      </w:r>
      <w:r>
        <w:rPr>
          <w:rFonts w:ascii="Times New Roman" w:eastAsia="SimSun" w:hAnsi="Times New Roman" w:cs="Times New Roman"/>
          <w:i/>
          <w:iCs/>
          <w:color w:val="000000"/>
          <w:kern w:val="0"/>
          <w:szCs w:val="21"/>
        </w:rPr>
        <w:t>P</w:t>
      </w:r>
      <w:r>
        <w:rPr>
          <w:rFonts w:ascii="Times New Roman" w:eastAsia="SimSun" w:hAnsi="Times New Roman" w:cs="Times New Roman"/>
          <w:color w:val="000000"/>
          <w:kern w:val="0"/>
          <w:szCs w:val="21"/>
        </w:rPr>
        <w:t xml:space="preserve"> &lt; 0.05 versus the control group.</w:t>
      </w:r>
    </w:p>
    <w:p w14:paraId="75FCA167" w14:textId="77777777" w:rsidR="00071585" w:rsidRDefault="00000000">
      <w:pPr>
        <w:spacing w:line="480" w:lineRule="auto"/>
        <w:ind w:firstLineChars="100" w:firstLine="240"/>
        <w:rPr>
          <w:rFonts w:ascii="Times New Roman" w:eastAsia="DengXian" w:hAnsi="Times New Roman" w:cs="SimHei"/>
          <w:sz w:val="24"/>
        </w:rPr>
      </w:pPr>
      <w:r>
        <w:rPr>
          <w:rFonts w:ascii="Times New Roman" w:eastAsia="DengXian" w:hAnsi="Times New Roman" w:cs="SimHei"/>
          <w:sz w:val="24"/>
        </w:rPr>
        <w:t>The difference in the P-ERK level between the DMSO treatment and control groups did not reach statistical significance (P&gt;0.05). Compared with the control group, the protein expression levels of tau5, PHF and NFT in the DMSO treatment group were unchanged.</w:t>
      </w:r>
      <w:r>
        <w:rPr>
          <w:rFonts w:ascii="Times New Roman" w:eastAsia="Times New Roman" w:hAnsi="Times New Roman" w:cs="SimHei"/>
          <w:sz w:val="24"/>
        </w:rPr>
        <w:t xml:space="preserve"> </w:t>
      </w:r>
      <w:r>
        <w:rPr>
          <w:rFonts w:ascii="Times New Roman" w:eastAsia="DengXian" w:hAnsi="Times New Roman" w:cs="SimHei"/>
          <w:sz w:val="24"/>
        </w:rPr>
        <w:t>Compared with the control group, the protein expression levels of tau5, PHF, and NFT in the blank plasmid group were unchanged.</w:t>
      </w:r>
    </w:p>
    <w:p w14:paraId="77C8E3DA" w14:textId="77777777" w:rsidR="00071585" w:rsidRDefault="00000000">
      <w:pPr>
        <w:spacing w:line="480" w:lineRule="auto"/>
        <w:ind w:firstLineChars="200" w:firstLine="480"/>
        <w:rPr>
          <w:rFonts w:ascii="Times New Roman" w:eastAsia="DengXian" w:hAnsi="Times New Roman" w:cs="SimHei"/>
          <w:sz w:val="24"/>
        </w:rPr>
      </w:pPr>
      <w:r>
        <w:rPr>
          <w:rFonts w:ascii="Times New Roman" w:eastAsia="DengXian" w:hAnsi="Times New Roman" w:cs="SimHei"/>
          <w:sz w:val="24"/>
        </w:rPr>
        <w:t>First, we set up miRNA-195-5p overexpression groups with different transfection times. We analyzed the expression of miRNA-195-5p by qPCR, and the results demonstrated that miRNA-195-</w:t>
      </w:r>
      <w:r>
        <w:rPr>
          <w:rFonts w:ascii="Times New Roman" w:eastAsia="DengXian" w:hAnsi="Times New Roman" w:cs="SimHei"/>
          <w:sz w:val="24"/>
        </w:rPr>
        <w:lastRenderedPageBreak/>
        <w:t>5p overexpression reached its highest level when transfected for 36 hours (Figure S2). Therefore, we chose a transfection time of 36 hours for the subsequent experiments.</w:t>
      </w:r>
    </w:p>
    <w:p w14:paraId="70DA10B6" w14:textId="77777777" w:rsidR="00071585" w:rsidRDefault="00000000">
      <w:pPr>
        <w:spacing w:line="480" w:lineRule="auto"/>
        <w:jc w:val="center"/>
        <w:rPr>
          <w:rFonts w:ascii="Times New Roman" w:eastAsia="DengXian" w:hAnsi="Times New Roman" w:cs="SimHei"/>
          <w:sz w:val="24"/>
        </w:rPr>
      </w:pPr>
      <w:r>
        <w:rPr>
          <w:rFonts w:ascii="Times New Roman" w:eastAsia="Times New Roman" w:hAnsi="Times New Roman" w:cs="SimHei"/>
          <w:noProof/>
          <w:sz w:val="24"/>
          <w:lang w:eastAsia="en-US"/>
        </w:rPr>
        <w:drawing>
          <wp:inline distT="0" distB="0" distL="0" distR="0" wp14:anchorId="6204E63F" wp14:editId="7101DE0B">
            <wp:extent cx="3589020" cy="2375535"/>
            <wp:effectExtent l="0" t="0" r="0" b="571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589094" cy="2376000"/>
                    </a:xfrm>
                    <a:prstGeom prst="rect">
                      <a:avLst/>
                    </a:prstGeom>
                    <a:noFill/>
                    <a:ln>
                      <a:noFill/>
                    </a:ln>
                  </pic:spPr>
                </pic:pic>
              </a:graphicData>
            </a:graphic>
          </wp:inline>
        </w:drawing>
      </w:r>
    </w:p>
    <w:p w14:paraId="78C01352" w14:textId="77777777" w:rsidR="00071585" w:rsidRDefault="00000000">
      <w:pPr>
        <w:spacing w:line="480" w:lineRule="auto"/>
        <w:rPr>
          <w:rFonts w:ascii="Times New Roman" w:eastAsia="DengXian" w:hAnsi="Times New Roman" w:cs="SimHei"/>
          <w:sz w:val="24"/>
        </w:rPr>
      </w:pPr>
      <w:r>
        <w:rPr>
          <w:rFonts w:ascii="Times New Roman" w:eastAsia="SimSun" w:hAnsi="Times New Roman" w:cs="Times New Roman"/>
          <w:color w:val="000000"/>
          <w:kern w:val="0"/>
          <w:szCs w:val="21"/>
        </w:rPr>
        <w:t>Figure S2 Expression level of miRNA-195-5p after overexpression in PC12 cells. *</w:t>
      </w:r>
      <w:r>
        <w:rPr>
          <w:rFonts w:ascii="Times New Roman" w:eastAsia="SimSun" w:hAnsi="Times New Roman" w:cs="Times New Roman"/>
          <w:i/>
          <w:iCs/>
          <w:color w:val="000000"/>
          <w:kern w:val="0"/>
          <w:szCs w:val="21"/>
        </w:rPr>
        <w:t>P</w:t>
      </w:r>
      <w:r>
        <w:rPr>
          <w:rFonts w:ascii="Times New Roman" w:eastAsia="SimSun" w:hAnsi="Times New Roman" w:cs="Times New Roman"/>
          <w:color w:val="000000"/>
          <w:kern w:val="0"/>
          <w:szCs w:val="21"/>
        </w:rPr>
        <w:t xml:space="preserve"> &lt; 0.05 versus the control group.</w:t>
      </w:r>
    </w:p>
    <w:p w14:paraId="7BB21EB5" w14:textId="77777777" w:rsidR="00071585" w:rsidRDefault="00071585" w:rsidP="003B04DB">
      <w:pPr>
        <w:spacing w:line="480" w:lineRule="auto"/>
        <w:rPr>
          <w:rFonts w:ascii="Times New Roman" w:eastAsia="DengXian" w:hAnsi="Times New Roman" w:cs="Times New Roman"/>
          <w:sz w:val="24"/>
        </w:rPr>
      </w:pPr>
    </w:p>
    <w:sectPr w:rsidR="00071585">
      <w:footerReference w:type="default" r:id="rId10"/>
      <w:pgSz w:w="11906" w:h="16838"/>
      <w:pgMar w:top="1440" w:right="1080" w:bottom="1440" w:left="108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21EEF" w14:textId="77777777" w:rsidR="000554ED" w:rsidRDefault="000554ED">
      <w:r>
        <w:separator/>
      </w:r>
    </w:p>
  </w:endnote>
  <w:endnote w:type="continuationSeparator" w:id="0">
    <w:p w14:paraId="763390E9" w14:textId="77777777" w:rsidR="000554ED" w:rsidRDefault="00055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493352"/>
    </w:sdtPr>
    <w:sdtEndPr>
      <w:rPr>
        <w:rFonts w:ascii="Times New Roman" w:hAnsi="Times New Roman" w:cs="Times New Roman"/>
        <w:sz w:val="21"/>
        <w:szCs w:val="21"/>
      </w:rPr>
    </w:sdtEndPr>
    <w:sdtContent>
      <w:p w14:paraId="5E37FF5B" w14:textId="77777777" w:rsidR="00071585" w:rsidRDefault="00000000">
        <w:pPr>
          <w:pStyle w:val="Footer"/>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w:t>
        </w:r>
        <w:r>
          <w:rPr>
            <w:rFonts w:ascii="Times New Roman" w:hAnsi="Times New Roman" w:cs="Times New Roman"/>
            <w:sz w:val="21"/>
            <w:szCs w:val="21"/>
          </w:rPr>
          <w:fldChar w:fldCharType="end"/>
        </w:r>
      </w:p>
    </w:sdtContent>
  </w:sdt>
  <w:p w14:paraId="254C33FB" w14:textId="77777777" w:rsidR="00071585" w:rsidRDefault="000715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AC200" w14:textId="77777777" w:rsidR="000554ED" w:rsidRDefault="000554ED">
      <w:r>
        <w:separator/>
      </w:r>
    </w:p>
  </w:footnote>
  <w:footnote w:type="continuationSeparator" w:id="0">
    <w:p w14:paraId="34B04163" w14:textId="77777777" w:rsidR="000554ED" w:rsidRDefault="000554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jBiMWM5YmY2YTk1YTk0NzQ5YjljMzZmODNjYTZjNzkifQ=="/>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929ps2wfs2pedextr0xvapqx2d9xatez2zv&quot;&gt;我的EndNote库&lt;record-ids&gt;&lt;item&gt;6&lt;/item&gt;&lt;item&gt;7&lt;/item&gt;&lt;item&gt;8&lt;/item&gt;&lt;item&gt;10&lt;/item&gt;&lt;item&gt;12&lt;/item&gt;&lt;item&gt;15&lt;/item&gt;&lt;item&gt;16&lt;/item&gt;&lt;item&gt;18&lt;/item&gt;&lt;item&gt;20&lt;/item&gt;&lt;item&gt;21&lt;/item&gt;&lt;item&gt;25&lt;/item&gt;&lt;item&gt;26&lt;/item&gt;&lt;item&gt;29&lt;/item&gt;&lt;item&gt;30&lt;/item&gt;&lt;item&gt;31&lt;/item&gt;&lt;item&gt;33&lt;/item&gt;&lt;item&gt;35&lt;/item&gt;&lt;item&gt;37&lt;/item&gt;&lt;item&gt;38&lt;/item&gt;&lt;item&gt;40&lt;/item&gt;&lt;item&gt;42&lt;/item&gt;&lt;item&gt;43&lt;/item&gt;&lt;item&gt;44&lt;/item&gt;&lt;item&gt;46&lt;/item&gt;&lt;item&gt;47&lt;/item&gt;&lt;item&gt;49&lt;/item&gt;&lt;item&gt;50&lt;/item&gt;&lt;item&gt;56&lt;/item&gt;&lt;/record-ids&gt;&lt;/item&gt;&lt;/Libraries&gt;"/>
    <w:docVar w:name="MachineID" w:val="199|203|197|190|198|197|204|199|197|187|204|197|200|190|197|204|189|"/>
    <w:docVar w:name="Username" w:val="Quality Control Editor"/>
  </w:docVars>
  <w:rsids>
    <w:rsidRoot w:val="005708B7"/>
    <w:rsid w:val="00002070"/>
    <w:rsid w:val="000554ED"/>
    <w:rsid w:val="00071585"/>
    <w:rsid w:val="0011603A"/>
    <w:rsid w:val="00121F02"/>
    <w:rsid w:val="00155976"/>
    <w:rsid w:val="002312D2"/>
    <w:rsid w:val="002459B8"/>
    <w:rsid w:val="00292A79"/>
    <w:rsid w:val="002C128C"/>
    <w:rsid w:val="002D435E"/>
    <w:rsid w:val="002F192F"/>
    <w:rsid w:val="00345270"/>
    <w:rsid w:val="0036637B"/>
    <w:rsid w:val="00384ABD"/>
    <w:rsid w:val="00391DD3"/>
    <w:rsid w:val="00392077"/>
    <w:rsid w:val="00397DDC"/>
    <w:rsid w:val="003B04DB"/>
    <w:rsid w:val="003B5F43"/>
    <w:rsid w:val="003D4DA8"/>
    <w:rsid w:val="00445B43"/>
    <w:rsid w:val="0048062C"/>
    <w:rsid w:val="004952F3"/>
    <w:rsid w:val="005144E5"/>
    <w:rsid w:val="005708B7"/>
    <w:rsid w:val="00574C4A"/>
    <w:rsid w:val="00576FEB"/>
    <w:rsid w:val="00581F91"/>
    <w:rsid w:val="005844CD"/>
    <w:rsid w:val="00590650"/>
    <w:rsid w:val="005C738E"/>
    <w:rsid w:val="005E1E3F"/>
    <w:rsid w:val="005E7F6E"/>
    <w:rsid w:val="00602CB3"/>
    <w:rsid w:val="00622807"/>
    <w:rsid w:val="00691BD7"/>
    <w:rsid w:val="006973F7"/>
    <w:rsid w:val="006F65FD"/>
    <w:rsid w:val="00717A37"/>
    <w:rsid w:val="007405FA"/>
    <w:rsid w:val="00746EDD"/>
    <w:rsid w:val="00767258"/>
    <w:rsid w:val="00772380"/>
    <w:rsid w:val="00772D09"/>
    <w:rsid w:val="007B345C"/>
    <w:rsid w:val="007C4048"/>
    <w:rsid w:val="008C3BDD"/>
    <w:rsid w:val="008E3F01"/>
    <w:rsid w:val="0092405E"/>
    <w:rsid w:val="009D77F1"/>
    <w:rsid w:val="009E2D70"/>
    <w:rsid w:val="00A65A61"/>
    <w:rsid w:val="00A839C6"/>
    <w:rsid w:val="00AA76D1"/>
    <w:rsid w:val="00AE6C6A"/>
    <w:rsid w:val="00AF5DAC"/>
    <w:rsid w:val="00B36CE8"/>
    <w:rsid w:val="00B66924"/>
    <w:rsid w:val="00B817C7"/>
    <w:rsid w:val="00B82965"/>
    <w:rsid w:val="00BC79AA"/>
    <w:rsid w:val="00BE75BE"/>
    <w:rsid w:val="00C0275E"/>
    <w:rsid w:val="00C23524"/>
    <w:rsid w:val="00C35FEF"/>
    <w:rsid w:val="00CB4C0A"/>
    <w:rsid w:val="00D35579"/>
    <w:rsid w:val="00D97497"/>
    <w:rsid w:val="00DC00E4"/>
    <w:rsid w:val="00DD6853"/>
    <w:rsid w:val="00DE4D16"/>
    <w:rsid w:val="00E00120"/>
    <w:rsid w:val="00E15D45"/>
    <w:rsid w:val="00E63B2F"/>
    <w:rsid w:val="00E72858"/>
    <w:rsid w:val="00E80377"/>
    <w:rsid w:val="00EA5896"/>
    <w:rsid w:val="00ED3848"/>
    <w:rsid w:val="00F04254"/>
    <w:rsid w:val="00F545FC"/>
    <w:rsid w:val="00FB75A9"/>
    <w:rsid w:val="00FF3F1C"/>
    <w:rsid w:val="029562D6"/>
    <w:rsid w:val="04AB1E91"/>
    <w:rsid w:val="04D22D04"/>
    <w:rsid w:val="1EEF398C"/>
    <w:rsid w:val="24816DAB"/>
    <w:rsid w:val="27EF021D"/>
    <w:rsid w:val="2AEC4BDF"/>
    <w:rsid w:val="2B6E756F"/>
    <w:rsid w:val="33D65CD9"/>
    <w:rsid w:val="37D91178"/>
    <w:rsid w:val="39E26D9C"/>
    <w:rsid w:val="44AA7665"/>
    <w:rsid w:val="47BA2B89"/>
    <w:rsid w:val="4B1F3913"/>
    <w:rsid w:val="52F932E4"/>
    <w:rsid w:val="604C7C9A"/>
    <w:rsid w:val="649E6569"/>
    <w:rsid w:val="6A2133F4"/>
    <w:rsid w:val="75424B5B"/>
    <w:rsid w:val="77773F48"/>
    <w:rsid w:val="77C1528A"/>
    <w:rsid w:val="7D6174D5"/>
    <w:rsid w:val="7E580BFB"/>
    <w:rsid w:val="7EF877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557689B"/>
  <w15:docId w15:val="{AFFFBC5E-0D5A-4C2B-813E-7863438AF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qFormat/>
    <w:pPr>
      <w:spacing w:line="480" w:lineRule="auto"/>
      <w:jc w:val="left"/>
    </w:pPr>
    <w:rPr>
      <w:rFonts w:ascii="Tahoma" w:eastAsia="Times New Roman" w:hAnsi="Tahoma" w:cs="Tahoma"/>
      <w:sz w:val="16"/>
    </w:rPr>
  </w:style>
  <w:style w:type="paragraph" w:styleId="BalloonText">
    <w:name w:val="Balloon Text"/>
    <w:basedOn w:val="Normal"/>
    <w:link w:val="BalloonTextChar"/>
    <w:uiPriority w:val="99"/>
    <w:unhideWhenUsed/>
    <w:qFormat/>
    <w:rPr>
      <w:rFonts w:ascii="Tahoma" w:eastAsia="Times New Roman" w:hAnsi="Tahoma" w:cs="Tahoma"/>
      <w:sz w:val="16"/>
      <w:szCs w:val="18"/>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paragraph" w:styleId="CommentSubject">
    <w:name w:val="annotation subject"/>
    <w:basedOn w:val="CommentText"/>
    <w:next w:val="CommentText"/>
    <w:link w:val="CommentSubjectChar"/>
    <w:uiPriority w:val="99"/>
    <w:unhideWhenUsed/>
    <w:qFormat/>
    <w:rPr>
      <w:b/>
      <w:bCs/>
    </w:rPr>
  </w:style>
  <w:style w:type="character" w:styleId="Hyperlink">
    <w:name w:val="Hyperlink"/>
    <w:basedOn w:val="DefaultParagraphFont"/>
    <w:uiPriority w:val="99"/>
    <w:semiHidden/>
    <w:unhideWhenUsed/>
    <w:qFormat/>
    <w:rPr>
      <w:color w:val="0000FF"/>
      <w:u w:val="single"/>
    </w:rPr>
  </w:style>
  <w:style w:type="character" w:styleId="CommentReference">
    <w:name w:val="annotation reference"/>
    <w:basedOn w:val="DefaultParagraphFont"/>
    <w:uiPriority w:val="99"/>
    <w:unhideWhenUsed/>
    <w:qFormat/>
    <w:rPr>
      <w:sz w:val="21"/>
      <w:szCs w:val="21"/>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character" w:customStyle="1" w:styleId="CommentTextChar">
    <w:name w:val="Comment Text Char"/>
    <w:basedOn w:val="DefaultParagraphFont"/>
    <w:link w:val="CommentText"/>
    <w:uiPriority w:val="99"/>
    <w:qFormat/>
    <w:rPr>
      <w:rFonts w:ascii="Tahoma" w:eastAsia="Times New Roman" w:hAnsi="Tahoma" w:cs="Tahoma"/>
      <w:sz w:val="16"/>
    </w:rPr>
  </w:style>
  <w:style w:type="character" w:customStyle="1" w:styleId="BalloonTextChar">
    <w:name w:val="Balloon Text Char"/>
    <w:basedOn w:val="DefaultParagraphFont"/>
    <w:link w:val="BalloonText"/>
    <w:uiPriority w:val="99"/>
    <w:qFormat/>
    <w:rPr>
      <w:rFonts w:ascii="Tahoma" w:eastAsia="Times New Roman" w:hAnsi="Tahoma" w:cs="Tahoma"/>
      <w:sz w:val="16"/>
      <w:szCs w:val="18"/>
    </w:rPr>
  </w:style>
  <w:style w:type="character" w:customStyle="1" w:styleId="CommentSubjectChar">
    <w:name w:val="Comment Subject Char"/>
    <w:basedOn w:val="CommentTextChar"/>
    <w:link w:val="CommentSubject"/>
    <w:uiPriority w:val="99"/>
    <w:qFormat/>
    <w:rPr>
      <w:rFonts w:ascii="Tahoma" w:eastAsia="Times New Roman" w:hAnsi="Tahoma" w:cs="Tahoma"/>
      <w:b/>
      <w:bCs/>
      <w:sz w:val="16"/>
    </w:rPr>
  </w:style>
  <w:style w:type="paragraph" w:customStyle="1" w:styleId="1">
    <w:name w:val="列表段落1"/>
    <w:basedOn w:val="Normal"/>
    <w:uiPriority w:val="34"/>
    <w:qFormat/>
    <w:pPr>
      <w:spacing w:line="480" w:lineRule="auto"/>
      <w:ind w:firstLineChars="200" w:firstLine="420"/>
    </w:pPr>
    <w:rPr>
      <w:rFonts w:ascii="Times New Roman" w:eastAsia="Times New Roman" w:hAnsi="Times New Roman" w:cs="SimHei"/>
      <w:sz w:val="24"/>
    </w:rPr>
  </w:style>
  <w:style w:type="paragraph" w:customStyle="1" w:styleId="EndNoteBibliographyTitle">
    <w:name w:val="EndNote Bibliography Title"/>
    <w:basedOn w:val="Normal"/>
    <w:link w:val="EndNoteBibliographyTitle0"/>
    <w:qFormat/>
    <w:pPr>
      <w:spacing w:line="480" w:lineRule="auto"/>
      <w:jc w:val="center"/>
    </w:pPr>
    <w:rPr>
      <w:rFonts w:ascii="DengXian" w:eastAsia="DengXian" w:hAnsi="DengXian" w:cs="Times New Roman"/>
      <w:sz w:val="20"/>
    </w:rPr>
  </w:style>
  <w:style w:type="paragraph" w:customStyle="1" w:styleId="EndNoteBibliography">
    <w:name w:val="EndNote Bibliography"/>
    <w:basedOn w:val="Normal"/>
    <w:link w:val="EndNoteBibliography0"/>
    <w:qFormat/>
    <w:rPr>
      <w:rFonts w:ascii="DengXian" w:eastAsia="DengXian" w:hAnsi="DengXian" w:cs="Times New Roman"/>
      <w:sz w:val="20"/>
    </w:rPr>
  </w:style>
  <w:style w:type="character" w:customStyle="1" w:styleId="EndNoteBibliographyTitle0">
    <w:name w:val="EndNote Bibliography Title 字符"/>
    <w:basedOn w:val="DefaultParagraphFont"/>
    <w:link w:val="EndNoteBibliographyTitle"/>
    <w:qFormat/>
    <w:rPr>
      <w:rFonts w:ascii="DengXian" w:eastAsia="DengXian" w:hAnsi="DengXian" w:cs="Times New Roman"/>
      <w:kern w:val="2"/>
      <w:szCs w:val="22"/>
    </w:rPr>
  </w:style>
  <w:style w:type="character" w:customStyle="1" w:styleId="EndNoteBibliography0">
    <w:name w:val="EndNote Bibliography 字符"/>
    <w:basedOn w:val="DefaultParagraphFont"/>
    <w:link w:val="EndNoteBibliography"/>
    <w:qFormat/>
    <w:rPr>
      <w:rFonts w:ascii="DengXian" w:eastAsia="DengXian" w:hAnsi="DengXian" w:cs="Times New Roman"/>
      <w:kern w:val="2"/>
      <w:szCs w:val="22"/>
    </w:rPr>
  </w:style>
  <w:style w:type="paragraph" w:customStyle="1" w:styleId="10">
    <w:name w:val="修订1"/>
    <w:hidden/>
    <w:uiPriority w:val="99"/>
    <w:semiHidden/>
    <w:qFormat/>
    <w:rPr>
      <w:rFonts w:eastAsia="Times New Roman" w:cs="SimHei"/>
      <w:kern w:val="2"/>
      <w:sz w:val="24"/>
      <w:szCs w:val="22"/>
      <w:lang w:eastAsia="zh-CN"/>
    </w:rPr>
  </w:style>
  <w:style w:type="paragraph" w:customStyle="1" w:styleId="2">
    <w:name w:val="修订2"/>
    <w:hidden/>
    <w:uiPriority w:val="99"/>
    <w:semiHidden/>
    <w:qFormat/>
    <w:rPr>
      <w:rFonts w:eastAsia="Times New Roman" w:cs="SimHei"/>
      <w:kern w:val="2"/>
      <w:sz w:val="24"/>
      <w:szCs w:val="22"/>
      <w:lang w:eastAsia="zh-CN"/>
    </w:rPr>
  </w:style>
  <w:style w:type="paragraph" w:customStyle="1" w:styleId="3">
    <w:name w:val="修订3"/>
    <w:hidden/>
    <w:uiPriority w:val="99"/>
    <w:semiHidden/>
    <w:qFormat/>
    <w:rPr>
      <w:rFonts w:asciiTheme="minorHAnsi" w:eastAsiaTheme="minorEastAsia" w:hAnsiTheme="minorHAnsi" w:cstheme="minorBidi"/>
      <w:kern w:val="2"/>
      <w:sz w:val="21"/>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Info spid="_x0000_s1026"/>
  </customShpExts>
</s:customData>
</file>

<file path=customXml/itemProps1.xml><?xml version="1.0" encoding="utf-8"?>
<ds:datastoreItem xmlns:ds="http://schemas.openxmlformats.org/officeDocument/2006/customXml" ds:itemID="{67EC5AEC-E10C-4B74-9EFE-7CD264460E2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249</Words>
  <Characters>1420</Characters>
  <Application>Microsoft Office Word</Application>
  <DocSecurity>0</DocSecurity>
  <Lines>11</Lines>
  <Paragraphs>3</Paragraphs>
  <ScaleCrop>false</ScaleCrop>
  <Company>Springer Nature</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Quality Control Editor</dc:creator>
  <cp:lastModifiedBy>Trupti Sudge</cp:lastModifiedBy>
  <cp:revision>2</cp:revision>
  <cp:lastPrinted>2023-12-06T12:46:00Z</cp:lastPrinted>
  <dcterms:created xsi:type="dcterms:W3CDTF">2023-12-13T09:12:00Z</dcterms:created>
  <dcterms:modified xsi:type="dcterms:W3CDTF">2023-12-13T09:12:00Z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F97CF66392E34AE1A3632EB1EACCC297_13</vt:lpwstr>
  </property>
</Properties>
</file>