
<file path=[Content_Types].xml><?xml version="1.0" encoding="utf-8"?>
<Types xmlns="http://schemas.openxmlformats.org/package/2006/content-types">
  <Default Extension="tiff" ContentType="image/tif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left="1050" w:leftChars="500" w:right="1050" w:rightChars="500"/>
        <w:jc w:val="center"/>
        <w:rPr>
          <w:sz w:val="24"/>
        </w:rPr>
      </w:pPr>
      <w:r>
        <w:rPr>
          <w:sz w:val="24"/>
        </w:rPr>
        <w:drawing>
          <wp:inline distT="0" distB="0" distL="114300" distR="114300">
            <wp:extent cx="6465570" cy="2915920"/>
            <wp:effectExtent l="0" t="0" r="11430" b="10160"/>
            <wp:docPr id="4" name="图片 3" descr="跨膜域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跨膜域_画板 1"/>
                    <pic:cNvPicPr>
                      <a:picLocks noChangeAspect="1"/>
                    </pic:cNvPicPr>
                  </pic:nvPicPr>
                  <pic:blipFill>
                    <a:blip r:embed="rId4"/>
                    <a:srcRect b="68111"/>
                    <a:stretch>
                      <a:fillRect/>
                    </a:stretch>
                  </pic:blipFill>
                  <pic:spPr>
                    <a:xfrm>
                      <a:off x="0" y="0"/>
                      <a:ext cx="6465570" cy="291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>upplementary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F</w:t>
      </w:r>
      <w:r>
        <w:rPr>
          <w:rFonts w:ascii="Times New Roman" w:hAnsi="Times New Roman" w:cs="Times New Roman"/>
          <w:b/>
          <w:bCs/>
          <w:sz w:val="24"/>
        </w:rPr>
        <w:t>ig</w:t>
      </w:r>
      <w:r>
        <w:rPr>
          <w:rFonts w:hint="eastAsia"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b/>
          <w:bCs/>
          <w:sz w:val="24"/>
        </w:rPr>
        <w:t xml:space="preserve"> S1</w:t>
      </w:r>
      <w:r>
        <w:rPr>
          <w:rFonts w:ascii="Times New Roman" w:hAnsi="Times New Roman" w:cs="Times New Roman"/>
          <w:sz w:val="24"/>
        </w:rPr>
        <w:t xml:space="preserve"> Sequence alignment and coding protein analysis of two alternative splicing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events.</w:t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A</w:t>
      </w:r>
      <w:r>
        <w:rPr>
          <w:rFonts w:ascii="Times New Roman" w:hAnsi="Times New Roman" w:cs="Times New Roman"/>
          <w:sz w:val="24"/>
        </w:rPr>
        <w:t xml:space="preserve"> DNA sequence alignment of two transcripts.</w:t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B</w:t>
      </w:r>
      <w:r>
        <w:rPr>
          <w:rFonts w:ascii="Times New Roman" w:hAnsi="Times New Roman" w:cs="Times New Roman"/>
          <w:sz w:val="24"/>
        </w:rPr>
        <w:t xml:space="preserve"> Sequence alignment of amino acids encoded by </w:t>
      </w:r>
      <w:r>
        <w:rPr>
          <w:rFonts w:ascii="Times New Roman" w:hAnsi="Times New Roman" w:cs="Times New Roman"/>
          <w:i/>
          <w:iCs/>
          <w:sz w:val="24"/>
        </w:rPr>
        <w:t>SiAAP9L</w:t>
      </w:r>
      <w:r>
        <w:rPr>
          <w:rFonts w:ascii="Times New Roman" w:hAnsi="Times New Roman" w:cs="Times New Roman"/>
          <w:sz w:val="24"/>
        </w:rPr>
        <w:t xml:space="preserve"> and </w:t>
      </w:r>
      <w:r>
        <w:rPr>
          <w:rFonts w:ascii="Times New Roman" w:hAnsi="Times New Roman" w:cs="Times New Roman"/>
          <w:i/>
          <w:iCs/>
          <w:sz w:val="24"/>
        </w:rPr>
        <w:t>SiAAP9S</w:t>
      </w:r>
      <w:r>
        <w:rPr>
          <w:rFonts w:ascii="Times New Roman" w:hAnsi="Times New Roman" w:cs="Times New Roman"/>
          <w:sz w:val="24"/>
        </w:rPr>
        <w:t xml:space="preserve">. </w:t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C,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D</w:t>
      </w:r>
      <w:r>
        <w:rPr>
          <w:rFonts w:ascii="Times New Roman" w:hAnsi="Times New Roman" w:cs="Times New Roman"/>
          <w:sz w:val="24"/>
        </w:rPr>
        <w:t xml:space="preserve"> Coding sequences of </w:t>
      </w:r>
      <w:r>
        <w:rPr>
          <w:rFonts w:ascii="Times New Roman" w:hAnsi="Times New Roman" w:cs="Times New Roman"/>
          <w:i/>
          <w:iCs/>
          <w:sz w:val="24"/>
        </w:rPr>
        <w:t>SiAAP9L</w:t>
      </w:r>
      <w:r>
        <w:rPr>
          <w:rFonts w:ascii="Times New Roman" w:hAnsi="Times New Roman" w:cs="Times New Roman"/>
          <w:sz w:val="24"/>
        </w:rPr>
        <w:t xml:space="preserve"> and </w:t>
      </w:r>
      <w:r>
        <w:rPr>
          <w:rFonts w:ascii="Times New Roman" w:hAnsi="Times New Roman" w:cs="Times New Roman"/>
          <w:i/>
          <w:iCs/>
          <w:sz w:val="24"/>
        </w:rPr>
        <w:t>SiAAP9S</w:t>
      </w:r>
      <w:r>
        <w:rPr>
          <w:rFonts w:ascii="Times New Roman" w:hAnsi="Times New Roman" w:cs="Times New Roman"/>
          <w:sz w:val="24"/>
        </w:rPr>
        <w:t xml:space="preserve"> are subjected to the TMHMM-2.0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website for transmembrane domain prediction.</w:t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E,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F</w:t>
      </w:r>
      <w:r>
        <w:rPr>
          <w:rFonts w:ascii="Times New Roman" w:hAnsi="Times New Roman" w:cs="Times New Roman"/>
          <w:sz w:val="24"/>
        </w:rPr>
        <w:t xml:space="preserve"> Swiss Model website for predicting the protein tertiary structure of the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SiAAP9L and SiAAP9S.</w:t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sz w:val="24"/>
        </w:rPr>
      </w:pPr>
    </w:p>
    <w:p>
      <w:pPr>
        <w:spacing w:line="480" w:lineRule="auto"/>
        <w:ind w:left="1050" w:leftChars="500" w:right="1050" w:rightChars="500"/>
        <w:rPr>
          <w:sz w:val="24"/>
        </w:rPr>
      </w:pPr>
    </w:p>
    <w:p>
      <w:pPr>
        <w:spacing w:line="480" w:lineRule="auto"/>
        <w:ind w:left="1050" w:leftChars="500" w:right="1050" w:rightChars="500"/>
        <w:jc w:val="left"/>
        <w:rPr>
          <w:sz w:val="24"/>
        </w:rPr>
      </w:pPr>
      <w:r>
        <w:rPr>
          <w:sz w:val="24"/>
        </w:rPr>
        <w:drawing>
          <wp:inline distT="0" distB="0" distL="114300" distR="114300">
            <wp:extent cx="3240405" cy="4752340"/>
            <wp:effectExtent l="0" t="0" r="5715" b="2540"/>
            <wp:docPr id="5" name="图片 4" descr="gus染色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gus染色_画板 1"/>
                    <pic:cNvPicPr>
                      <a:picLocks noChangeAspect="1"/>
                    </pic:cNvPicPr>
                  </pic:nvPicPr>
                  <pic:blipFill>
                    <a:blip r:embed="rId5"/>
                    <a:srcRect l="11137" t="8257" r="38745" b="39771"/>
                    <a:stretch>
                      <a:fillRect/>
                    </a:stretch>
                  </pic:blipFill>
                  <pic:spPr>
                    <a:xfrm>
                      <a:off x="0" y="0"/>
                      <a:ext cx="3240405" cy="4752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>upplementary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Fig. S2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</w:rPr>
        <w:t>SiAAP9</w:t>
      </w:r>
      <w:r>
        <w:rPr>
          <w:rFonts w:ascii="Times New Roman" w:hAnsi="Times New Roman" w:cs="Times New Roman"/>
          <w:sz w:val="24"/>
        </w:rPr>
        <w:t xml:space="preserve"> is widely expressed in</w:t>
      </w:r>
      <w:r>
        <w:rPr>
          <w:rFonts w:ascii="Times New Roman" w:hAnsi="Times New Roman" w:cs="Times New Roman"/>
          <w:i/>
          <w:iCs/>
          <w:sz w:val="24"/>
        </w:rPr>
        <w:t xml:space="preserve"> Arabidopsis</w:t>
      </w:r>
      <w:r>
        <w:rPr>
          <w:rFonts w:ascii="Times New Roman" w:hAnsi="Times New Roman" w:cs="Times New Roman"/>
          <w:sz w:val="24"/>
        </w:rPr>
        <w:t xml:space="preserve"> by GUS staining analysis.</w:t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Representative images from 20 individual transgenic lines expressing </w:t>
      </w:r>
      <w:r>
        <w:rPr>
          <w:rFonts w:ascii="Times New Roman" w:hAnsi="Times New Roman" w:cs="Times New Roman"/>
          <w:i/>
          <w:iCs/>
          <w:sz w:val="24"/>
        </w:rPr>
        <w:t>SiAAP9</w:t>
      </w:r>
      <w:r>
        <w:rPr>
          <w:rFonts w:hint="eastAsia" w:ascii="Times New Roman" w:hAnsi="Times New Roman" w:cs="Times New Roman"/>
          <w:i/>
          <w:iCs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i/>
          <w:iCs/>
          <w:sz w:val="24"/>
        </w:rPr>
        <w:t>pro</w:t>
      </w:r>
      <w:r>
        <w:rPr>
          <w:rFonts w:ascii="Times New Roman" w:hAnsi="Times New Roman" w:cs="Times New Roman"/>
          <w:i/>
          <w:iCs/>
          <w:sz w:val="24"/>
        </w:rPr>
        <w:t>:GUS</w:t>
      </w:r>
      <w:r>
        <w:rPr>
          <w:rFonts w:hint="eastAsia" w:ascii="Times New Roman" w:hAnsi="Times New Roman" w:cs="Times New Roman"/>
          <w:i/>
          <w:i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are shown: 4-DAG seedling (</w:t>
      </w:r>
      <w:r>
        <w:rPr>
          <w:rFonts w:ascii="Times New Roman" w:hAnsi="Times New Roman" w:cs="Times New Roman"/>
          <w:b/>
          <w:bCs/>
          <w:sz w:val="24"/>
        </w:rPr>
        <w:t>A</w:t>
      </w:r>
      <w:r>
        <w:rPr>
          <w:rFonts w:ascii="Times New Roman" w:hAnsi="Times New Roman" w:cs="Times New Roman"/>
          <w:sz w:val="24"/>
        </w:rPr>
        <w:t>), magnifications of the cotyledons (</w:t>
      </w:r>
      <w:r>
        <w:rPr>
          <w:rFonts w:ascii="Times New Roman" w:hAnsi="Times New Roman" w:cs="Times New Roman"/>
          <w:b/>
          <w:bCs/>
          <w:sz w:val="24"/>
        </w:rPr>
        <w:t>B</w:t>
      </w:r>
      <w:r>
        <w:rPr>
          <w:rFonts w:ascii="Times New Roman" w:hAnsi="Times New Roman" w:cs="Times New Roman"/>
          <w:sz w:val="24"/>
        </w:rPr>
        <w:t>) and root tips (</w:t>
      </w:r>
      <w:r>
        <w:rPr>
          <w:rFonts w:ascii="Times New Roman" w:hAnsi="Times New Roman" w:cs="Times New Roman"/>
          <w:b/>
          <w:bCs/>
          <w:sz w:val="24"/>
        </w:rPr>
        <w:t>C</w:t>
      </w:r>
      <w:r>
        <w:rPr>
          <w:rFonts w:ascii="Times New Roman" w:hAnsi="Times New Roman" w:cs="Times New Roman"/>
          <w:sz w:val="24"/>
        </w:rPr>
        <w:t>)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of 4-DAG seedling, leaf from 21-DAG plants (</w:t>
      </w:r>
      <w:r>
        <w:rPr>
          <w:rFonts w:ascii="Times New Roman" w:hAnsi="Times New Roman" w:cs="Times New Roman"/>
          <w:b/>
          <w:bCs/>
          <w:sz w:val="24"/>
        </w:rPr>
        <w:t>D</w:t>
      </w:r>
      <w:r>
        <w:rPr>
          <w:rFonts w:ascii="Times New Roman" w:hAnsi="Times New Roman" w:cs="Times New Roman"/>
          <w:sz w:val="24"/>
        </w:rPr>
        <w:t>), epidermal cells (</w:t>
      </w:r>
      <w:r>
        <w:rPr>
          <w:rFonts w:ascii="Times New Roman" w:hAnsi="Times New Roman" w:cs="Times New Roman"/>
          <w:b/>
          <w:bCs/>
          <w:sz w:val="24"/>
        </w:rPr>
        <w:t>E</w:t>
      </w:r>
      <w:r>
        <w:rPr>
          <w:rFonts w:ascii="Times New Roman" w:hAnsi="Times New Roman" w:cs="Times New Roman"/>
          <w:sz w:val="24"/>
        </w:rPr>
        <w:t>), inflorescence (</w:t>
      </w:r>
      <w:r>
        <w:rPr>
          <w:rFonts w:ascii="Times New Roman" w:hAnsi="Times New Roman" w:cs="Times New Roman"/>
          <w:b/>
          <w:bCs/>
          <w:sz w:val="24"/>
        </w:rPr>
        <w:t>F</w:t>
      </w:r>
      <w:r>
        <w:rPr>
          <w:rFonts w:ascii="Times New Roman" w:hAnsi="Times New Roman" w:cs="Times New Roman"/>
          <w:sz w:val="24"/>
        </w:rPr>
        <w:t>),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mature pistil (</w:t>
      </w:r>
      <w:r>
        <w:rPr>
          <w:rFonts w:ascii="Times New Roman" w:hAnsi="Times New Roman" w:cs="Times New Roman"/>
          <w:b/>
          <w:bCs/>
          <w:sz w:val="24"/>
        </w:rPr>
        <w:t>G</w:t>
      </w:r>
      <w:r>
        <w:rPr>
          <w:rFonts w:ascii="Times New Roman" w:hAnsi="Times New Roman" w:cs="Times New Roman"/>
          <w:sz w:val="24"/>
        </w:rPr>
        <w:t>), root (</w:t>
      </w:r>
      <w:r>
        <w:rPr>
          <w:rFonts w:ascii="Times New Roman" w:hAnsi="Times New Roman" w:cs="Times New Roman"/>
          <w:b/>
          <w:bCs/>
          <w:sz w:val="24"/>
        </w:rPr>
        <w:t>H</w:t>
      </w:r>
      <w:r>
        <w:rPr>
          <w:rFonts w:ascii="Times New Roman" w:hAnsi="Times New Roman" w:cs="Times New Roman"/>
          <w:sz w:val="24"/>
        </w:rPr>
        <w:t>), developing anther (</w:t>
      </w:r>
      <w:r>
        <w:rPr>
          <w:rFonts w:ascii="Times New Roman" w:hAnsi="Times New Roman" w:cs="Times New Roman"/>
          <w:b/>
          <w:bCs/>
          <w:sz w:val="24"/>
        </w:rPr>
        <w:t>I</w:t>
      </w:r>
      <w:r>
        <w:rPr>
          <w:rFonts w:ascii="Times New Roman" w:hAnsi="Times New Roman" w:cs="Times New Roman"/>
          <w:sz w:val="24"/>
        </w:rPr>
        <w:t>), developing seed (</w:t>
      </w:r>
      <w:r>
        <w:rPr>
          <w:rFonts w:ascii="Times New Roman" w:hAnsi="Times New Roman" w:cs="Times New Roman"/>
          <w:b/>
          <w:bCs/>
          <w:sz w:val="24"/>
        </w:rPr>
        <w:t>J</w:t>
      </w:r>
      <w:r>
        <w:rPr>
          <w:rFonts w:ascii="Times New Roman" w:hAnsi="Times New Roman" w:cs="Times New Roman"/>
          <w:sz w:val="24"/>
        </w:rPr>
        <w:t>). Bars = 2 mm for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b/>
          <w:bCs/>
          <w:sz w:val="24"/>
        </w:rPr>
        <w:t>A</w:t>
      </w:r>
      <w:r>
        <w:rPr>
          <w:rFonts w:ascii="Times New Roman" w:hAnsi="Times New Roman" w:cs="Times New Roman"/>
          <w:sz w:val="24"/>
        </w:rPr>
        <w:t>), (</w:t>
      </w:r>
      <w:r>
        <w:rPr>
          <w:rFonts w:ascii="Times New Roman" w:hAnsi="Times New Roman" w:cs="Times New Roman"/>
          <w:b/>
          <w:bCs/>
          <w:sz w:val="24"/>
        </w:rPr>
        <w:t>D</w:t>
      </w:r>
      <w:r>
        <w:rPr>
          <w:rFonts w:ascii="Times New Roman" w:hAnsi="Times New Roman" w:cs="Times New Roman"/>
          <w:sz w:val="24"/>
        </w:rPr>
        <w:t>), and (</w:t>
      </w:r>
      <w:r>
        <w:rPr>
          <w:rFonts w:ascii="Times New Roman" w:hAnsi="Times New Roman" w:cs="Times New Roman"/>
          <w:b/>
          <w:bCs/>
          <w:sz w:val="24"/>
        </w:rPr>
        <w:t>F</w:t>
      </w:r>
      <w:r>
        <w:rPr>
          <w:rFonts w:ascii="Times New Roman" w:hAnsi="Times New Roman" w:cs="Times New Roman"/>
          <w:sz w:val="24"/>
        </w:rPr>
        <w:t>), 100 μm for (</w:t>
      </w:r>
      <w:r>
        <w:rPr>
          <w:rFonts w:ascii="Times New Roman" w:hAnsi="Times New Roman" w:cs="Times New Roman"/>
          <w:b/>
          <w:bCs/>
          <w:sz w:val="24"/>
        </w:rPr>
        <w:t>B</w:t>
      </w:r>
      <w:r>
        <w:rPr>
          <w:rFonts w:ascii="Times New Roman" w:hAnsi="Times New Roman" w:cs="Times New Roman"/>
          <w:sz w:val="24"/>
        </w:rPr>
        <w:t>), (</w:t>
      </w:r>
      <w:r>
        <w:rPr>
          <w:rFonts w:ascii="Times New Roman" w:hAnsi="Times New Roman" w:cs="Times New Roman"/>
          <w:b/>
          <w:bCs/>
          <w:sz w:val="24"/>
        </w:rPr>
        <w:t>C</w:t>
      </w:r>
      <w:r>
        <w:rPr>
          <w:rFonts w:ascii="Times New Roman" w:hAnsi="Times New Roman" w:cs="Times New Roman"/>
          <w:sz w:val="24"/>
        </w:rPr>
        <w:t>), (</w:t>
      </w:r>
      <w:r>
        <w:rPr>
          <w:rFonts w:ascii="Times New Roman" w:hAnsi="Times New Roman" w:cs="Times New Roman"/>
          <w:b/>
          <w:bCs/>
          <w:sz w:val="24"/>
        </w:rPr>
        <w:t>E</w:t>
      </w:r>
      <w:r>
        <w:rPr>
          <w:rFonts w:ascii="Times New Roman" w:hAnsi="Times New Roman" w:cs="Times New Roman"/>
          <w:sz w:val="24"/>
        </w:rPr>
        <w:t>), (</w:t>
      </w:r>
      <w:r>
        <w:rPr>
          <w:rFonts w:ascii="Times New Roman" w:hAnsi="Times New Roman" w:cs="Times New Roman"/>
          <w:b/>
          <w:bCs/>
          <w:sz w:val="24"/>
        </w:rPr>
        <w:t>G</w:t>
      </w:r>
      <w:r>
        <w:rPr>
          <w:rFonts w:ascii="Times New Roman" w:hAnsi="Times New Roman" w:cs="Times New Roman"/>
          <w:sz w:val="24"/>
        </w:rPr>
        <w:t>), (</w:t>
      </w:r>
      <w:r>
        <w:rPr>
          <w:rFonts w:ascii="Times New Roman" w:hAnsi="Times New Roman" w:cs="Times New Roman"/>
          <w:b/>
          <w:bCs/>
          <w:sz w:val="24"/>
        </w:rPr>
        <w:t>H</w:t>
      </w:r>
      <w:r>
        <w:rPr>
          <w:rFonts w:ascii="Times New Roman" w:hAnsi="Times New Roman" w:cs="Times New Roman"/>
          <w:sz w:val="24"/>
        </w:rPr>
        <w:t>), (</w:t>
      </w:r>
      <w:r>
        <w:rPr>
          <w:rFonts w:ascii="Times New Roman" w:hAnsi="Times New Roman" w:cs="Times New Roman"/>
          <w:b/>
          <w:bCs/>
          <w:sz w:val="24"/>
        </w:rPr>
        <w:t>I</w:t>
      </w:r>
      <w:r>
        <w:rPr>
          <w:rFonts w:ascii="Times New Roman" w:hAnsi="Times New Roman" w:cs="Times New Roman"/>
          <w:sz w:val="24"/>
        </w:rPr>
        <w:t>) and (</w:t>
      </w:r>
      <w:r>
        <w:rPr>
          <w:rFonts w:ascii="Times New Roman" w:hAnsi="Times New Roman" w:cs="Times New Roman"/>
          <w:b/>
          <w:bCs/>
          <w:sz w:val="24"/>
        </w:rPr>
        <w:t>J</w:t>
      </w:r>
      <w:r>
        <w:rPr>
          <w:rFonts w:ascii="Times New Roman" w:hAnsi="Times New Roman" w:cs="Times New Roman"/>
          <w:sz w:val="24"/>
        </w:rPr>
        <w:t>).</w:t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sz w:val="24"/>
        </w:rPr>
      </w:pPr>
      <w:r>
        <w:rPr>
          <w:sz w:val="24"/>
        </w:rPr>
        <w:drawing>
          <wp:inline distT="0" distB="0" distL="114300" distR="114300">
            <wp:extent cx="6465570" cy="1979930"/>
            <wp:effectExtent l="0" t="0" r="11430" b="1270"/>
            <wp:docPr id="6" name="图片 2" descr="表达量检测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表达量检测_画板 1"/>
                    <pic:cNvPicPr>
                      <a:picLocks noChangeAspect="1"/>
                    </pic:cNvPicPr>
                  </pic:nvPicPr>
                  <pic:blipFill>
                    <a:blip r:embed="rId6"/>
                    <a:srcRect b="78347"/>
                    <a:stretch>
                      <a:fillRect/>
                    </a:stretch>
                  </pic:blipFill>
                  <pic:spPr>
                    <a:xfrm>
                      <a:off x="0" y="0"/>
                      <a:ext cx="6465570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>upplementary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Fig. S3</w:t>
      </w:r>
      <w:r>
        <w:rPr>
          <w:rFonts w:ascii="Times New Roman" w:hAnsi="Times New Roman" w:cs="Times New Roman"/>
          <w:sz w:val="24"/>
        </w:rPr>
        <w:t xml:space="preserve"> Quantification of the expression levels in transgenic </w:t>
      </w:r>
      <w:r>
        <w:rPr>
          <w:rFonts w:ascii="Times New Roman" w:hAnsi="Times New Roman" w:cs="Times New Roman"/>
          <w:i/>
          <w:iCs/>
          <w:sz w:val="24"/>
        </w:rPr>
        <w:t>Arabidopsis</w:t>
      </w:r>
      <w:r>
        <w:rPr>
          <w:rFonts w:ascii="Times New Roman" w:hAnsi="Times New Roman" w:cs="Times New Roman"/>
          <w:sz w:val="24"/>
        </w:rPr>
        <w:t xml:space="preserve"> that were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grown on 1/2 MS medium.</w:t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A,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B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Detection of expression levels of WT, </w:t>
      </w:r>
      <w:r>
        <w:rPr>
          <w:rFonts w:ascii="Times New Roman" w:hAnsi="Times New Roman" w:cs="Times New Roman"/>
          <w:i/>
          <w:iCs/>
          <w:sz w:val="24"/>
        </w:rPr>
        <w:t>LOX-1#</w:t>
      </w:r>
      <w:r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i/>
          <w:iCs/>
          <w:sz w:val="24"/>
        </w:rPr>
        <w:t>LOX-2#</w:t>
      </w:r>
      <w:r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i/>
          <w:iCs/>
          <w:sz w:val="24"/>
        </w:rPr>
        <w:t>SOX-1#</w:t>
      </w:r>
      <w:r>
        <w:rPr>
          <w:rFonts w:ascii="Times New Roman" w:hAnsi="Times New Roman" w:cs="Times New Roman"/>
          <w:sz w:val="24"/>
        </w:rPr>
        <w:t xml:space="preserve"> and </w:t>
      </w:r>
      <w:r>
        <w:rPr>
          <w:rFonts w:ascii="Times New Roman" w:hAnsi="Times New Roman" w:cs="Times New Roman"/>
          <w:i/>
          <w:iCs/>
          <w:sz w:val="24"/>
        </w:rPr>
        <w:t>SOX-2#</w:t>
      </w:r>
      <w:r>
        <w:rPr>
          <w:rFonts w:hint="eastAsia" w:ascii="Times New Roman" w:hAnsi="Times New Roman" w:cs="Times New Roman"/>
          <w:i/>
          <w:i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through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RT-qPCR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and immunoblotting. Data represent means ± SD (n=3). Significant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difference is analyzed based on one-way ANOVA by Duncan test, lowercase letters at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cs="Times New Roman"/>
          <w:i/>
          <w:iCs/>
          <w:sz w:val="24"/>
        </w:rPr>
        <w:t xml:space="preserve">p </w:t>
      </w:r>
      <w:r>
        <w:rPr>
          <w:rFonts w:ascii="Times New Roman" w:hAnsi="Times New Roman" w:cs="Times New Roman"/>
          <w:sz w:val="24"/>
        </w:rPr>
        <w:t>&lt; 0.05.</w:t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sz w:val="24"/>
        </w:rPr>
      </w:pPr>
      <w:r>
        <w:rPr>
          <w:sz w:val="24"/>
        </w:rPr>
        <w:drawing>
          <wp:inline distT="0" distB="0" distL="114300" distR="114300">
            <wp:extent cx="6465570" cy="4427855"/>
            <wp:effectExtent l="0" t="0" r="11430" b="6985"/>
            <wp:docPr id="8" name="图片 3" descr="氨基酸含量测定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 descr="氨基酸含量测定_画板 1"/>
                    <pic:cNvPicPr>
                      <a:picLocks noChangeAspect="1"/>
                    </pic:cNvPicPr>
                  </pic:nvPicPr>
                  <pic:blipFill>
                    <a:blip r:embed="rId7"/>
                    <a:srcRect b="51576"/>
                    <a:stretch>
                      <a:fillRect/>
                    </a:stretch>
                  </pic:blipFill>
                  <pic:spPr>
                    <a:xfrm>
                      <a:off x="0" y="0"/>
                      <a:ext cx="6465570" cy="4427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>upplementary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Fig. S</w:t>
      </w:r>
      <w:r>
        <w:rPr>
          <w:rFonts w:hint="eastAsia" w:ascii="Times New Roman" w:hAnsi="Times New Roman" w:cs="Times New Roman"/>
          <w:b/>
          <w:bCs/>
          <w:sz w:val="24"/>
        </w:rPr>
        <w:t>4</w:t>
      </w:r>
      <w:r>
        <w:rPr>
          <w:rFonts w:ascii="Times New Roman" w:hAnsi="Times New Roman" w:cs="Times New Roman"/>
          <w:sz w:val="24"/>
        </w:rPr>
        <w:t xml:space="preserve"> Amino acid concentration analyze of seeds at mature stage in WT, </w:t>
      </w:r>
      <w:r>
        <w:rPr>
          <w:rFonts w:ascii="Times New Roman" w:hAnsi="Times New Roman" w:cs="Times New Roman"/>
          <w:i/>
          <w:iCs/>
          <w:sz w:val="24"/>
        </w:rPr>
        <w:t>LOX-1#</w:t>
      </w:r>
      <w:r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i/>
          <w:iCs/>
          <w:sz w:val="24"/>
        </w:rPr>
        <w:t>LOX-2#</w:t>
      </w:r>
      <w:r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i/>
          <w:iCs/>
          <w:sz w:val="24"/>
        </w:rPr>
        <w:t>SOX-1#</w:t>
      </w:r>
      <w:r>
        <w:rPr>
          <w:rFonts w:ascii="Times New Roman" w:hAnsi="Times New Roman" w:cs="Times New Roman"/>
          <w:sz w:val="24"/>
        </w:rPr>
        <w:t xml:space="preserve"> and </w:t>
      </w:r>
      <w:r>
        <w:rPr>
          <w:rFonts w:ascii="Times New Roman" w:hAnsi="Times New Roman" w:cs="Times New Roman"/>
          <w:i/>
          <w:iCs/>
          <w:sz w:val="24"/>
        </w:rPr>
        <w:t xml:space="preserve">SOX-2# </w:t>
      </w:r>
      <w:r>
        <w:rPr>
          <w:rFonts w:ascii="Times New Roman" w:hAnsi="Times New Roman" w:cs="Times New Roman"/>
          <w:sz w:val="24"/>
        </w:rPr>
        <w:t>lines grown in vermiculite. Data represent the mean ±SD (n=3). Asterisks indicate significant differences based on one-way ANOVA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followed by Duncan test: *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</w:rPr>
        <w:t>p</w:t>
      </w:r>
      <w:r>
        <w:rPr>
          <w:rFonts w:ascii="Times New Roman" w:hAnsi="Times New Roman" w:cs="Times New Roman"/>
          <w:sz w:val="24"/>
        </w:rPr>
        <w:t xml:space="preserve"> &lt; 0.05, ** </w:t>
      </w:r>
      <w:r>
        <w:rPr>
          <w:rFonts w:ascii="Times New Roman" w:hAnsi="Times New Roman" w:cs="Times New Roman"/>
          <w:i/>
          <w:iCs/>
          <w:sz w:val="24"/>
        </w:rPr>
        <w:t xml:space="preserve">p </w:t>
      </w:r>
      <w:r>
        <w:rPr>
          <w:rFonts w:ascii="Times New Roman" w:hAnsi="Times New Roman" w:cs="Times New Roman"/>
          <w:sz w:val="24"/>
        </w:rPr>
        <w:t>&lt; 0.01.</w:t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sz w:val="24"/>
        </w:rPr>
      </w:pPr>
    </w:p>
    <w:p>
      <w:pPr>
        <w:spacing w:line="480" w:lineRule="auto"/>
        <w:ind w:left="1050" w:leftChars="500" w:right="1050" w:rightChars="500"/>
        <w:rPr>
          <w:sz w:val="24"/>
        </w:rPr>
      </w:pPr>
      <w:r>
        <w:rPr>
          <w:sz w:val="24"/>
        </w:rPr>
        <w:drawing>
          <wp:inline distT="0" distB="0" distL="114300" distR="114300">
            <wp:extent cx="6465570" cy="3092450"/>
            <wp:effectExtent l="0" t="0" r="11430" b="1270"/>
            <wp:docPr id="10" name="图片 4" descr="长短氮响应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 descr="长短氮响应_画板 1"/>
                    <pic:cNvPicPr>
                      <a:picLocks noChangeAspect="1"/>
                    </pic:cNvPicPr>
                  </pic:nvPicPr>
                  <pic:blipFill>
                    <a:blip r:embed="rId8"/>
                    <a:srcRect t="5945" b="60236"/>
                    <a:stretch>
                      <a:fillRect/>
                    </a:stretch>
                  </pic:blipFill>
                  <pic:spPr>
                    <a:xfrm>
                      <a:off x="0" y="0"/>
                      <a:ext cx="6465570" cy="309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>upplementary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Fig. S5</w:t>
      </w:r>
      <w:r>
        <w:rPr>
          <w:rFonts w:ascii="Times New Roman" w:hAnsi="Times New Roman" w:cs="Times New Roman"/>
          <w:sz w:val="24"/>
        </w:rPr>
        <w:t xml:space="preserve"> The phenotype analyze of </w:t>
      </w:r>
      <w:r>
        <w:rPr>
          <w:rFonts w:ascii="Times New Roman" w:hAnsi="Times New Roman" w:cs="Times New Roman"/>
          <w:i/>
          <w:iCs/>
          <w:sz w:val="24"/>
        </w:rPr>
        <w:t>SiAAP9</w:t>
      </w:r>
      <w:r>
        <w:rPr>
          <w:rFonts w:ascii="Times New Roman" w:hAnsi="Times New Roman" w:cs="Times New Roman"/>
          <w:sz w:val="24"/>
        </w:rPr>
        <w:t xml:space="preserve"> overexpressing in </w:t>
      </w:r>
      <w:r>
        <w:rPr>
          <w:rFonts w:ascii="Times New Roman" w:hAnsi="Times New Roman" w:cs="Times New Roman"/>
          <w:i/>
          <w:iCs/>
          <w:sz w:val="24"/>
        </w:rPr>
        <w:t>Arabidopsis</w:t>
      </w:r>
      <w:r>
        <w:rPr>
          <w:rFonts w:ascii="Times New Roman" w:hAnsi="Times New Roman" w:cs="Times New Roman"/>
          <w:sz w:val="24"/>
        </w:rPr>
        <w:t xml:space="preserve"> under 7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mM </w:t>
      </w:r>
      <w:r>
        <w:rPr>
          <w:rFonts w:hint="eastAsia" w:ascii="Times New Roman" w:hAnsi="Times New Roman" w:cs="Times New Roman"/>
          <w:sz w:val="24"/>
        </w:rPr>
        <w:t>NO</w:t>
      </w:r>
      <w:r>
        <w:rPr>
          <w:rFonts w:hint="eastAsia" w:ascii="Times New Roman" w:hAnsi="Times New Roman" w:cs="Times New Roman"/>
          <w:sz w:val="24"/>
          <w:vertAlign w:val="subscript"/>
        </w:rPr>
        <w:t>3</w:t>
      </w:r>
      <w:r>
        <w:rPr>
          <w:rFonts w:hint="eastAsia" w:ascii="Times New Roman" w:hAnsi="Times New Roman" w:cs="Times New Roman"/>
          <w:sz w:val="24"/>
          <w:vertAlign w:val="superscript"/>
        </w:rPr>
        <w:t>-</w:t>
      </w:r>
      <w:r>
        <w:rPr>
          <w:rFonts w:ascii="Times New Roman" w:hAnsi="Times New Roman" w:cs="Times New Roman"/>
          <w:sz w:val="24"/>
        </w:rPr>
        <w:t xml:space="preserve">. </w:t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A, E</w:t>
      </w:r>
      <w:r>
        <w:rPr>
          <w:rFonts w:ascii="Times New Roman" w:hAnsi="Times New Roman" w:cs="Times New Roman"/>
          <w:sz w:val="24"/>
        </w:rPr>
        <w:t xml:space="preserve"> WT, </w:t>
      </w:r>
      <w:r>
        <w:rPr>
          <w:rFonts w:ascii="Times New Roman" w:hAnsi="Times New Roman" w:cs="Times New Roman"/>
          <w:i/>
          <w:iCs/>
          <w:sz w:val="24"/>
        </w:rPr>
        <w:t>LOX-1#</w:t>
      </w:r>
      <w:r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i/>
          <w:iCs/>
          <w:sz w:val="24"/>
        </w:rPr>
        <w:t>LOX-2#</w:t>
      </w:r>
      <w:r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i/>
          <w:iCs/>
          <w:sz w:val="24"/>
        </w:rPr>
        <w:t>SOX-1#</w:t>
      </w:r>
      <w:r>
        <w:rPr>
          <w:rFonts w:ascii="Times New Roman" w:hAnsi="Times New Roman" w:cs="Times New Roman"/>
          <w:sz w:val="24"/>
        </w:rPr>
        <w:t xml:space="preserve"> and</w:t>
      </w:r>
      <w:r>
        <w:rPr>
          <w:rFonts w:ascii="Times New Roman" w:hAnsi="Times New Roman" w:cs="Times New Roman"/>
          <w:i/>
          <w:iCs/>
          <w:sz w:val="24"/>
        </w:rPr>
        <w:t xml:space="preserve"> SOX-2# </w:t>
      </w:r>
      <w:r>
        <w:rPr>
          <w:rFonts w:ascii="Times New Roman" w:hAnsi="Times New Roman" w:cs="Times New Roman"/>
          <w:sz w:val="24"/>
        </w:rPr>
        <w:t xml:space="preserve">were vertically cultivated on </w:t>
      </w:r>
      <w:r>
        <w:rPr>
          <w:rFonts w:hint="eastAsia" w:ascii="Times New Roman" w:hAnsi="Times New Roman" w:cs="Times New Roman"/>
          <w:sz w:val="24"/>
        </w:rPr>
        <w:t>0 mM NO</w:t>
      </w:r>
      <w:r>
        <w:rPr>
          <w:rFonts w:hint="eastAsia" w:ascii="Times New Roman" w:hAnsi="Times New Roman" w:cs="Times New Roman"/>
          <w:sz w:val="24"/>
          <w:vertAlign w:val="subscript"/>
        </w:rPr>
        <w:t>3</w:t>
      </w:r>
      <w:r>
        <w:rPr>
          <w:rFonts w:hint="eastAsia" w:ascii="Times New Roman" w:hAnsi="Times New Roman" w:cs="Times New Roman"/>
          <w:sz w:val="24"/>
          <w:vertAlign w:val="superscript"/>
        </w:rPr>
        <w:t>-</w:t>
      </w:r>
      <w:r>
        <w:rPr>
          <w:rFonts w:ascii="Times New Roman" w:hAnsi="Times New Roman" w:cs="Times New Roman"/>
          <w:sz w:val="24"/>
        </w:rPr>
        <w:t xml:space="preserve"> for 4 days (upper panels), then were transferred to </w:t>
      </w:r>
      <w:r>
        <w:rPr>
          <w:rFonts w:hint="eastAsia" w:ascii="Times New Roman" w:hAnsi="Times New Roman" w:cs="Times New Roman"/>
          <w:sz w:val="24"/>
        </w:rPr>
        <w:t>7 mM NO</w:t>
      </w:r>
      <w:r>
        <w:rPr>
          <w:rFonts w:hint="eastAsia" w:ascii="Times New Roman" w:hAnsi="Times New Roman" w:cs="Times New Roman"/>
          <w:sz w:val="24"/>
          <w:vertAlign w:val="subscript"/>
        </w:rPr>
        <w:t>3</w:t>
      </w:r>
      <w:r>
        <w:rPr>
          <w:rFonts w:hint="eastAsia" w:ascii="Times New Roman" w:hAnsi="Times New Roman" w:cs="Times New Roman"/>
          <w:sz w:val="24"/>
          <w:vertAlign w:val="superscript"/>
        </w:rPr>
        <w:t>-</w:t>
      </w:r>
      <w:r>
        <w:rPr>
          <w:rFonts w:ascii="Times New Roman" w:hAnsi="Times New Roman" w:cs="Times New Roman"/>
          <w:sz w:val="24"/>
        </w:rPr>
        <w:t xml:space="preserve"> and allowed to grow for an additional 8 days (lower panels).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The experiments were biologically repeated at least three times, yielding consistent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results. Scale bar = 1 cm.</w:t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B, F</w:t>
      </w:r>
      <w:r>
        <w:rPr>
          <w:rFonts w:ascii="Times New Roman" w:hAnsi="Times New Roman" w:cs="Times New Roman"/>
          <w:sz w:val="24"/>
        </w:rPr>
        <w:t xml:space="preserve"> Primary root length was measured of WT and </w:t>
      </w:r>
      <w:r>
        <w:rPr>
          <w:rFonts w:ascii="Times New Roman" w:hAnsi="Times New Roman" w:cs="Times New Roman"/>
          <w:i/>
          <w:iCs/>
          <w:sz w:val="24"/>
        </w:rPr>
        <w:t>SiAAP9</w:t>
      </w:r>
      <w:r>
        <w:rPr>
          <w:rFonts w:ascii="Times New Roman" w:hAnsi="Times New Roman" w:cs="Times New Roman"/>
          <w:sz w:val="24"/>
        </w:rPr>
        <w:t>-overexpressing plants at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12 days. Data represent the mean ± SD (n = 20).</w:t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C, G</w:t>
      </w:r>
      <w:r>
        <w:rPr>
          <w:rFonts w:ascii="Times New Roman" w:hAnsi="Times New Roman" w:cs="Times New Roman"/>
          <w:sz w:val="24"/>
        </w:rPr>
        <w:t xml:space="preserve"> Primary root length was measured of WT and </w:t>
      </w:r>
      <w:r>
        <w:rPr>
          <w:rFonts w:ascii="Times New Roman" w:hAnsi="Times New Roman" w:cs="Times New Roman"/>
          <w:i/>
          <w:iCs/>
          <w:sz w:val="24"/>
        </w:rPr>
        <w:t>SiAAP9</w:t>
      </w:r>
      <w:r>
        <w:rPr>
          <w:rFonts w:ascii="Times New Roman" w:hAnsi="Times New Roman" w:cs="Times New Roman"/>
          <w:sz w:val="24"/>
        </w:rPr>
        <w:t>-overexpressing plants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after transferring the plate at 8 days. Data represent the mean ± SD (n = 20).</w:t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D, H</w:t>
      </w:r>
      <w:r>
        <w:rPr>
          <w:rFonts w:ascii="Times New Roman" w:hAnsi="Times New Roman" w:cs="Times New Roman"/>
          <w:sz w:val="24"/>
        </w:rPr>
        <w:t xml:space="preserve"> Fresh weight was measured of WT and </w:t>
      </w:r>
      <w:r>
        <w:rPr>
          <w:rFonts w:ascii="Times New Roman" w:hAnsi="Times New Roman" w:cs="Times New Roman"/>
          <w:i/>
          <w:iCs/>
          <w:sz w:val="24"/>
        </w:rPr>
        <w:t>SiAAP9</w:t>
      </w:r>
      <w:r>
        <w:rPr>
          <w:rFonts w:ascii="Times New Roman" w:hAnsi="Times New Roman" w:cs="Times New Roman"/>
          <w:sz w:val="24"/>
        </w:rPr>
        <w:t>-overexpressing plants at 12 days.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Data represent the mean ± SD (n = 20).</w:t>
      </w:r>
    </w:p>
    <w:p>
      <w:pPr>
        <w:spacing w:line="480" w:lineRule="auto"/>
        <w:ind w:left="958" w:leftChars="456" w:right="1050" w:rightChars="500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B-</w:t>
      </w:r>
      <w:r>
        <w:rPr>
          <w:rFonts w:ascii="Times New Roman" w:hAnsi="Times New Roman" w:cs="Times New Roman"/>
          <w:b/>
          <w:bCs/>
          <w:sz w:val="24"/>
        </w:rPr>
        <w:t>D, F-H</w:t>
      </w:r>
      <w:r>
        <w:rPr>
          <w:rFonts w:ascii="Times New Roman" w:hAnsi="Times New Roman" w:cs="Times New Roman"/>
          <w:sz w:val="24"/>
        </w:rPr>
        <w:t xml:space="preserve"> Significant difference is analyzed based on one-way ANOVA by Duncan test, lowercase letters at </w:t>
      </w:r>
      <w:r>
        <w:rPr>
          <w:rFonts w:hint="eastAsia" w:ascii="Times New Roman" w:hAnsi="Times New Roman" w:cs="Times New Roman"/>
          <w:i/>
          <w:iCs/>
          <w:sz w:val="24"/>
        </w:rPr>
        <w:t>p</w:t>
      </w:r>
      <w:r>
        <w:rPr>
          <w:rFonts w:ascii="Times New Roman" w:hAnsi="Times New Roman" w:cs="Times New Roman"/>
          <w:sz w:val="24"/>
        </w:rPr>
        <w:t xml:space="preserve"> &lt; 0.05.</w:t>
      </w:r>
    </w:p>
    <w:p>
      <w:pPr>
        <w:spacing w:line="480" w:lineRule="auto"/>
        <w:ind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sz w:val="24"/>
        </w:rPr>
        <w:drawing>
          <wp:inline distT="0" distB="0" distL="114300" distR="114300">
            <wp:extent cx="6465570" cy="8460105"/>
            <wp:effectExtent l="0" t="0" r="11430" b="13335"/>
            <wp:docPr id="12" name="图片 2" descr="无表型-9种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 descr="无表型-9种_画板 1"/>
                    <pic:cNvPicPr>
                      <a:picLocks noChangeAspect="1"/>
                    </pic:cNvPicPr>
                  </pic:nvPicPr>
                  <pic:blipFill>
                    <a:blip r:embed="rId9"/>
                    <a:srcRect b="7479"/>
                    <a:stretch>
                      <a:fillRect/>
                    </a:stretch>
                  </pic:blipFill>
                  <pic:spPr>
                    <a:xfrm>
                      <a:off x="0" y="0"/>
                      <a:ext cx="6465570" cy="8460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>upplementary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Fig. S6</w:t>
      </w:r>
      <w:r>
        <w:rPr>
          <w:rFonts w:ascii="Times New Roman" w:hAnsi="Times New Roman" w:cs="Times New Roman"/>
          <w:sz w:val="24"/>
        </w:rPr>
        <w:t xml:space="preserve"> Overexpression of </w:t>
      </w:r>
      <w:r>
        <w:rPr>
          <w:rFonts w:ascii="Times New Roman" w:hAnsi="Times New Roman" w:cs="Times New Roman"/>
          <w:i/>
          <w:iCs/>
          <w:sz w:val="24"/>
        </w:rPr>
        <w:t>SiAAP9</w:t>
      </w:r>
      <w:r>
        <w:rPr>
          <w:rFonts w:ascii="Times New Roman" w:hAnsi="Times New Roman" w:cs="Times New Roman"/>
          <w:sz w:val="24"/>
        </w:rPr>
        <w:t xml:space="preserve"> in </w:t>
      </w:r>
      <w:r>
        <w:rPr>
          <w:rFonts w:ascii="Times New Roman" w:hAnsi="Times New Roman" w:cs="Times New Roman"/>
          <w:i/>
          <w:iCs/>
          <w:sz w:val="24"/>
        </w:rPr>
        <w:t>Arabidopsis</w:t>
      </w:r>
      <w:r>
        <w:rPr>
          <w:rFonts w:ascii="Times New Roman" w:hAnsi="Times New Roman" w:cs="Times New Roman"/>
          <w:sz w:val="24"/>
        </w:rPr>
        <w:t xml:space="preserve"> has no significant response to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nine amino acids. </w:t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A-I</w:t>
      </w:r>
      <w:r>
        <w:rPr>
          <w:rFonts w:ascii="Times New Roman" w:hAnsi="Times New Roman" w:cs="Times New Roman"/>
          <w:sz w:val="24"/>
        </w:rPr>
        <w:t xml:space="preserve"> Nine amino acids are Ala (</w:t>
      </w:r>
      <w:r>
        <w:rPr>
          <w:rFonts w:ascii="Times New Roman" w:hAnsi="Times New Roman" w:cs="Times New Roman"/>
          <w:b/>
          <w:bCs/>
          <w:sz w:val="24"/>
        </w:rPr>
        <w:t>A</w:t>
      </w:r>
      <w:r>
        <w:rPr>
          <w:rFonts w:ascii="Times New Roman" w:hAnsi="Times New Roman" w:cs="Times New Roman"/>
          <w:sz w:val="24"/>
        </w:rPr>
        <w:t>), Gly (</w:t>
      </w:r>
      <w:r>
        <w:rPr>
          <w:rFonts w:ascii="Times New Roman" w:hAnsi="Times New Roman" w:cs="Times New Roman"/>
          <w:b/>
          <w:bCs/>
          <w:sz w:val="24"/>
        </w:rPr>
        <w:t>B</w:t>
      </w:r>
      <w:r>
        <w:rPr>
          <w:rFonts w:ascii="Times New Roman" w:hAnsi="Times New Roman" w:cs="Times New Roman"/>
          <w:sz w:val="24"/>
        </w:rPr>
        <w:t>), Val (</w:t>
      </w:r>
      <w:r>
        <w:rPr>
          <w:rFonts w:ascii="Times New Roman" w:hAnsi="Times New Roman" w:cs="Times New Roman"/>
          <w:b/>
          <w:bCs/>
          <w:sz w:val="24"/>
        </w:rPr>
        <w:t>C</w:t>
      </w:r>
      <w:r>
        <w:rPr>
          <w:rFonts w:ascii="Times New Roman" w:hAnsi="Times New Roman" w:cs="Times New Roman"/>
          <w:sz w:val="24"/>
        </w:rPr>
        <w:t>), Pro (</w:t>
      </w:r>
      <w:r>
        <w:rPr>
          <w:rFonts w:ascii="Times New Roman" w:hAnsi="Times New Roman" w:cs="Times New Roman"/>
          <w:b/>
          <w:bCs/>
          <w:sz w:val="24"/>
        </w:rPr>
        <w:t>D</w:t>
      </w:r>
      <w:r>
        <w:rPr>
          <w:rFonts w:ascii="Times New Roman" w:hAnsi="Times New Roman" w:cs="Times New Roman"/>
          <w:sz w:val="24"/>
        </w:rPr>
        <w:t>), Leu (</w:t>
      </w:r>
      <w:r>
        <w:rPr>
          <w:rFonts w:ascii="Times New Roman" w:hAnsi="Times New Roman" w:cs="Times New Roman"/>
          <w:b/>
          <w:bCs/>
          <w:sz w:val="24"/>
        </w:rPr>
        <w:t>E</w:t>
      </w:r>
      <w:r>
        <w:rPr>
          <w:rFonts w:ascii="Times New Roman" w:hAnsi="Times New Roman" w:cs="Times New Roman"/>
          <w:sz w:val="24"/>
        </w:rPr>
        <w:t>), Ile (</w:t>
      </w:r>
      <w:r>
        <w:rPr>
          <w:rFonts w:ascii="Times New Roman" w:hAnsi="Times New Roman" w:cs="Times New Roman"/>
          <w:b/>
          <w:bCs/>
          <w:sz w:val="24"/>
        </w:rPr>
        <w:t>F</w:t>
      </w:r>
      <w:r>
        <w:rPr>
          <w:rFonts w:ascii="Times New Roman" w:hAnsi="Times New Roman" w:cs="Times New Roman"/>
          <w:sz w:val="24"/>
        </w:rPr>
        <w:t>), Ser (</w:t>
      </w:r>
      <w:r>
        <w:rPr>
          <w:rFonts w:ascii="Times New Roman" w:hAnsi="Times New Roman" w:cs="Times New Roman"/>
          <w:b/>
          <w:bCs/>
          <w:sz w:val="24"/>
        </w:rPr>
        <w:t>G</w:t>
      </w:r>
      <w:r>
        <w:rPr>
          <w:rFonts w:ascii="Times New Roman" w:hAnsi="Times New Roman" w:cs="Times New Roman"/>
          <w:sz w:val="24"/>
        </w:rPr>
        <w:t>), Thr (</w:t>
      </w:r>
      <w:r>
        <w:rPr>
          <w:rFonts w:ascii="Times New Roman" w:hAnsi="Times New Roman" w:cs="Times New Roman"/>
          <w:b/>
          <w:bCs/>
          <w:sz w:val="24"/>
        </w:rPr>
        <w:t>H</w:t>
      </w:r>
      <w:r>
        <w:rPr>
          <w:rFonts w:ascii="Times New Roman" w:hAnsi="Times New Roman" w:cs="Times New Roman"/>
          <w:sz w:val="24"/>
        </w:rPr>
        <w:t>) and Asp (</w:t>
      </w:r>
      <w:r>
        <w:rPr>
          <w:rFonts w:ascii="Times New Roman" w:hAnsi="Times New Roman" w:cs="Times New Roman"/>
          <w:b/>
          <w:bCs/>
          <w:sz w:val="24"/>
        </w:rPr>
        <w:t>I</w:t>
      </w:r>
      <w:r>
        <w:rPr>
          <w:rFonts w:ascii="Times New Roman" w:hAnsi="Times New Roman" w:cs="Times New Roman"/>
          <w:sz w:val="24"/>
        </w:rPr>
        <w:t>).</w:t>
      </w:r>
    </w:p>
    <w:p>
      <w:pPr>
        <w:spacing w:line="480" w:lineRule="auto"/>
        <w:ind w:right="1050" w:rightChars="500"/>
        <w:rPr>
          <w:rFonts w:ascii="Times New Roman" w:hAnsi="Times New Roman" w:cs="Times New Roman"/>
          <w:sz w:val="24"/>
        </w:rPr>
      </w:pPr>
    </w:p>
    <w:p>
      <w:pPr>
        <w:widowControl/>
        <w:spacing w:line="480" w:lineRule="auto"/>
        <w:ind w:left="1050" w:leftChars="500" w:right="1050" w:rightChars="500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  <w:r>
        <w:rPr>
          <w:sz w:val="24"/>
        </w:rPr>
        <w:drawing>
          <wp:inline distT="0" distB="0" distL="114300" distR="114300">
            <wp:extent cx="6465570" cy="7812405"/>
            <wp:effectExtent l="0" t="0" r="11430" b="5715"/>
            <wp:docPr id="13" name="图片 1" descr="无表型-8种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" descr="无表型-8种_画板 1"/>
                    <pic:cNvPicPr>
                      <a:picLocks noChangeAspect="1"/>
                    </pic:cNvPicPr>
                  </pic:nvPicPr>
                  <pic:blipFill>
                    <a:blip r:embed="rId10"/>
                    <a:srcRect b="14563"/>
                    <a:stretch>
                      <a:fillRect/>
                    </a:stretch>
                  </pic:blipFill>
                  <pic:spPr>
                    <a:xfrm>
                      <a:off x="0" y="0"/>
                      <a:ext cx="6465570" cy="781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>upplementary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Fig. S7</w:t>
      </w:r>
      <w:r>
        <w:rPr>
          <w:rFonts w:ascii="Times New Roman" w:hAnsi="Times New Roman" w:cs="Times New Roman"/>
          <w:sz w:val="24"/>
        </w:rPr>
        <w:t xml:space="preserve"> Overexpression of </w:t>
      </w:r>
      <w:r>
        <w:rPr>
          <w:rFonts w:ascii="Times New Roman" w:hAnsi="Times New Roman" w:cs="Times New Roman"/>
          <w:i/>
          <w:iCs/>
          <w:sz w:val="24"/>
        </w:rPr>
        <w:t>SiAAP9</w:t>
      </w:r>
      <w:r>
        <w:rPr>
          <w:rFonts w:ascii="Times New Roman" w:hAnsi="Times New Roman" w:cs="Times New Roman"/>
          <w:sz w:val="24"/>
        </w:rPr>
        <w:t xml:space="preserve"> in </w:t>
      </w:r>
      <w:r>
        <w:rPr>
          <w:rFonts w:ascii="Times New Roman" w:hAnsi="Times New Roman" w:cs="Times New Roman"/>
          <w:i/>
          <w:iCs/>
          <w:sz w:val="24"/>
        </w:rPr>
        <w:t>Arabidopsis</w:t>
      </w:r>
      <w:r>
        <w:rPr>
          <w:rFonts w:ascii="Times New Roman" w:hAnsi="Times New Roman" w:cs="Times New Roman"/>
          <w:sz w:val="24"/>
        </w:rPr>
        <w:t xml:space="preserve"> has no significant response to eight amino acids. </w:t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A-H</w:t>
      </w:r>
      <w:r>
        <w:rPr>
          <w:rFonts w:ascii="Times New Roman" w:hAnsi="Times New Roman" w:cs="Times New Roman"/>
          <w:sz w:val="24"/>
        </w:rPr>
        <w:t xml:space="preserve"> Eight amino acids are Met (</w:t>
      </w:r>
      <w:r>
        <w:rPr>
          <w:rFonts w:hint="eastAsia" w:ascii="Times New Roman" w:hAnsi="Times New Roman" w:cs="Times New Roman"/>
          <w:b/>
          <w:bCs/>
          <w:sz w:val="24"/>
        </w:rPr>
        <w:t>A</w:t>
      </w:r>
      <w:r>
        <w:rPr>
          <w:rFonts w:ascii="Times New Roman" w:hAnsi="Times New Roman" w:cs="Times New Roman"/>
          <w:sz w:val="24"/>
        </w:rPr>
        <w:t>), Cys (</w:t>
      </w:r>
      <w:r>
        <w:rPr>
          <w:rFonts w:hint="eastAsia" w:ascii="Times New Roman" w:hAnsi="Times New Roman" w:cs="Times New Roman"/>
          <w:b/>
          <w:bCs/>
          <w:sz w:val="24"/>
        </w:rPr>
        <w:t>B</w:t>
      </w:r>
      <w:r>
        <w:rPr>
          <w:rFonts w:ascii="Times New Roman" w:hAnsi="Times New Roman" w:cs="Times New Roman"/>
          <w:sz w:val="24"/>
        </w:rPr>
        <w:t>), Phe (</w:t>
      </w:r>
      <w:r>
        <w:rPr>
          <w:rFonts w:hint="eastAsia" w:ascii="Times New Roman" w:hAnsi="Times New Roman" w:cs="Times New Roman"/>
          <w:b/>
          <w:bCs/>
          <w:sz w:val="24"/>
        </w:rPr>
        <w:t>C</w:t>
      </w:r>
      <w:r>
        <w:rPr>
          <w:rFonts w:ascii="Times New Roman" w:hAnsi="Times New Roman" w:cs="Times New Roman"/>
          <w:sz w:val="24"/>
        </w:rPr>
        <w:t>), Try (</w:t>
      </w:r>
      <w:r>
        <w:rPr>
          <w:rFonts w:hint="eastAsia" w:ascii="Times New Roman" w:hAnsi="Times New Roman" w:cs="Times New Roman"/>
          <w:b/>
          <w:bCs/>
          <w:sz w:val="24"/>
        </w:rPr>
        <w:t>D</w:t>
      </w:r>
      <w:r>
        <w:rPr>
          <w:rFonts w:ascii="Times New Roman" w:hAnsi="Times New Roman" w:cs="Times New Roman"/>
          <w:sz w:val="24"/>
        </w:rPr>
        <w:t>), Asn (</w:t>
      </w:r>
      <w:r>
        <w:rPr>
          <w:rFonts w:hint="eastAsia" w:ascii="Times New Roman" w:hAnsi="Times New Roman" w:cs="Times New Roman"/>
          <w:b/>
          <w:bCs/>
          <w:sz w:val="24"/>
        </w:rPr>
        <w:t>E</w:t>
      </w:r>
      <w:r>
        <w:rPr>
          <w:rFonts w:ascii="Times New Roman" w:hAnsi="Times New Roman" w:cs="Times New Roman"/>
          <w:sz w:val="24"/>
        </w:rPr>
        <w:t>), Gln (</w:t>
      </w:r>
      <w:r>
        <w:rPr>
          <w:rFonts w:hint="eastAsia" w:ascii="Times New Roman" w:hAnsi="Times New Roman" w:cs="Times New Roman"/>
          <w:b/>
          <w:bCs/>
          <w:sz w:val="24"/>
        </w:rPr>
        <w:t>F</w:t>
      </w:r>
      <w:r>
        <w:rPr>
          <w:rFonts w:ascii="Times New Roman" w:hAnsi="Times New Roman" w:cs="Times New Roman"/>
          <w:sz w:val="24"/>
        </w:rPr>
        <w:t>), Lys (</w:t>
      </w:r>
      <w:r>
        <w:rPr>
          <w:rFonts w:hint="eastAsia" w:ascii="Times New Roman" w:hAnsi="Times New Roman" w:cs="Times New Roman"/>
          <w:b/>
          <w:bCs/>
          <w:sz w:val="24"/>
        </w:rPr>
        <w:t>G</w:t>
      </w:r>
      <w:r>
        <w:rPr>
          <w:rFonts w:ascii="Times New Roman" w:hAnsi="Times New Roman" w:cs="Times New Roman"/>
          <w:sz w:val="24"/>
        </w:rPr>
        <w:t>) and Arg (</w:t>
      </w:r>
      <w:r>
        <w:rPr>
          <w:rFonts w:hint="eastAsia" w:ascii="Times New Roman" w:hAnsi="Times New Roman" w:cs="Times New Roman"/>
          <w:b/>
          <w:bCs/>
          <w:sz w:val="24"/>
        </w:rPr>
        <w:t>H</w:t>
      </w:r>
      <w:r>
        <w:rPr>
          <w:rFonts w:ascii="Times New Roman" w:hAnsi="Times New Roman" w:cs="Times New Roman"/>
          <w:sz w:val="24"/>
        </w:rPr>
        <w:t>).</w:t>
      </w:r>
    </w:p>
    <w:p>
      <w:pPr>
        <w:spacing w:line="480" w:lineRule="auto"/>
        <w:ind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right="1050" w:rightChars="500"/>
        <w:rPr>
          <w:rFonts w:ascii="Times New Roman" w:hAnsi="Times New Roman" w:cs="Times New Roman"/>
          <w:sz w:val="24"/>
        </w:rPr>
      </w:pPr>
    </w:p>
    <w:p>
      <w:pPr>
        <w:widowControl/>
        <w:spacing w:line="480" w:lineRule="auto"/>
        <w:ind w:right="1050" w:rightChars="500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drawing>
          <wp:inline distT="0" distB="0" distL="114300" distR="114300">
            <wp:extent cx="6476365" cy="5075555"/>
            <wp:effectExtent l="0" t="0" r="635" b="14605"/>
            <wp:docPr id="1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rcRect b="44612"/>
                    <a:stretch>
                      <a:fillRect/>
                    </a:stretch>
                  </pic:blipFill>
                  <pic:spPr>
                    <a:xfrm>
                      <a:off x="0" y="0"/>
                      <a:ext cx="6476365" cy="507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>upplementary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Fig. S8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Subcellular localization of SiAAP9L and SiAAP9S in </w:t>
      </w:r>
      <w:r>
        <w:rPr>
          <w:rFonts w:ascii="Times New Roman" w:hAnsi="Times New Roman" w:cs="Times New Roman"/>
          <w:i/>
          <w:iCs/>
          <w:sz w:val="24"/>
        </w:rPr>
        <w:t>Arabidopsis</w:t>
      </w:r>
      <w:r>
        <w:rPr>
          <w:rFonts w:ascii="Times New Roman" w:hAnsi="Times New Roman" w:cs="Times New Roman"/>
          <w:sz w:val="24"/>
        </w:rPr>
        <w:t xml:space="preserve"> were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pulse labeled with FM4-64.</w:t>
      </w:r>
    </w:p>
    <w:p>
      <w:pPr>
        <w:widowControl/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A-D</w:t>
      </w:r>
      <w:r>
        <w:rPr>
          <w:rFonts w:ascii="Times New Roman" w:hAnsi="Times New Roman" w:cs="Times New Roman"/>
          <w:sz w:val="24"/>
        </w:rPr>
        <w:t xml:space="preserve"> Roots of four overexpressing </w:t>
      </w:r>
      <w:r>
        <w:rPr>
          <w:rFonts w:ascii="Times New Roman" w:hAnsi="Times New Roman" w:cs="Times New Roman"/>
          <w:i/>
          <w:iCs/>
          <w:sz w:val="24"/>
        </w:rPr>
        <w:t>SiAAP9</w:t>
      </w:r>
      <w:r>
        <w:rPr>
          <w:rFonts w:ascii="Times New Roman" w:hAnsi="Times New Roman" w:cs="Times New Roman"/>
          <w:sz w:val="24"/>
        </w:rPr>
        <w:t xml:space="preserve"> transgenic </w:t>
      </w:r>
      <w:r>
        <w:rPr>
          <w:rFonts w:ascii="Times New Roman" w:hAnsi="Times New Roman" w:cs="Times New Roman"/>
          <w:i/>
          <w:iCs/>
          <w:sz w:val="24"/>
        </w:rPr>
        <w:t xml:space="preserve">Arabidopsis </w:t>
      </w:r>
      <w:r>
        <w:rPr>
          <w:rFonts w:ascii="Times New Roman" w:hAnsi="Times New Roman" w:cs="Times New Roman"/>
          <w:sz w:val="24"/>
        </w:rPr>
        <w:t>lines grown on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1/2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MS</w:t>
      </w:r>
      <w:bookmarkStart w:id="0" w:name="_GoBack"/>
      <w:bookmarkEnd w:id="0"/>
      <w:r>
        <w:rPr>
          <w:rFonts w:ascii="Times New Roman" w:hAnsi="Times New Roman" w:cs="Times New Roman"/>
          <w:sz w:val="24"/>
        </w:rPr>
        <w:t xml:space="preserve"> medium for 4 days were pulse labeled with FM4-64 for 1 min, 15 min, 30 min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or for 2-3 h and followed by BFA treatment for 50 min or WM treatment for 1 h,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respectively.</w:t>
      </w:r>
    </w:p>
    <w:p>
      <w:pPr>
        <w:widowControl/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E</w:t>
      </w:r>
      <w:r>
        <w:rPr>
          <w:rFonts w:ascii="Times New Roman" w:hAnsi="Times New Roman" w:cs="Times New Roman"/>
          <w:sz w:val="24"/>
        </w:rPr>
        <w:t xml:space="preserve"> Seedlings of </w:t>
      </w:r>
      <w:r>
        <w:rPr>
          <w:rFonts w:ascii="Times New Roman" w:hAnsi="Times New Roman" w:cs="Times New Roman"/>
          <w:i/>
          <w:iCs/>
          <w:sz w:val="24"/>
        </w:rPr>
        <w:t>LOX-2#</w:t>
      </w:r>
      <w:r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i/>
          <w:iCs/>
          <w:sz w:val="24"/>
        </w:rPr>
        <w:t>SOX-1#</w:t>
      </w:r>
      <w:r>
        <w:rPr>
          <w:rFonts w:ascii="Times New Roman" w:hAnsi="Times New Roman" w:cs="Times New Roman"/>
          <w:sz w:val="24"/>
        </w:rPr>
        <w:t xml:space="preserve"> and </w:t>
      </w:r>
      <w:r>
        <w:rPr>
          <w:rFonts w:ascii="Times New Roman" w:hAnsi="Times New Roman" w:cs="Times New Roman"/>
          <w:i/>
          <w:iCs/>
          <w:sz w:val="24"/>
        </w:rPr>
        <w:t>SOX-2#</w:t>
      </w:r>
      <w:r>
        <w:rPr>
          <w:rFonts w:ascii="Times New Roman" w:hAnsi="Times New Roman" w:cs="Times New Roman"/>
          <w:sz w:val="24"/>
        </w:rPr>
        <w:t xml:space="preserve"> grown on 1/2 MS medium for 4 days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were stained with ER Tracker for 1 hour.</w:t>
      </w:r>
    </w:p>
    <w:p>
      <w:pPr>
        <w:widowControl/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A-E</w:t>
      </w:r>
      <w:r>
        <w:rPr>
          <w:rFonts w:ascii="Times New Roman" w:hAnsi="Times New Roman" w:cs="Times New Roman"/>
          <w:sz w:val="24"/>
        </w:rPr>
        <w:t xml:space="preserve"> Each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image shows the corresponding Pearson correlation coefficient (Rp). Ba</w:t>
      </w:r>
      <w:r>
        <w:rPr>
          <w:rFonts w:hint="eastAsia" w:ascii="Times New Roman" w:hAnsi="Times New Roman" w:cs="Times New Roman"/>
          <w:sz w:val="24"/>
        </w:rPr>
        <w:t xml:space="preserve">r </w:t>
      </w:r>
      <w:r>
        <w:rPr>
          <w:rFonts w:ascii="Times New Roman" w:hAnsi="Times New Roman" w:cs="Times New Roman"/>
          <w:sz w:val="24"/>
        </w:rPr>
        <w:t>=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20 μm.</w:t>
      </w:r>
    </w:p>
    <w:p>
      <w:pPr>
        <w:widowControl/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widowControl/>
        <w:spacing w:line="480" w:lineRule="auto"/>
        <w:ind w:left="1050" w:leftChars="500" w:right="1050" w:rightChars="500"/>
        <w:jc w:val="left"/>
        <w:rPr>
          <w:rFonts w:ascii="Times New Roman" w:hAnsi="Times New Roman" w:cs="Times New Roman"/>
          <w:sz w:val="24"/>
        </w:rPr>
      </w:pPr>
    </w:p>
    <w:p>
      <w:pPr>
        <w:widowControl/>
        <w:spacing w:line="480" w:lineRule="auto"/>
        <w:ind w:left="1050" w:leftChars="500" w:right="1050" w:rightChars="500"/>
        <w:jc w:val="left"/>
        <w:rPr>
          <w:rFonts w:ascii="Times New Roman" w:hAnsi="Times New Roman" w:cs="Times New Roman"/>
          <w:sz w:val="24"/>
        </w:rPr>
      </w:pPr>
    </w:p>
    <w:p>
      <w:pPr>
        <w:widowControl/>
        <w:spacing w:line="480" w:lineRule="auto"/>
        <w:ind w:left="1050" w:leftChars="500" w:right="1050" w:rightChars="500"/>
        <w:jc w:val="left"/>
        <w:rPr>
          <w:rFonts w:ascii="Times New Roman" w:hAnsi="Times New Roman" w:cs="Times New Roman"/>
          <w:sz w:val="24"/>
        </w:rPr>
      </w:pPr>
    </w:p>
    <w:p>
      <w:pPr>
        <w:widowControl/>
        <w:spacing w:line="480" w:lineRule="auto"/>
        <w:ind w:left="1050" w:leftChars="500" w:right="1050" w:rightChars="500"/>
        <w:jc w:val="left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right="1050" w:rightChars="500"/>
        <w:jc w:val="left"/>
        <w:rPr>
          <w:rFonts w:ascii="Times New Roman" w:hAnsi="Times New Roman" w:cs="Times New Roman"/>
          <w:sz w:val="24"/>
        </w:rPr>
      </w:pPr>
    </w:p>
    <w:sectPr>
      <w:pgSz w:w="11906" w:h="16838"/>
      <w:pgMar w:top="0" w:right="0" w:bottom="0" w:left="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gwZDYwOWY0YzYyOTAzOGZiYjVmZWM1OWE0OGRjMDMifQ=="/>
  </w:docVars>
  <w:rsids>
    <w:rsidRoot w:val="33D03A78"/>
    <w:rsid w:val="00143E2E"/>
    <w:rsid w:val="001C7059"/>
    <w:rsid w:val="00557023"/>
    <w:rsid w:val="007951D0"/>
    <w:rsid w:val="009A36F3"/>
    <w:rsid w:val="00A05CBF"/>
    <w:rsid w:val="00A37F38"/>
    <w:rsid w:val="00B2669B"/>
    <w:rsid w:val="00B40701"/>
    <w:rsid w:val="00BC4EB5"/>
    <w:rsid w:val="00EF3D2E"/>
    <w:rsid w:val="130E4817"/>
    <w:rsid w:val="15072FF2"/>
    <w:rsid w:val="17E0382B"/>
    <w:rsid w:val="1D636760"/>
    <w:rsid w:val="24E312E3"/>
    <w:rsid w:val="33D03A78"/>
    <w:rsid w:val="34E958CF"/>
    <w:rsid w:val="47C34183"/>
    <w:rsid w:val="4B6E364F"/>
    <w:rsid w:val="5AED53DB"/>
    <w:rsid w:val="698C6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8"/>
    <w:uiPriority w:val="0"/>
    <w:pPr>
      <w:jc w:val="left"/>
    </w:pPr>
  </w:style>
  <w:style w:type="paragraph" w:styleId="3">
    <w:name w:val="annotation subject"/>
    <w:basedOn w:val="2"/>
    <w:next w:val="2"/>
    <w:link w:val="9"/>
    <w:uiPriority w:val="0"/>
    <w:rPr>
      <w:b/>
      <w:bCs/>
    </w:rPr>
  </w:style>
  <w:style w:type="character" w:styleId="6">
    <w:name w:val="annotation reference"/>
    <w:basedOn w:val="5"/>
    <w:uiPriority w:val="0"/>
    <w:rPr>
      <w:sz w:val="21"/>
      <w:szCs w:val="21"/>
    </w:rPr>
  </w:style>
  <w:style w:type="paragraph" w:customStyle="1" w:styleId="7">
    <w:name w:val="修订1"/>
    <w:hidden/>
    <w:unhideWhenUsed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8">
    <w:name w:val="批注文字 字符"/>
    <w:basedOn w:val="5"/>
    <w:link w:val="2"/>
    <w:uiPriority w:val="0"/>
    <w:rPr>
      <w:kern w:val="2"/>
      <w:sz w:val="21"/>
      <w:szCs w:val="24"/>
    </w:rPr>
  </w:style>
  <w:style w:type="character" w:customStyle="1" w:styleId="9">
    <w:name w:val="批注主题 字符"/>
    <w:basedOn w:val="8"/>
    <w:link w:val="3"/>
    <w:uiPriority w:val="0"/>
    <w:rPr>
      <w:b/>
      <w:bCs/>
      <w:kern w:val="2"/>
      <w:sz w:val="21"/>
      <w:szCs w:val="24"/>
    </w:rPr>
  </w:style>
  <w:style w:type="paragraph" w:customStyle="1" w:styleId="10">
    <w:name w:val="Revision"/>
    <w:hidden/>
    <w:unhideWhenUsed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png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544</Words>
  <Characters>3106</Characters>
  <Lines>25</Lines>
  <Paragraphs>7</Paragraphs>
  <TotalTime>6</TotalTime>
  <ScaleCrop>false</ScaleCrop>
  <LinksUpToDate>false</LinksUpToDate>
  <CharactersWithSpaces>3643</CharactersWithSpaces>
  <Application>WPS Office_12.1.0.15712_F1E327BC-269C-435d-A152-05C5408002CA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2023-10-02T10:37:00Z</dcterms:created>
  <dc:creator>promise</dc:creator>
  <cp:lastModifiedBy>promise</cp:lastModifiedBy>
  <dcterms:modified xsi:type="dcterms:W3CDTF">2023-10-02T13:38:09Z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F6BD3C10534C493A9C506B0562243F0E_13</vt:lpwstr>
  </property>
</Properties>
</file>