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E9D2C" w14:textId="7F77C7C4" w:rsidR="000C09C5" w:rsidRPr="003A3571" w:rsidRDefault="002F133A">
      <w:pPr>
        <w:rPr>
          <w:rFonts w:ascii="Times New Roman" w:hAnsi="Times New Roman" w:cs="Times New Roman"/>
          <w:sz w:val="24"/>
        </w:rPr>
      </w:pPr>
      <w:r w:rsidRPr="003A3571">
        <w:rPr>
          <w:rFonts w:ascii="Times New Roman" w:hAnsi="Times New Roman" w:cs="Times New Roman"/>
          <w:noProof/>
          <w:sz w:val="24"/>
        </w:rPr>
        <w:drawing>
          <wp:inline distT="0" distB="0" distL="0" distR="0" wp14:anchorId="3137AF0D" wp14:editId="042C7901">
            <wp:extent cx="5274310" cy="2909570"/>
            <wp:effectExtent l="0" t="0" r="0" b="0"/>
            <wp:docPr id="1436450405" name="图片 1"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50405" name="图片 1" descr="图示, 工程绘图&#10;&#10;描述已自动生成"/>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2909570"/>
                    </a:xfrm>
                    <a:prstGeom prst="rect">
                      <a:avLst/>
                    </a:prstGeom>
                  </pic:spPr>
                </pic:pic>
              </a:graphicData>
            </a:graphic>
          </wp:inline>
        </w:drawing>
      </w:r>
    </w:p>
    <w:p w14:paraId="06C6C123" w14:textId="609355A8" w:rsidR="00FC55B5" w:rsidRPr="003A3571" w:rsidRDefault="002F133A">
      <w:pPr>
        <w:rPr>
          <w:rFonts w:ascii="Times New Roman" w:hAnsi="Times New Roman" w:cs="Times New Roman"/>
          <w:b/>
          <w:bCs/>
          <w:sz w:val="24"/>
        </w:rPr>
      </w:pPr>
      <w:r w:rsidRPr="003A3571">
        <w:rPr>
          <w:rFonts w:ascii="Times New Roman" w:hAnsi="Times New Roman" w:cs="Times New Roman"/>
          <w:b/>
          <w:bCs/>
          <w:sz w:val="24"/>
        </w:rPr>
        <w:t>Fi</w:t>
      </w:r>
      <w:r w:rsidR="009D21AD" w:rsidRPr="003A3571">
        <w:rPr>
          <w:rFonts w:ascii="Times New Roman" w:hAnsi="Times New Roman" w:cs="Times New Roman"/>
          <w:b/>
          <w:bCs/>
          <w:sz w:val="24"/>
        </w:rPr>
        <w:t>g</w:t>
      </w:r>
      <w:r w:rsidRPr="003A3571">
        <w:rPr>
          <w:rFonts w:ascii="Times New Roman" w:hAnsi="Times New Roman" w:cs="Times New Roman"/>
          <w:b/>
          <w:bCs/>
          <w:sz w:val="24"/>
        </w:rPr>
        <w:t xml:space="preserve"> </w:t>
      </w:r>
      <w:r w:rsidR="003A3571" w:rsidRPr="003A3571">
        <w:rPr>
          <w:rFonts w:ascii="Times New Roman" w:hAnsi="Times New Roman" w:cs="Times New Roman"/>
          <w:b/>
          <w:bCs/>
          <w:sz w:val="24"/>
        </w:rPr>
        <w:t>S</w:t>
      </w:r>
      <w:r w:rsidRPr="003A3571">
        <w:rPr>
          <w:rFonts w:ascii="Times New Roman" w:hAnsi="Times New Roman" w:cs="Times New Roman"/>
          <w:b/>
          <w:bCs/>
          <w:sz w:val="24"/>
        </w:rPr>
        <w:t>1</w:t>
      </w:r>
      <w:r w:rsidR="009D21AD" w:rsidRPr="003A3571">
        <w:rPr>
          <w:rFonts w:ascii="Times New Roman" w:hAnsi="Times New Roman" w:cs="Times New Roman"/>
          <w:b/>
          <w:bCs/>
          <w:sz w:val="24"/>
        </w:rPr>
        <w:t>.</w:t>
      </w:r>
    </w:p>
    <w:p w14:paraId="1A6757C6" w14:textId="6060AEFD" w:rsidR="00B52C39" w:rsidRPr="003A3571" w:rsidRDefault="00B52C39" w:rsidP="003A3571">
      <w:pPr>
        <w:spacing w:line="360" w:lineRule="auto"/>
        <w:rPr>
          <w:rFonts w:ascii="Times New Roman" w:hAnsi="Times New Roman" w:cs="Times New Roman"/>
          <w:sz w:val="24"/>
        </w:rPr>
      </w:pPr>
      <w:r w:rsidRPr="003A3571">
        <w:rPr>
          <w:rFonts w:ascii="Times New Roman" w:hAnsi="Times New Roman" w:cs="Times New Roman"/>
          <w:sz w:val="24"/>
        </w:rPr>
        <w:t>MTT assay and flow cytometry were used to detect the effects of F1/F3 on the proliferation and apoptosis of B16 cells in vitro.</w:t>
      </w:r>
      <w:r w:rsidR="003A3571">
        <w:rPr>
          <w:rFonts w:ascii="Times New Roman" w:hAnsi="Times New Roman" w:cs="Times New Roman"/>
          <w:sz w:val="24"/>
        </w:rPr>
        <w:t xml:space="preserve"> </w:t>
      </w:r>
      <w:r w:rsidRPr="003A3571">
        <w:rPr>
          <w:rFonts w:ascii="Times New Roman" w:hAnsi="Times New Roman" w:cs="Times New Roman"/>
          <w:b/>
          <w:bCs/>
          <w:sz w:val="24"/>
        </w:rPr>
        <w:t>(A)</w:t>
      </w:r>
      <w:r w:rsidRPr="003A3571">
        <w:rPr>
          <w:rFonts w:ascii="Times New Roman" w:hAnsi="Times New Roman" w:cs="Times New Roman"/>
          <w:sz w:val="24"/>
        </w:rPr>
        <w:t xml:space="preserve"> After constructing a B16 cell injury model, the absorbance levels detected by B16 cells at different concentrations and the IC50 values calculated by the software showed a negative correlation between absorbance and cell proliferation activity; </w:t>
      </w:r>
      <w:r w:rsidRPr="003A3571">
        <w:rPr>
          <w:rFonts w:ascii="Times New Roman" w:hAnsi="Times New Roman" w:cs="Times New Roman"/>
          <w:b/>
          <w:bCs/>
          <w:sz w:val="24"/>
        </w:rPr>
        <w:t>(B)</w:t>
      </w:r>
      <w:r w:rsidRPr="003A3571">
        <w:rPr>
          <w:rFonts w:ascii="Times New Roman" w:hAnsi="Times New Roman" w:cs="Times New Roman"/>
          <w:sz w:val="24"/>
        </w:rPr>
        <w:t xml:space="preserve"> The effect of F1/F3 at IC50 concentration on the apoptosis phenomenon of B16 cells. Data are representative of at least 2 independent experiments and are presented as the mean ± SD. NS, not significant. </w:t>
      </w:r>
      <w:bookmarkStart w:id="0" w:name="OLE_LINK2"/>
      <w:r w:rsidRPr="003A3571">
        <w:rPr>
          <w:rFonts w:ascii="Times New Roman" w:hAnsi="Times New Roman" w:cs="Times New Roman"/>
          <w:sz w:val="24"/>
          <w:vertAlign w:val="superscript"/>
        </w:rPr>
        <w:t>*</w:t>
      </w:r>
      <w:r w:rsidRPr="003A3571">
        <w:rPr>
          <w:rFonts w:ascii="Times New Roman" w:hAnsi="Times New Roman" w:cs="Times New Roman"/>
          <w:i/>
          <w:iCs/>
          <w:sz w:val="24"/>
        </w:rPr>
        <w:t>P</w:t>
      </w:r>
      <w:r w:rsidRPr="003A3571">
        <w:rPr>
          <w:rFonts w:ascii="Times New Roman" w:hAnsi="Times New Roman" w:cs="Times New Roman"/>
          <w:sz w:val="24"/>
        </w:rPr>
        <w:t> &lt; 0.05</w:t>
      </w:r>
      <w:bookmarkEnd w:id="0"/>
      <w:r w:rsidRPr="003A3571">
        <w:rPr>
          <w:rFonts w:ascii="Times New Roman" w:hAnsi="Times New Roman" w:cs="Times New Roman"/>
          <w:sz w:val="24"/>
        </w:rPr>
        <w:t>;</w:t>
      </w:r>
      <w:r w:rsidRPr="003A3571">
        <w:rPr>
          <w:rFonts w:ascii="Times New Roman" w:hAnsi="Times New Roman" w:cs="Times New Roman"/>
          <w:sz w:val="24"/>
          <w:vertAlign w:val="superscript"/>
        </w:rPr>
        <w:t xml:space="preserve"> ***</w:t>
      </w:r>
      <w:r w:rsidRPr="003A3571">
        <w:rPr>
          <w:rFonts w:ascii="Times New Roman" w:hAnsi="Times New Roman" w:cs="Times New Roman"/>
          <w:sz w:val="24"/>
        </w:rPr>
        <w:t xml:space="preserve">P &lt; 0.001 by one-way ANOVA test </w:t>
      </w:r>
      <w:r w:rsidRPr="003A3571">
        <w:rPr>
          <w:rFonts w:ascii="Times New Roman" w:hAnsi="Times New Roman" w:cs="Times New Roman"/>
          <w:b/>
          <w:bCs/>
          <w:sz w:val="24"/>
        </w:rPr>
        <w:t>(B).</w:t>
      </w:r>
    </w:p>
    <w:p w14:paraId="55D6E48F" w14:textId="099F0041" w:rsidR="002F133A" w:rsidRPr="003A3571" w:rsidRDefault="002F133A" w:rsidP="000065FA">
      <w:pPr>
        <w:rPr>
          <w:rFonts w:ascii="Times New Roman" w:hAnsi="Times New Roman" w:cs="Times New Roman"/>
          <w:sz w:val="24"/>
        </w:rPr>
      </w:pPr>
    </w:p>
    <w:p w14:paraId="36133C19" w14:textId="77777777" w:rsidR="002F133A" w:rsidRPr="003A3571" w:rsidRDefault="002F133A">
      <w:pPr>
        <w:rPr>
          <w:rFonts w:ascii="Times New Roman" w:hAnsi="Times New Roman" w:cs="Times New Roman"/>
          <w:sz w:val="24"/>
        </w:rPr>
      </w:pPr>
    </w:p>
    <w:p w14:paraId="518CB628" w14:textId="77777777" w:rsidR="002F133A" w:rsidRPr="003A3571" w:rsidRDefault="002F133A">
      <w:pPr>
        <w:rPr>
          <w:rFonts w:ascii="Times New Roman" w:hAnsi="Times New Roman" w:cs="Times New Roman"/>
          <w:sz w:val="24"/>
        </w:rPr>
      </w:pPr>
    </w:p>
    <w:p w14:paraId="741B26CE" w14:textId="77777777" w:rsidR="002F133A" w:rsidRPr="003A3571" w:rsidRDefault="002F133A">
      <w:pPr>
        <w:rPr>
          <w:rFonts w:ascii="Times New Roman" w:hAnsi="Times New Roman" w:cs="Times New Roman"/>
          <w:sz w:val="24"/>
        </w:rPr>
      </w:pPr>
    </w:p>
    <w:p w14:paraId="5CC67995" w14:textId="77777777" w:rsidR="002F133A" w:rsidRPr="003A3571" w:rsidRDefault="002F133A">
      <w:pPr>
        <w:rPr>
          <w:rFonts w:ascii="Times New Roman" w:hAnsi="Times New Roman" w:cs="Times New Roman"/>
          <w:sz w:val="24"/>
        </w:rPr>
      </w:pPr>
    </w:p>
    <w:p w14:paraId="592FAEF7" w14:textId="19443188" w:rsidR="002F133A" w:rsidRPr="003A3571" w:rsidRDefault="002F133A">
      <w:pPr>
        <w:rPr>
          <w:rFonts w:ascii="Times New Roman" w:hAnsi="Times New Roman" w:cs="Times New Roman"/>
          <w:sz w:val="24"/>
        </w:rPr>
      </w:pPr>
      <w:r w:rsidRPr="003A3571">
        <w:rPr>
          <w:rFonts w:ascii="Times New Roman" w:hAnsi="Times New Roman" w:cs="Times New Roman"/>
          <w:noProof/>
          <w:sz w:val="24"/>
        </w:rPr>
        <w:drawing>
          <wp:inline distT="0" distB="0" distL="0" distR="0" wp14:anchorId="682CDB96" wp14:editId="7559288A">
            <wp:extent cx="5274310" cy="1612900"/>
            <wp:effectExtent l="0" t="0" r="0" b="0"/>
            <wp:docPr id="1319952747" name="图片 2"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952747" name="图片 2" descr="形状&#10;&#10;中度可信度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1612900"/>
                    </a:xfrm>
                    <a:prstGeom prst="rect">
                      <a:avLst/>
                    </a:prstGeom>
                  </pic:spPr>
                </pic:pic>
              </a:graphicData>
            </a:graphic>
          </wp:inline>
        </w:drawing>
      </w:r>
    </w:p>
    <w:p w14:paraId="7354A745" w14:textId="6A30FBCD" w:rsidR="002F133A" w:rsidRPr="003A3571" w:rsidRDefault="00FC55B5">
      <w:pPr>
        <w:rPr>
          <w:rFonts w:ascii="Times New Roman" w:hAnsi="Times New Roman" w:cs="Times New Roman"/>
          <w:b/>
          <w:bCs/>
          <w:sz w:val="24"/>
        </w:rPr>
      </w:pPr>
      <w:r w:rsidRPr="003A3571">
        <w:rPr>
          <w:rFonts w:ascii="Times New Roman" w:hAnsi="Times New Roman" w:cs="Times New Roman"/>
          <w:b/>
          <w:bCs/>
          <w:sz w:val="24"/>
        </w:rPr>
        <w:t xml:space="preserve">Fig </w:t>
      </w:r>
      <w:r w:rsidR="003A3571" w:rsidRPr="003A3571">
        <w:rPr>
          <w:rFonts w:ascii="Times New Roman" w:hAnsi="Times New Roman" w:cs="Times New Roman"/>
          <w:b/>
          <w:bCs/>
          <w:sz w:val="24"/>
        </w:rPr>
        <w:t>S</w:t>
      </w:r>
      <w:r w:rsidRPr="003A3571">
        <w:rPr>
          <w:rFonts w:ascii="Times New Roman" w:hAnsi="Times New Roman" w:cs="Times New Roman"/>
          <w:b/>
          <w:bCs/>
          <w:sz w:val="24"/>
        </w:rPr>
        <w:t>2</w:t>
      </w:r>
      <w:r w:rsidR="009D21AD" w:rsidRPr="003A3571">
        <w:rPr>
          <w:rFonts w:ascii="Times New Roman" w:hAnsi="Times New Roman" w:cs="Times New Roman"/>
          <w:b/>
          <w:bCs/>
          <w:sz w:val="24"/>
        </w:rPr>
        <w:t>.</w:t>
      </w:r>
    </w:p>
    <w:p w14:paraId="0FC7DC9C" w14:textId="64B3CA31" w:rsidR="002F133A" w:rsidRPr="003A3571" w:rsidRDefault="000065FA" w:rsidP="003A3571">
      <w:pPr>
        <w:spacing w:line="360" w:lineRule="auto"/>
        <w:rPr>
          <w:rFonts w:ascii="Times New Roman" w:hAnsi="Times New Roman" w:cs="Times New Roman"/>
          <w:sz w:val="24"/>
        </w:rPr>
      </w:pPr>
      <w:r w:rsidRPr="003A3571">
        <w:rPr>
          <w:rFonts w:ascii="Times New Roman" w:hAnsi="Times New Roman" w:cs="Times New Roman"/>
          <w:sz w:val="24"/>
        </w:rPr>
        <w:t>F1/F3 inhibit B16 tumor growth in vivo.4</w:t>
      </w:r>
      <w:r w:rsidRPr="003A3571">
        <w:rPr>
          <w:rFonts w:ascii="Times New Roman" w:hAnsi="Times New Roman" w:cs="Times New Roman"/>
          <w:sz w:val="24"/>
        </w:rPr>
        <w:sym w:font="Symbol" w:char="F0B4"/>
      </w:r>
      <w:r w:rsidRPr="003A3571">
        <w:rPr>
          <w:rFonts w:ascii="Times New Roman" w:hAnsi="Times New Roman" w:cs="Times New Roman"/>
          <w:sz w:val="24"/>
        </w:rPr>
        <w:t>10</w:t>
      </w:r>
      <w:r w:rsidRPr="003A3571">
        <w:rPr>
          <w:rFonts w:ascii="Times New Roman" w:hAnsi="Times New Roman" w:cs="Times New Roman"/>
          <w:sz w:val="24"/>
          <w:vertAlign w:val="superscript"/>
        </w:rPr>
        <w:t>5</w:t>
      </w:r>
      <w:r w:rsidRPr="003A3571">
        <w:rPr>
          <w:rFonts w:ascii="Times New Roman" w:hAnsi="Times New Roman" w:cs="Times New Roman"/>
          <w:sz w:val="24"/>
        </w:rPr>
        <w:t xml:space="preserve"> of B16 cells were inoculated into the </w:t>
      </w:r>
      <w:r w:rsidRPr="003A3571">
        <w:rPr>
          <w:rFonts w:ascii="Times New Roman" w:hAnsi="Times New Roman" w:cs="Times New Roman"/>
          <w:sz w:val="24"/>
        </w:rPr>
        <w:lastRenderedPageBreak/>
        <w:t>lateral abdomen of C57BL/6 mice (day 0), on Day 3, 30</w:t>
      </w:r>
      <w:r w:rsidR="005619F3" w:rsidRPr="003A3571">
        <w:rPr>
          <w:rFonts w:ascii="Times New Roman" w:hAnsi="Times New Roman" w:cs="Times New Roman"/>
          <w:sz w:val="24"/>
        </w:rPr>
        <w:sym w:font="Symbol" w:char="F06D"/>
      </w:r>
      <w:r w:rsidRPr="003A3571">
        <w:rPr>
          <w:rFonts w:ascii="Times New Roman" w:hAnsi="Times New Roman" w:cs="Times New Roman"/>
          <w:sz w:val="24"/>
        </w:rPr>
        <w:t xml:space="preserve">g of F1/F3 or a control P3 were injected into the tumor on for 7 consecutive days. </w:t>
      </w:r>
      <w:r w:rsidRPr="003A3571">
        <w:rPr>
          <w:rFonts w:ascii="Times New Roman" w:hAnsi="Times New Roman" w:cs="Times New Roman"/>
          <w:b/>
          <w:bCs/>
          <w:sz w:val="24"/>
        </w:rPr>
        <w:t>(A</w:t>
      </w:r>
      <w:r w:rsidR="005619F3" w:rsidRPr="003A3571">
        <w:rPr>
          <w:rFonts w:ascii="Times New Roman" w:hAnsi="Times New Roman" w:cs="Times New Roman"/>
          <w:b/>
          <w:bCs/>
          <w:sz w:val="24"/>
        </w:rPr>
        <w:t>-D</w:t>
      </w:r>
      <w:r w:rsidRPr="003A3571">
        <w:rPr>
          <w:rFonts w:ascii="Times New Roman" w:hAnsi="Times New Roman" w:cs="Times New Roman"/>
          <w:b/>
          <w:bCs/>
          <w:sz w:val="24"/>
        </w:rPr>
        <w:t>)</w:t>
      </w:r>
      <w:r w:rsidRPr="003A3571">
        <w:rPr>
          <w:rFonts w:ascii="Times New Roman" w:hAnsi="Times New Roman" w:cs="Times New Roman"/>
          <w:sz w:val="24"/>
        </w:rPr>
        <w:t xml:space="preserve"> CD</w:t>
      </w:r>
      <w:r w:rsidR="005619F3" w:rsidRPr="003A3571">
        <w:rPr>
          <w:rFonts w:ascii="Times New Roman" w:hAnsi="Times New Roman" w:cs="Times New Roman"/>
          <w:sz w:val="24"/>
        </w:rPr>
        <w:t>8a</w:t>
      </w:r>
      <w:r w:rsidRPr="003A3571">
        <w:rPr>
          <w:rFonts w:ascii="Times New Roman" w:hAnsi="Times New Roman" w:cs="Times New Roman"/>
          <w:sz w:val="24"/>
          <w:vertAlign w:val="superscript"/>
        </w:rPr>
        <w:t>+</w:t>
      </w:r>
      <w:r w:rsidRPr="003A3571">
        <w:rPr>
          <w:rFonts w:ascii="Times New Roman" w:hAnsi="Times New Roman" w:cs="Times New Roman"/>
          <w:sz w:val="24"/>
        </w:rPr>
        <w:t xml:space="preserve"> </w:t>
      </w:r>
      <w:r w:rsidR="005619F3" w:rsidRPr="003A3571">
        <w:rPr>
          <w:rFonts w:ascii="Times New Roman" w:hAnsi="Times New Roman" w:cs="Times New Roman"/>
          <w:sz w:val="24"/>
        </w:rPr>
        <w:t xml:space="preserve">T </w:t>
      </w:r>
      <w:r w:rsidRPr="003A3571">
        <w:rPr>
          <w:rFonts w:ascii="Times New Roman" w:hAnsi="Times New Roman" w:cs="Times New Roman"/>
          <w:sz w:val="24"/>
        </w:rPr>
        <w:t>cells</w:t>
      </w:r>
      <w:r w:rsidR="005619F3" w:rsidRPr="003A3571">
        <w:rPr>
          <w:rFonts w:ascii="Times New Roman" w:hAnsi="Times New Roman" w:cs="Times New Roman"/>
          <w:sz w:val="24"/>
        </w:rPr>
        <w:t xml:space="preserve"> (</w:t>
      </w:r>
      <w:r w:rsidRPr="003A3571">
        <w:rPr>
          <w:rFonts w:ascii="Times New Roman" w:hAnsi="Times New Roman" w:cs="Times New Roman"/>
          <w:sz w:val="24"/>
        </w:rPr>
        <w:t>FVS510</w:t>
      </w:r>
      <w:r w:rsidRPr="003A3571">
        <w:rPr>
          <w:rFonts w:ascii="Times New Roman" w:hAnsi="Times New Roman" w:cs="Times New Roman"/>
          <w:sz w:val="24"/>
          <w:vertAlign w:val="superscript"/>
        </w:rPr>
        <w:t>+</w:t>
      </w:r>
      <w:r w:rsidRPr="003A3571">
        <w:rPr>
          <w:rFonts w:ascii="Times New Roman" w:hAnsi="Times New Roman" w:cs="Times New Roman"/>
          <w:sz w:val="24"/>
        </w:rPr>
        <w:t>CD45.2</w:t>
      </w:r>
      <w:r w:rsidRPr="003A3571">
        <w:rPr>
          <w:rFonts w:ascii="Times New Roman" w:hAnsi="Times New Roman" w:cs="Times New Roman"/>
          <w:sz w:val="24"/>
          <w:vertAlign w:val="superscript"/>
        </w:rPr>
        <w:t>+</w:t>
      </w:r>
      <w:r w:rsidRPr="003A3571">
        <w:rPr>
          <w:rFonts w:ascii="Times New Roman" w:hAnsi="Times New Roman" w:cs="Times New Roman"/>
          <w:sz w:val="24"/>
        </w:rPr>
        <w:t>CD3</w:t>
      </w:r>
      <w:r w:rsidRPr="003A3571">
        <w:rPr>
          <w:rFonts w:ascii="Times New Roman" w:hAnsi="Times New Roman" w:cs="Times New Roman"/>
          <w:sz w:val="24"/>
          <w:vertAlign w:val="superscript"/>
        </w:rPr>
        <w:t>+</w:t>
      </w:r>
      <w:r w:rsidR="005619F3" w:rsidRPr="003A3571">
        <w:rPr>
          <w:rFonts w:ascii="Times New Roman" w:hAnsi="Times New Roman" w:cs="Times New Roman"/>
          <w:sz w:val="24"/>
        </w:rPr>
        <w:t>CD8a</w:t>
      </w:r>
      <w:r w:rsidR="005619F3" w:rsidRPr="003A3571">
        <w:rPr>
          <w:rFonts w:ascii="Times New Roman" w:hAnsi="Times New Roman" w:cs="Times New Roman"/>
          <w:sz w:val="24"/>
          <w:vertAlign w:val="superscript"/>
        </w:rPr>
        <w:t>+</w:t>
      </w:r>
      <w:r w:rsidR="005619F3" w:rsidRPr="003A3571">
        <w:rPr>
          <w:rFonts w:ascii="Times New Roman" w:hAnsi="Times New Roman" w:cs="Times New Roman"/>
          <w:sz w:val="24"/>
        </w:rPr>
        <w:t>)</w:t>
      </w:r>
      <w:r w:rsidRPr="003A3571">
        <w:rPr>
          <w:rFonts w:ascii="Times New Roman" w:hAnsi="Times New Roman" w:cs="Times New Roman"/>
          <w:sz w:val="24"/>
        </w:rPr>
        <w:t>,</w:t>
      </w:r>
      <w:r w:rsidR="005619F3" w:rsidRPr="003A3571">
        <w:rPr>
          <w:rFonts w:ascii="Times New Roman" w:hAnsi="Times New Roman" w:cs="Times New Roman"/>
          <w:sz w:val="24"/>
        </w:rPr>
        <w:t xml:space="preserve"> NK1.1 </w:t>
      </w:r>
      <w:r w:rsidRPr="003A3571">
        <w:rPr>
          <w:rFonts w:ascii="Times New Roman" w:hAnsi="Times New Roman" w:cs="Times New Roman"/>
          <w:sz w:val="24"/>
        </w:rPr>
        <w:t>cells</w:t>
      </w:r>
      <w:r w:rsidR="005619F3" w:rsidRPr="003A3571">
        <w:rPr>
          <w:rFonts w:ascii="Times New Roman" w:hAnsi="Times New Roman" w:cs="Times New Roman"/>
          <w:sz w:val="24"/>
        </w:rPr>
        <w:t xml:space="preserve"> </w:t>
      </w:r>
      <w:r w:rsidRPr="003A3571">
        <w:rPr>
          <w:rFonts w:ascii="Times New Roman" w:hAnsi="Times New Roman" w:cs="Times New Roman"/>
          <w:sz w:val="24"/>
        </w:rPr>
        <w:t>(FVS510</w:t>
      </w:r>
      <w:r w:rsidRPr="003A3571">
        <w:rPr>
          <w:rFonts w:ascii="Times New Roman" w:hAnsi="Times New Roman" w:cs="Times New Roman"/>
          <w:sz w:val="24"/>
          <w:vertAlign w:val="superscript"/>
        </w:rPr>
        <w:t>+</w:t>
      </w:r>
      <w:r w:rsidRPr="003A3571">
        <w:rPr>
          <w:rFonts w:ascii="Times New Roman" w:hAnsi="Times New Roman" w:cs="Times New Roman"/>
          <w:sz w:val="24"/>
        </w:rPr>
        <w:t>CD45.2</w:t>
      </w:r>
      <w:r w:rsidRPr="003A3571">
        <w:rPr>
          <w:rFonts w:ascii="Times New Roman" w:hAnsi="Times New Roman" w:cs="Times New Roman"/>
          <w:sz w:val="24"/>
          <w:vertAlign w:val="superscript"/>
        </w:rPr>
        <w:t>+</w:t>
      </w:r>
      <w:r w:rsidR="005619F3" w:rsidRPr="003A3571">
        <w:rPr>
          <w:rFonts w:ascii="Times New Roman" w:hAnsi="Times New Roman" w:cs="Times New Roman"/>
          <w:sz w:val="24"/>
        </w:rPr>
        <w:t>NK1.1</w:t>
      </w:r>
      <w:r w:rsidRPr="003A3571">
        <w:rPr>
          <w:rFonts w:ascii="Times New Roman" w:hAnsi="Times New Roman" w:cs="Times New Roman"/>
          <w:sz w:val="24"/>
          <w:vertAlign w:val="superscript"/>
        </w:rPr>
        <w:t>+</w:t>
      </w:r>
      <w:r w:rsidRPr="003A3571">
        <w:rPr>
          <w:rFonts w:ascii="Times New Roman" w:hAnsi="Times New Roman" w:cs="Times New Roman"/>
          <w:sz w:val="24"/>
        </w:rPr>
        <w:t xml:space="preserve">), </w:t>
      </w:r>
      <w:r w:rsidR="005619F3" w:rsidRPr="003A3571">
        <w:rPr>
          <w:rFonts w:ascii="Times New Roman" w:hAnsi="Times New Roman" w:cs="Times New Roman"/>
          <w:sz w:val="24"/>
        </w:rPr>
        <w:t>B220</w:t>
      </w:r>
      <w:r w:rsidR="005619F3" w:rsidRPr="003A3571">
        <w:rPr>
          <w:rFonts w:ascii="Times New Roman" w:hAnsi="Times New Roman" w:cs="Times New Roman"/>
          <w:sz w:val="24"/>
          <w:vertAlign w:val="superscript"/>
        </w:rPr>
        <w:t>+</w:t>
      </w:r>
      <w:r w:rsidR="005619F3" w:rsidRPr="003A3571">
        <w:rPr>
          <w:rFonts w:ascii="Times New Roman" w:hAnsi="Times New Roman" w:cs="Times New Roman"/>
          <w:sz w:val="24"/>
        </w:rPr>
        <w:t xml:space="preserve"> cells </w:t>
      </w:r>
      <w:r w:rsidRPr="003A3571">
        <w:rPr>
          <w:rFonts w:ascii="Times New Roman" w:hAnsi="Times New Roman" w:cs="Times New Roman"/>
          <w:sz w:val="24"/>
        </w:rPr>
        <w:t>(FVS510</w:t>
      </w:r>
      <w:r w:rsidRPr="003A3571">
        <w:rPr>
          <w:rFonts w:ascii="Times New Roman" w:hAnsi="Times New Roman" w:cs="Times New Roman"/>
          <w:sz w:val="24"/>
          <w:vertAlign w:val="superscript"/>
        </w:rPr>
        <w:t>+</w:t>
      </w:r>
      <w:r w:rsidRPr="003A3571">
        <w:rPr>
          <w:rFonts w:ascii="Times New Roman" w:hAnsi="Times New Roman" w:cs="Times New Roman"/>
          <w:sz w:val="24"/>
        </w:rPr>
        <w:t>CD45.2</w:t>
      </w:r>
      <w:r w:rsidRPr="003A3571">
        <w:rPr>
          <w:rFonts w:ascii="Times New Roman" w:hAnsi="Times New Roman" w:cs="Times New Roman"/>
          <w:sz w:val="24"/>
          <w:vertAlign w:val="superscript"/>
        </w:rPr>
        <w:t>+</w:t>
      </w:r>
      <w:r w:rsidR="005619F3" w:rsidRPr="003A3571">
        <w:rPr>
          <w:rFonts w:ascii="Times New Roman" w:hAnsi="Times New Roman" w:cs="Times New Roman"/>
          <w:sz w:val="24"/>
        </w:rPr>
        <w:t>B220</w:t>
      </w:r>
      <w:r w:rsidRPr="003A3571">
        <w:rPr>
          <w:rFonts w:ascii="Times New Roman" w:hAnsi="Times New Roman" w:cs="Times New Roman"/>
          <w:sz w:val="24"/>
          <w:vertAlign w:val="superscript"/>
        </w:rPr>
        <w:t>+</w:t>
      </w:r>
      <w:r w:rsidRPr="003A3571">
        <w:rPr>
          <w:rFonts w:ascii="Times New Roman" w:hAnsi="Times New Roman" w:cs="Times New Roman"/>
          <w:sz w:val="24"/>
        </w:rPr>
        <w:t>)</w:t>
      </w:r>
      <w:r w:rsidR="009B6A7F" w:rsidRPr="003A3571">
        <w:rPr>
          <w:rFonts w:ascii="Times New Roman" w:hAnsi="Times New Roman" w:cs="Times New Roman"/>
          <w:sz w:val="24"/>
        </w:rPr>
        <w:t>,</w:t>
      </w:r>
      <w:r w:rsidRPr="003A3571">
        <w:rPr>
          <w:rFonts w:ascii="Times New Roman" w:hAnsi="Times New Roman" w:cs="Times New Roman"/>
          <w:sz w:val="24"/>
        </w:rPr>
        <w:t xml:space="preserve"> of different treatment groups. </w:t>
      </w:r>
      <w:bookmarkStart w:id="1" w:name="OLE_LINK1"/>
      <w:r w:rsidRPr="003A3571">
        <w:rPr>
          <w:rFonts w:ascii="Times New Roman" w:hAnsi="Times New Roman" w:cs="Times New Roman"/>
          <w:sz w:val="24"/>
        </w:rPr>
        <w:t xml:space="preserve">Data are representative of at least 2 independent experiments and are presented as the mean ± SD. NS, not significant. </w:t>
      </w:r>
      <w:r w:rsidRPr="003A3571">
        <w:rPr>
          <w:rFonts w:ascii="Times New Roman" w:hAnsi="Times New Roman" w:cs="Times New Roman"/>
          <w:sz w:val="24"/>
          <w:vertAlign w:val="superscript"/>
        </w:rPr>
        <w:t>***</w:t>
      </w:r>
      <w:r w:rsidRPr="003A3571">
        <w:rPr>
          <w:rFonts w:ascii="Times New Roman" w:hAnsi="Times New Roman" w:cs="Times New Roman"/>
          <w:sz w:val="24"/>
        </w:rPr>
        <w:t xml:space="preserve">P &lt; 0.001 by one-way ANOVA test </w:t>
      </w:r>
      <w:r w:rsidRPr="003A3571">
        <w:rPr>
          <w:rFonts w:ascii="Times New Roman" w:hAnsi="Times New Roman" w:cs="Times New Roman"/>
          <w:b/>
          <w:bCs/>
          <w:sz w:val="24"/>
        </w:rPr>
        <w:t>(</w:t>
      </w:r>
      <w:r w:rsidR="005619F3" w:rsidRPr="003A3571">
        <w:rPr>
          <w:rFonts w:ascii="Times New Roman" w:hAnsi="Times New Roman" w:cs="Times New Roman"/>
          <w:b/>
          <w:bCs/>
          <w:sz w:val="24"/>
        </w:rPr>
        <w:t>A-D</w:t>
      </w:r>
      <w:r w:rsidRPr="003A3571">
        <w:rPr>
          <w:rFonts w:ascii="Times New Roman" w:hAnsi="Times New Roman" w:cs="Times New Roman"/>
          <w:b/>
          <w:bCs/>
          <w:sz w:val="24"/>
        </w:rPr>
        <w:t>)</w:t>
      </w:r>
      <w:r w:rsidRPr="003A3571">
        <w:rPr>
          <w:rFonts w:ascii="Times New Roman" w:hAnsi="Times New Roman" w:cs="Times New Roman"/>
          <w:sz w:val="24"/>
        </w:rPr>
        <w:t>.</w:t>
      </w:r>
    </w:p>
    <w:bookmarkEnd w:id="1"/>
    <w:p w14:paraId="6791A292" w14:textId="77777777" w:rsidR="002F133A" w:rsidRPr="003A3571" w:rsidRDefault="002F133A">
      <w:pPr>
        <w:rPr>
          <w:rFonts w:ascii="Times New Roman" w:hAnsi="Times New Roman" w:cs="Times New Roman"/>
          <w:sz w:val="24"/>
        </w:rPr>
      </w:pPr>
    </w:p>
    <w:p w14:paraId="53B6293A" w14:textId="77777777" w:rsidR="002F133A" w:rsidRPr="003A3571" w:rsidRDefault="002F133A">
      <w:pPr>
        <w:rPr>
          <w:rFonts w:ascii="Times New Roman" w:hAnsi="Times New Roman" w:cs="Times New Roman"/>
          <w:sz w:val="24"/>
        </w:rPr>
      </w:pPr>
    </w:p>
    <w:p w14:paraId="70881DCC" w14:textId="77777777" w:rsidR="002F133A" w:rsidRPr="003A3571" w:rsidRDefault="002F133A">
      <w:pPr>
        <w:rPr>
          <w:rFonts w:ascii="Times New Roman" w:hAnsi="Times New Roman" w:cs="Times New Roman"/>
          <w:sz w:val="24"/>
        </w:rPr>
      </w:pPr>
    </w:p>
    <w:p w14:paraId="6CFD5C83" w14:textId="77777777" w:rsidR="002F133A" w:rsidRPr="003A3571" w:rsidRDefault="002F133A">
      <w:pPr>
        <w:rPr>
          <w:rFonts w:ascii="Times New Roman" w:hAnsi="Times New Roman" w:cs="Times New Roman"/>
          <w:sz w:val="24"/>
        </w:rPr>
      </w:pPr>
    </w:p>
    <w:p w14:paraId="1251D016" w14:textId="41347539" w:rsidR="002F133A" w:rsidRPr="003A3571" w:rsidRDefault="002F133A">
      <w:pPr>
        <w:rPr>
          <w:rFonts w:ascii="Times New Roman" w:hAnsi="Times New Roman" w:cs="Times New Roman"/>
          <w:sz w:val="24"/>
        </w:rPr>
      </w:pPr>
      <w:r w:rsidRPr="003A3571">
        <w:rPr>
          <w:rFonts w:ascii="Times New Roman" w:hAnsi="Times New Roman" w:cs="Times New Roman"/>
          <w:noProof/>
          <w:sz w:val="24"/>
        </w:rPr>
        <w:drawing>
          <wp:inline distT="0" distB="0" distL="0" distR="0" wp14:anchorId="1481D032" wp14:editId="465EE222">
            <wp:extent cx="5274310" cy="3217545"/>
            <wp:effectExtent l="0" t="0" r="0" b="0"/>
            <wp:docPr id="301312536" name="图片 3" descr="图形用户界面, 应用程序, Word&#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12536" name="图片 3" descr="图形用户界面, 应用程序, Word&#10;&#10;描述已自动生成"/>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217545"/>
                    </a:xfrm>
                    <a:prstGeom prst="rect">
                      <a:avLst/>
                    </a:prstGeom>
                  </pic:spPr>
                </pic:pic>
              </a:graphicData>
            </a:graphic>
          </wp:inline>
        </w:drawing>
      </w:r>
    </w:p>
    <w:p w14:paraId="233CB32D" w14:textId="7438C9A0" w:rsidR="00C025E9" w:rsidRPr="003A3571" w:rsidRDefault="00FC55B5">
      <w:pPr>
        <w:rPr>
          <w:rFonts w:ascii="Times New Roman" w:hAnsi="Times New Roman" w:cs="Times New Roman"/>
          <w:b/>
          <w:bCs/>
          <w:sz w:val="24"/>
        </w:rPr>
      </w:pPr>
      <w:r w:rsidRPr="003A3571">
        <w:rPr>
          <w:rFonts w:ascii="Times New Roman" w:hAnsi="Times New Roman" w:cs="Times New Roman"/>
          <w:b/>
          <w:bCs/>
          <w:sz w:val="24"/>
        </w:rPr>
        <w:t xml:space="preserve">Fig </w:t>
      </w:r>
      <w:r w:rsidR="003A3571" w:rsidRPr="003A3571">
        <w:rPr>
          <w:rFonts w:ascii="Times New Roman" w:hAnsi="Times New Roman" w:cs="Times New Roman"/>
          <w:b/>
          <w:bCs/>
          <w:sz w:val="24"/>
        </w:rPr>
        <w:t>S</w:t>
      </w:r>
      <w:r w:rsidRPr="003A3571">
        <w:rPr>
          <w:rFonts w:ascii="Times New Roman" w:hAnsi="Times New Roman" w:cs="Times New Roman"/>
          <w:b/>
          <w:bCs/>
          <w:sz w:val="24"/>
        </w:rPr>
        <w:t>3</w:t>
      </w:r>
      <w:r w:rsidR="009D21AD" w:rsidRPr="003A3571">
        <w:rPr>
          <w:rFonts w:ascii="Times New Roman" w:hAnsi="Times New Roman" w:cs="Times New Roman"/>
          <w:b/>
          <w:bCs/>
          <w:sz w:val="24"/>
        </w:rPr>
        <w:t>.</w:t>
      </w:r>
    </w:p>
    <w:p w14:paraId="2DA0B14D" w14:textId="020929FC" w:rsidR="00B52C39" w:rsidRPr="003A3571" w:rsidRDefault="00B52C39" w:rsidP="003A3571">
      <w:pPr>
        <w:spacing w:line="360" w:lineRule="auto"/>
        <w:rPr>
          <w:rFonts w:ascii="Times New Roman" w:hAnsi="Times New Roman" w:cs="Times New Roman"/>
          <w:sz w:val="24"/>
        </w:rPr>
      </w:pPr>
      <w:r w:rsidRPr="003A3571">
        <w:rPr>
          <w:rFonts w:ascii="Times New Roman" w:hAnsi="Times New Roman" w:cs="Times New Roman"/>
          <w:sz w:val="24"/>
        </w:rPr>
        <w:t>Successfully depleted corresponding immune cells in mice using in vivo antibodies such as anti-CD4, anti-CD8a, anti-NK1.1, and clodronate.</w:t>
      </w:r>
      <w:r w:rsidR="003A3571">
        <w:rPr>
          <w:rFonts w:ascii="Times New Roman" w:hAnsi="Times New Roman" w:cs="Times New Roman"/>
          <w:sz w:val="24"/>
        </w:rPr>
        <w:t xml:space="preserve"> </w:t>
      </w:r>
      <w:r w:rsidRPr="003A3571">
        <w:rPr>
          <w:rFonts w:ascii="Times New Roman" w:hAnsi="Times New Roman" w:cs="Times New Roman"/>
          <w:b/>
          <w:bCs/>
          <w:sz w:val="24"/>
        </w:rPr>
        <w:t>(</w:t>
      </w:r>
      <w:r w:rsidR="00CA12F6" w:rsidRPr="003A3571">
        <w:rPr>
          <w:rFonts w:ascii="Times New Roman" w:hAnsi="Times New Roman" w:cs="Times New Roman"/>
          <w:b/>
          <w:bCs/>
          <w:sz w:val="24"/>
        </w:rPr>
        <w:t>A</w:t>
      </w:r>
      <w:r w:rsidRPr="003A3571">
        <w:rPr>
          <w:rFonts w:ascii="Times New Roman" w:hAnsi="Times New Roman" w:cs="Times New Roman"/>
          <w:b/>
          <w:bCs/>
          <w:sz w:val="24"/>
        </w:rPr>
        <w:t>)</w:t>
      </w:r>
      <w:r w:rsidR="00CA12F6" w:rsidRPr="003A3571">
        <w:rPr>
          <w:rFonts w:ascii="Times New Roman" w:hAnsi="Times New Roman" w:cs="Times New Roman"/>
          <w:sz w:val="24"/>
        </w:rPr>
        <w:t xml:space="preserve">. </w:t>
      </w:r>
      <w:r w:rsidR="00A86EF4" w:rsidRPr="003A3571">
        <w:rPr>
          <w:rFonts w:ascii="Times New Roman" w:hAnsi="Times New Roman" w:cs="Times New Roman"/>
          <w:sz w:val="24"/>
        </w:rPr>
        <w:t xml:space="preserve">100 </w:t>
      </w:r>
      <w:r w:rsidR="00A86EF4" w:rsidRPr="003A3571">
        <w:rPr>
          <w:rFonts w:ascii="Times New Roman" w:hAnsi="Times New Roman" w:cs="Times New Roman"/>
          <w:sz w:val="24"/>
        </w:rPr>
        <w:sym w:font="Symbol" w:char="F06D"/>
      </w:r>
      <w:r w:rsidR="00A86EF4" w:rsidRPr="003A3571">
        <w:rPr>
          <w:rFonts w:ascii="Times New Roman" w:hAnsi="Times New Roman" w:cs="Times New Roman"/>
          <w:sz w:val="24"/>
        </w:rPr>
        <w:t>g of anti-CD4 and anti-CD8a were injected intraperitoneally every 6 days to deplete the above immune cells</w:t>
      </w:r>
      <w:r w:rsidR="002B2D82" w:rsidRPr="003A3571">
        <w:rPr>
          <w:rFonts w:ascii="Times New Roman" w:hAnsi="Times New Roman" w:cs="Times New Roman"/>
          <w:sz w:val="24"/>
        </w:rPr>
        <w:t>,</w:t>
      </w:r>
      <w:r w:rsidRPr="003A3571">
        <w:rPr>
          <w:rFonts w:ascii="Times New Roman" w:hAnsi="Times New Roman" w:cs="Times New Roman"/>
          <w:sz w:val="24"/>
        </w:rPr>
        <w:t xml:space="preserve"> CD4 T cells and CD8 T cells were successfully depleted</w:t>
      </w:r>
      <w:r w:rsidR="003A3571">
        <w:rPr>
          <w:rFonts w:ascii="Times New Roman" w:hAnsi="Times New Roman" w:cs="Times New Roman"/>
          <w:sz w:val="24"/>
        </w:rPr>
        <w:t xml:space="preserve">; </w:t>
      </w:r>
      <w:r w:rsidRPr="003A3571">
        <w:rPr>
          <w:rFonts w:ascii="Times New Roman" w:hAnsi="Times New Roman" w:cs="Times New Roman"/>
          <w:sz w:val="24"/>
        </w:rPr>
        <w:t>(</w:t>
      </w:r>
      <w:r w:rsidR="002B2D82" w:rsidRPr="003A3571">
        <w:rPr>
          <w:rFonts w:ascii="Times New Roman" w:hAnsi="Times New Roman" w:cs="Times New Roman"/>
          <w:sz w:val="24"/>
        </w:rPr>
        <w:t>B</w:t>
      </w:r>
      <w:r w:rsidRPr="003A3571">
        <w:rPr>
          <w:rFonts w:ascii="Times New Roman" w:hAnsi="Times New Roman" w:cs="Times New Roman"/>
          <w:sz w:val="24"/>
        </w:rPr>
        <w:t>)</w:t>
      </w:r>
      <w:r w:rsidR="002B2D82" w:rsidRPr="003A3571">
        <w:rPr>
          <w:rFonts w:ascii="Times New Roman" w:hAnsi="Times New Roman" w:cs="Times New Roman"/>
          <w:sz w:val="24"/>
        </w:rPr>
        <w:t xml:space="preserve">. Intraperitoneal injection of 200 </w:t>
      </w:r>
      <w:r w:rsidR="002B2D82" w:rsidRPr="003A3571">
        <w:rPr>
          <w:rFonts w:ascii="Times New Roman" w:hAnsi="Times New Roman" w:cs="Times New Roman"/>
          <w:sz w:val="24"/>
        </w:rPr>
        <w:sym w:font="Symbol" w:char="F06D"/>
      </w:r>
      <w:r w:rsidR="002B2D82" w:rsidRPr="003A3571">
        <w:rPr>
          <w:rFonts w:ascii="Times New Roman" w:hAnsi="Times New Roman" w:cs="Times New Roman"/>
          <w:sz w:val="24"/>
        </w:rPr>
        <w:t xml:space="preserve">l Clodronate or Clodronate control or PBS the day before tumor loading, followed by </w:t>
      </w:r>
      <w:proofErr w:type="spellStart"/>
      <w:r w:rsidR="002B2D82" w:rsidRPr="003A3571">
        <w:rPr>
          <w:rFonts w:ascii="Times New Roman" w:hAnsi="Times New Roman" w:cs="Times New Roman"/>
          <w:sz w:val="24"/>
        </w:rPr>
        <w:t>paratumoral</w:t>
      </w:r>
      <w:proofErr w:type="spellEnd"/>
      <w:r w:rsidR="002B2D82" w:rsidRPr="003A3571">
        <w:rPr>
          <w:rFonts w:ascii="Times New Roman" w:hAnsi="Times New Roman" w:cs="Times New Roman"/>
          <w:sz w:val="24"/>
        </w:rPr>
        <w:t xml:space="preserve"> injection of 100 </w:t>
      </w:r>
      <w:r w:rsidR="002B2D82" w:rsidRPr="003A3571">
        <w:rPr>
          <w:rFonts w:ascii="Times New Roman" w:hAnsi="Times New Roman" w:cs="Times New Roman"/>
          <w:sz w:val="24"/>
        </w:rPr>
        <w:sym w:font="Symbol" w:char="F06D"/>
      </w:r>
      <w:r w:rsidR="002B2D82" w:rsidRPr="003A3571">
        <w:rPr>
          <w:rFonts w:ascii="Times New Roman" w:hAnsi="Times New Roman" w:cs="Times New Roman"/>
          <w:sz w:val="24"/>
        </w:rPr>
        <w:t>l plus intraperitoneal injection of 200</w:t>
      </w:r>
      <w:r w:rsidR="002B2D82" w:rsidRPr="003A3571">
        <w:rPr>
          <w:rFonts w:ascii="Times New Roman" w:hAnsi="Times New Roman" w:cs="Times New Roman"/>
          <w:sz w:val="24"/>
        </w:rPr>
        <w:sym w:font="Symbol" w:char="F06D"/>
      </w:r>
      <w:r w:rsidR="002B2D82" w:rsidRPr="003A3571">
        <w:rPr>
          <w:rFonts w:ascii="Times New Roman" w:hAnsi="Times New Roman" w:cs="Times New Roman"/>
          <w:sz w:val="24"/>
        </w:rPr>
        <w:t>l Clodronate or Clodronate control or PBS, once every four days to deplete macrophages,</w:t>
      </w:r>
      <w:r w:rsidRPr="003A3571">
        <w:rPr>
          <w:rFonts w:ascii="Times New Roman" w:hAnsi="Times New Roman" w:cs="Times New Roman"/>
          <w:sz w:val="24"/>
        </w:rPr>
        <w:t xml:space="preserve"> macrophages successfully depleted</w:t>
      </w:r>
      <w:r w:rsidR="003A3571">
        <w:rPr>
          <w:rFonts w:ascii="Times New Roman" w:hAnsi="Times New Roman" w:cs="Times New Roman" w:hint="eastAsia"/>
          <w:sz w:val="24"/>
        </w:rPr>
        <w:t>;</w:t>
      </w:r>
      <w:r w:rsidR="003A3571" w:rsidRPr="003A3571">
        <w:rPr>
          <w:rFonts w:ascii="Times New Roman" w:hAnsi="Times New Roman" w:cs="Times New Roman"/>
          <w:b/>
          <w:bCs/>
          <w:sz w:val="24"/>
        </w:rPr>
        <w:t xml:space="preserve"> </w:t>
      </w:r>
      <w:r w:rsidRPr="003A3571">
        <w:rPr>
          <w:rFonts w:ascii="Times New Roman" w:hAnsi="Times New Roman" w:cs="Times New Roman"/>
          <w:b/>
          <w:bCs/>
          <w:sz w:val="24"/>
        </w:rPr>
        <w:t>(</w:t>
      </w:r>
      <w:r w:rsidR="002B2D82" w:rsidRPr="003A3571">
        <w:rPr>
          <w:rFonts w:ascii="Times New Roman" w:hAnsi="Times New Roman" w:cs="Times New Roman"/>
          <w:b/>
          <w:bCs/>
          <w:sz w:val="24"/>
        </w:rPr>
        <w:t>C</w:t>
      </w:r>
      <w:r w:rsidRPr="003A3571">
        <w:rPr>
          <w:rFonts w:ascii="Times New Roman" w:hAnsi="Times New Roman" w:cs="Times New Roman"/>
          <w:b/>
          <w:bCs/>
          <w:sz w:val="24"/>
        </w:rPr>
        <w:t>)</w:t>
      </w:r>
      <w:r w:rsidR="002B2D82" w:rsidRPr="003A3571">
        <w:rPr>
          <w:rFonts w:ascii="Times New Roman" w:hAnsi="Times New Roman" w:cs="Times New Roman"/>
          <w:sz w:val="24"/>
        </w:rPr>
        <w:t xml:space="preserve">. 100 </w:t>
      </w:r>
      <w:r w:rsidR="002B2D82" w:rsidRPr="003A3571">
        <w:rPr>
          <w:rFonts w:ascii="Times New Roman" w:hAnsi="Times New Roman" w:cs="Times New Roman"/>
          <w:sz w:val="24"/>
        </w:rPr>
        <w:sym w:font="Symbol" w:char="F06D"/>
      </w:r>
      <w:r w:rsidR="002B2D82" w:rsidRPr="003A3571">
        <w:rPr>
          <w:rFonts w:ascii="Times New Roman" w:hAnsi="Times New Roman" w:cs="Times New Roman"/>
          <w:sz w:val="24"/>
        </w:rPr>
        <w:t>g of anti-NK1.1 were injected intraperitoneally every 6 days to deplete the above immune cells,</w:t>
      </w:r>
      <w:r w:rsidRPr="003A3571">
        <w:rPr>
          <w:rFonts w:ascii="Times New Roman" w:hAnsi="Times New Roman" w:cs="Times New Roman"/>
          <w:sz w:val="24"/>
        </w:rPr>
        <w:t xml:space="preserve"> NK cells </w:t>
      </w:r>
      <w:r w:rsidRPr="003A3571">
        <w:rPr>
          <w:rFonts w:ascii="Times New Roman" w:hAnsi="Times New Roman" w:cs="Times New Roman"/>
          <w:sz w:val="24"/>
        </w:rPr>
        <w:lastRenderedPageBreak/>
        <w:t xml:space="preserve">successfully depleted. </w:t>
      </w:r>
    </w:p>
    <w:p w14:paraId="6EA84880" w14:textId="08BEA2A7" w:rsidR="002F133A" w:rsidRPr="003A3571" w:rsidRDefault="002F133A">
      <w:pPr>
        <w:rPr>
          <w:rFonts w:ascii="Times New Roman" w:hAnsi="Times New Roman" w:cs="Times New Roman"/>
          <w:sz w:val="24"/>
        </w:rPr>
      </w:pPr>
    </w:p>
    <w:p w14:paraId="703CAA3F" w14:textId="77777777" w:rsidR="00B52C39" w:rsidRPr="003A3571" w:rsidRDefault="00B52C39">
      <w:pPr>
        <w:rPr>
          <w:rFonts w:ascii="Times New Roman" w:hAnsi="Times New Roman" w:cs="Times New Roman"/>
          <w:sz w:val="24"/>
        </w:rPr>
      </w:pPr>
    </w:p>
    <w:p w14:paraId="102974DA" w14:textId="3FFAB2CE" w:rsidR="002F133A" w:rsidRPr="003A3571" w:rsidRDefault="002F133A">
      <w:pPr>
        <w:rPr>
          <w:rFonts w:ascii="Times New Roman" w:hAnsi="Times New Roman" w:cs="Times New Roman"/>
          <w:sz w:val="24"/>
        </w:rPr>
      </w:pPr>
      <w:r w:rsidRPr="003A3571">
        <w:rPr>
          <w:rFonts w:ascii="Times New Roman" w:hAnsi="Times New Roman" w:cs="Times New Roman"/>
          <w:noProof/>
          <w:sz w:val="24"/>
        </w:rPr>
        <w:drawing>
          <wp:inline distT="0" distB="0" distL="0" distR="0" wp14:anchorId="0FAA6D18" wp14:editId="1CB42793">
            <wp:extent cx="5274310" cy="2327275"/>
            <wp:effectExtent l="0" t="0" r="0" b="0"/>
            <wp:docPr id="1575429956" name="图片 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429956" name="图片 4" descr="图示&#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327275"/>
                    </a:xfrm>
                    <a:prstGeom prst="rect">
                      <a:avLst/>
                    </a:prstGeom>
                  </pic:spPr>
                </pic:pic>
              </a:graphicData>
            </a:graphic>
          </wp:inline>
        </w:drawing>
      </w:r>
    </w:p>
    <w:p w14:paraId="4E460B44" w14:textId="419BFD61" w:rsidR="004901C9" w:rsidRPr="003A3571" w:rsidRDefault="00FC55B5">
      <w:pPr>
        <w:rPr>
          <w:rFonts w:ascii="Times New Roman" w:hAnsi="Times New Roman" w:cs="Times New Roman"/>
          <w:b/>
          <w:bCs/>
          <w:sz w:val="24"/>
        </w:rPr>
      </w:pPr>
      <w:r w:rsidRPr="003A3571">
        <w:rPr>
          <w:rFonts w:ascii="Times New Roman" w:hAnsi="Times New Roman" w:cs="Times New Roman"/>
          <w:b/>
          <w:bCs/>
          <w:sz w:val="24"/>
        </w:rPr>
        <w:t xml:space="preserve">Fig </w:t>
      </w:r>
      <w:r w:rsidR="003A3571" w:rsidRPr="003A3571">
        <w:rPr>
          <w:rFonts w:ascii="Times New Roman" w:hAnsi="Times New Roman" w:cs="Times New Roman"/>
          <w:b/>
          <w:bCs/>
          <w:sz w:val="24"/>
        </w:rPr>
        <w:t>S</w:t>
      </w:r>
      <w:r w:rsidRPr="003A3571">
        <w:rPr>
          <w:rFonts w:ascii="Times New Roman" w:hAnsi="Times New Roman" w:cs="Times New Roman"/>
          <w:b/>
          <w:bCs/>
          <w:sz w:val="24"/>
        </w:rPr>
        <w:t>4</w:t>
      </w:r>
      <w:r w:rsidR="009D21AD" w:rsidRPr="003A3571">
        <w:rPr>
          <w:rFonts w:ascii="Times New Roman" w:hAnsi="Times New Roman" w:cs="Times New Roman"/>
          <w:b/>
          <w:bCs/>
          <w:sz w:val="24"/>
        </w:rPr>
        <w:t>.</w:t>
      </w:r>
    </w:p>
    <w:p w14:paraId="43F5C4CC" w14:textId="3E6A9ED0" w:rsidR="004901C9" w:rsidRPr="003A3571" w:rsidRDefault="004901C9" w:rsidP="003A3571">
      <w:pPr>
        <w:spacing w:line="360" w:lineRule="auto"/>
        <w:rPr>
          <w:rFonts w:ascii="Times New Roman" w:hAnsi="Times New Roman" w:cs="Times New Roman"/>
          <w:sz w:val="24"/>
        </w:rPr>
      </w:pPr>
      <w:r w:rsidRPr="003A3571">
        <w:rPr>
          <w:rFonts w:ascii="Times New Roman" w:hAnsi="Times New Roman" w:cs="Times New Roman"/>
          <w:sz w:val="24"/>
        </w:rPr>
        <w:t xml:space="preserve">Construct a mouse tumor bearing treatment model and use WB technology to detect the expression of two phosphorylation sites of STAT1.Separate tumor tissue into single cell suspension and extract protein. </w:t>
      </w:r>
      <w:r w:rsidRPr="003A3571">
        <w:rPr>
          <w:rFonts w:ascii="Times New Roman" w:hAnsi="Times New Roman" w:cs="Times New Roman"/>
          <w:b/>
          <w:bCs/>
          <w:sz w:val="24"/>
        </w:rPr>
        <w:t>(A,</w:t>
      </w:r>
      <w:r w:rsidR="003A3571">
        <w:rPr>
          <w:rFonts w:ascii="Times New Roman" w:hAnsi="Times New Roman" w:cs="Times New Roman"/>
          <w:b/>
          <w:bCs/>
          <w:sz w:val="24"/>
        </w:rPr>
        <w:t xml:space="preserve"> </w:t>
      </w:r>
      <w:r w:rsidRPr="003A3571">
        <w:rPr>
          <w:rFonts w:ascii="Times New Roman" w:hAnsi="Times New Roman" w:cs="Times New Roman"/>
          <w:b/>
          <w:bCs/>
          <w:sz w:val="24"/>
        </w:rPr>
        <w:t>B)</w:t>
      </w:r>
      <w:r w:rsidRPr="003A3571">
        <w:rPr>
          <w:rFonts w:ascii="Times New Roman" w:hAnsi="Times New Roman" w:cs="Times New Roman"/>
          <w:sz w:val="24"/>
        </w:rPr>
        <w:t xml:space="preserve"> Perform protein blotting to evaluate the expression of STAT1 (p-STAT1; Ser727/Tyr701). β-Actin was used as an internal load control. Data are representative of at least 2 independent experiences and are presented as the mean ± SD. NS, not significant</w:t>
      </w:r>
      <w:r w:rsidR="00355C34" w:rsidRPr="003A3571">
        <w:rPr>
          <w:rFonts w:ascii="Times New Roman" w:hAnsi="Times New Roman" w:cs="Times New Roman"/>
          <w:sz w:val="24"/>
        </w:rPr>
        <w:t xml:space="preserve">. </w:t>
      </w:r>
      <w:r w:rsidR="00355C34" w:rsidRPr="003A3571">
        <w:rPr>
          <w:rFonts w:ascii="Times New Roman" w:hAnsi="Times New Roman" w:cs="Times New Roman"/>
          <w:sz w:val="24"/>
          <w:vertAlign w:val="superscript"/>
        </w:rPr>
        <w:t>*</w:t>
      </w:r>
      <w:r w:rsidR="00355C34" w:rsidRPr="003A3571">
        <w:rPr>
          <w:rFonts w:ascii="Times New Roman" w:hAnsi="Times New Roman" w:cs="Times New Roman"/>
          <w:i/>
          <w:iCs/>
          <w:sz w:val="24"/>
        </w:rPr>
        <w:t>P</w:t>
      </w:r>
      <w:r w:rsidR="00355C34" w:rsidRPr="003A3571">
        <w:rPr>
          <w:rFonts w:ascii="Times New Roman" w:hAnsi="Times New Roman" w:cs="Times New Roman"/>
          <w:sz w:val="24"/>
        </w:rPr>
        <w:t xml:space="preserve"> &lt; 0.05 </w:t>
      </w:r>
      <w:r w:rsidRPr="003A3571">
        <w:rPr>
          <w:rFonts w:ascii="Times New Roman" w:hAnsi="Times New Roman" w:cs="Times New Roman"/>
          <w:sz w:val="24"/>
        </w:rPr>
        <w:t xml:space="preserve">by one way ANOVA test </w:t>
      </w:r>
      <w:r w:rsidRPr="003A3571">
        <w:rPr>
          <w:rFonts w:ascii="Times New Roman" w:hAnsi="Times New Roman" w:cs="Times New Roman"/>
          <w:b/>
          <w:bCs/>
          <w:sz w:val="24"/>
        </w:rPr>
        <w:t>(A, B)</w:t>
      </w:r>
      <w:r w:rsidR="00355C34" w:rsidRPr="003A3571">
        <w:rPr>
          <w:rFonts w:ascii="Times New Roman" w:hAnsi="Times New Roman" w:cs="Times New Roman"/>
          <w:sz w:val="24"/>
        </w:rPr>
        <w:t>.</w:t>
      </w:r>
    </w:p>
    <w:p w14:paraId="650A5409" w14:textId="77777777" w:rsidR="00D75B8E" w:rsidRPr="003A3571" w:rsidRDefault="00D75B8E" w:rsidP="004901C9">
      <w:pPr>
        <w:rPr>
          <w:rFonts w:ascii="Times New Roman" w:hAnsi="Times New Roman" w:cs="Times New Roman"/>
          <w:sz w:val="24"/>
        </w:rPr>
      </w:pPr>
    </w:p>
    <w:p w14:paraId="39C26FF2" w14:textId="1E42FC54" w:rsidR="002F133A" w:rsidRPr="003A3571" w:rsidRDefault="002F133A">
      <w:pPr>
        <w:rPr>
          <w:rFonts w:ascii="Times New Roman" w:hAnsi="Times New Roman" w:cs="Times New Roman"/>
          <w:sz w:val="24"/>
        </w:rPr>
      </w:pPr>
      <w:r w:rsidRPr="003A3571">
        <w:rPr>
          <w:rFonts w:ascii="Times New Roman" w:hAnsi="Times New Roman" w:cs="Times New Roman"/>
          <w:noProof/>
          <w:sz w:val="24"/>
        </w:rPr>
        <w:drawing>
          <wp:inline distT="0" distB="0" distL="0" distR="0" wp14:anchorId="0AD6F085" wp14:editId="105F849A">
            <wp:extent cx="3517900" cy="2628900"/>
            <wp:effectExtent l="0" t="0" r="0" b="0"/>
            <wp:docPr id="480922928" name="图片 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22928" name="图片 5" descr="图表&#10;&#10;描述已自动生成"/>
                    <pic:cNvPicPr/>
                  </pic:nvPicPr>
                  <pic:blipFill>
                    <a:blip r:embed="rId9">
                      <a:extLst>
                        <a:ext uri="{28A0092B-C50C-407E-A947-70E740481C1C}">
                          <a14:useLocalDpi xmlns:a14="http://schemas.microsoft.com/office/drawing/2010/main" val="0"/>
                        </a:ext>
                      </a:extLst>
                    </a:blip>
                    <a:stretch>
                      <a:fillRect/>
                    </a:stretch>
                  </pic:blipFill>
                  <pic:spPr>
                    <a:xfrm>
                      <a:off x="0" y="0"/>
                      <a:ext cx="3517900" cy="2628900"/>
                    </a:xfrm>
                    <a:prstGeom prst="rect">
                      <a:avLst/>
                    </a:prstGeom>
                  </pic:spPr>
                </pic:pic>
              </a:graphicData>
            </a:graphic>
          </wp:inline>
        </w:drawing>
      </w:r>
    </w:p>
    <w:p w14:paraId="7E6F7C53" w14:textId="18544EA1" w:rsidR="002F133A" w:rsidRPr="003A3571" w:rsidRDefault="00FC55B5">
      <w:pPr>
        <w:rPr>
          <w:rFonts w:ascii="Times New Roman" w:hAnsi="Times New Roman" w:cs="Times New Roman"/>
          <w:b/>
          <w:bCs/>
          <w:sz w:val="24"/>
        </w:rPr>
      </w:pPr>
      <w:r w:rsidRPr="003A3571">
        <w:rPr>
          <w:rFonts w:ascii="Times New Roman" w:hAnsi="Times New Roman" w:cs="Times New Roman"/>
          <w:b/>
          <w:bCs/>
          <w:sz w:val="24"/>
        </w:rPr>
        <w:t>Fig</w:t>
      </w:r>
      <w:r w:rsidR="00355C34" w:rsidRPr="003A3571">
        <w:rPr>
          <w:rFonts w:ascii="Times New Roman" w:hAnsi="Times New Roman" w:cs="Times New Roman"/>
          <w:b/>
          <w:bCs/>
          <w:sz w:val="24"/>
        </w:rPr>
        <w:t xml:space="preserve"> </w:t>
      </w:r>
      <w:r w:rsidR="003A3571" w:rsidRPr="003A3571">
        <w:rPr>
          <w:rFonts w:ascii="Times New Roman" w:hAnsi="Times New Roman" w:cs="Times New Roman"/>
          <w:b/>
          <w:bCs/>
          <w:sz w:val="24"/>
        </w:rPr>
        <w:t>S</w:t>
      </w:r>
      <w:r w:rsidRPr="003A3571">
        <w:rPr>
          <w:rFonts w:ascii="Times New Roman" w:hAnsi="Times New Roman" w:cs="Times New Roman"/>
          <w:b/>
          <w:bCs/>
          <w:sz w:val="24"/>
        </w:rPr>
        <w:t>5</w:t>
      </w:r>
      <w:r w:rsidR="009D21AD" w:rsidRPr="003A3571">
        <w:rPr>
          <w:rFonts w:ascii="Times New Roman" w:hAnsi="Times New Roman" w:cs="Times New Roman"/>
          <w:b/>
          <w:bCs/>
          <w:sz w:val="24"/>
        </w:rPr>
        <w:t>.</w:t>
      </w:r>
    </w:p>
    <w:p w14:paraId="0BC7EFF0" w14:textId="1B5B72BF" w:rsidR="00D75B8E" w:rsidRPr="003A3571" w:rsidRDefault="00D12A37" w:rsidP="003A3571">
      <w:pPr>
        <w:spacing w:line="360" w:lineRule="auto"/>
        <w:rPr>
          <w:rFonts w:ascii="Times New Roman" w:eastAsia="宋体" w:hAnsi="Times New Roman" w:cs="Times New Roman"/>
          <w:sz w:val="24"/>
        </w:rPr>
      </w:pPr>
      <w:r w:rsidRPr="003A3571">
        <w:rPr>
          <w:rFonts w:ascii="Times New Roman" w:hAnsi="Times New Roman" w:cs="Times New Roman"/>
          <w:sz w:val="24"/>
        </w:rPr>
        <w:t>Single spleen cell suspensions were added to membrane base 96‐well ELISPOT plate (Millipore, Bedford, MA) coated with anti‐IFN‐</w:t>
      </w:r>
      <w:r w:rsidRPr="003A3571">
        <w:rPr>
          <w:rFonts w:ascii="Times New Roman" w:hAnsi="Times New Roman" w:cs="Times New Roman"/>
          <w:i/>
          <w:iCs/>
          <w:sz w:val="24"/>
        </w:rPr>
        <w:t>γ</w:t>
      </w:r>
      <w:r w:rsidRPr="003A3571">
        <w:rPr>
          <w:rFonts w:ascii="Times New Roman" w:hAnsi="Times New Roman" w:cs="Times New Roman"/>
          <w:sz w:val="24"/>
        </w:rPr>
        <w:t> (BD Harlingen, San Diego, CA).</w:t>
      </w:r>
      <w:r w:rsidR="004D5D0D" w:rsidRPr="003A3571">
        <w:rPr>
          <w:rFonts w:ascii="Times New Roman" w:hAnsi="Times New Roman" w:cs="Times New Roman"/>
          <w:sz w:val="24"/>
        </w:rPr>
        <w:t xml:space="preserve"> </w:t>
      </w:r>
      <w:r w:rsidR="00AD6D68" w:rsidRPr="003A3571">
        <w:rPr>
          <w:rFonts w:ascii="Times New Roman" w:hAnsi="Times New Roman" w:cs="Times New Roman"/>
          <w:sz w:val="24"/>
        </w:rPr>
        <w:t xml:space="preserve">B16 </w:t>
      </w:r>
      <w:r w:rsidRPr="003A3571">
        <w:rPr>
          <w:rFonts w:ascii="Times New Roman" w:hAnsi="Times New Roman" w:cs="Times New Roman"/>
          <w:sz w:val="24"/>
        </w:rPr>
        <w:lastRenderedPageBreak/>
        <w:t xml:space="preserve">CTL epitope </w:t>
      </w:r>
      <w:r w:rsidR="00AD6D68" w:rsidRPr="003A3571">
        <w:rPr>
          <w:rFonts w:ascii="Times New Roman" w:eastAsia="宋体" w:hAnsi="Times New Roman" w:cs="Times New Roman"/>
          <w:sz w:val="24"/>
        </w:rPr>
        <w:t>SVYDFFVWL</w:t>
      </w:r>
      <w:r w:rsidRPr="003A3571">
        <w:rPr>
          <w:rFonts w:ascii="Times New Roman" w:hAnsi="Times New Roman" w:cs="Times New Roman"/>
          <w:sz w:val="24"/>
        </w:rPr>
        <w:t xml:space="preserve"> was added at various concentrations, and cells were incubated with the peptide overnight at 37°C with 5% CO2. The plate was incubated with detection antibody (a biotinylated anti‐mouse IFN‐</w:t>
      </w:r>
      <w:r w:rsidRPr="003A3571">
        <w:rPr>
          <w:rFonts w:ascii="Times New Roman" w:hAnsi="Times New Roman" w:cs="Times New Roman"/>
          <w:i/>
          <w:iCs/>
          <w:sz w:val="24"/>
        </w:rPr>
        <w:t>γ</w:t>
      </w:r>
      <w:r w:rsidRPr="003A3571">
        <w:rPr>
          <w:rFonts w:ascii="Times New Roman" w:hAnsi="Times New Roman" w:cs="Times New Roman"/>
          <w:sz w:val="24"/>
        </w:rPr>
        <w:t> antibody; BD Harlingen, San Diego, CA) after extensive washing in wash buffer for 2h at room temperature. Antigen‐specific IFN‐</w:t>
      </w:r>
      <w:r w:rsidRPr="003A3571">
        <w:rPr>
          <w:rFonts w:ascii="Times New Roman" w:hAnsi="Times New Roman" w:cs="Times New Roman"/>
          <w:i/>
          <w:iCs/>
          <w:sz w:val="24"/>
        </w:rPr>
        <w:t>γ‐</w:t>
      </w:r>
      <w:r w:rsidRPr="003A3571">
        <w:rPr>
          <w:rFonts w:ascii="Times New Roman" w:hAnsi="Times New Roman" w:cs="Times New Roman"/>
          <w:sz w:val="24"/>
        </w:rPr>
        <w:t>secreting cells were detected by sequential exposure of the plate to avidin–horseradish peroxidase (Sigma‐Aldrich) and DAB (Sigma‐Aldrich). The plate was washed and allowed to air‐dry overnight, and foci of staining were counted by the ELISPOT reader system (CTL, Germany).</w:t>
      </w:r>
    </w:p>
    <w:sectPr w:rsidR="00D75B8E" w:rsidRPr="003A35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11D"/>
    <w:multiLevelType w:val="hybridMultilevel"/>
    <w:tmpl w:val="7228ECAA"/>
    <w:lvl w:ilvl="0" w:tplc="7C3A2CC8">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9F82CA0"/>
    <w:multiLevelType w:val="hybridMultilevel"/>
    <w:tmpl w:val="5F98D078"/>
    <w:lvl w:ilvl="0" w:tplc="6C04439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850432F"/>
    <w:multiLevelType w:val="hybridMultilevel"/>
    <w:tmpl w:val="AE241C2E"/>
    <w:lvl w:ilvl="0" w:tplc="BF1C24C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A3976EF"/>
    <w:multiLevelType w:val="hybridMultilevel"/>
    <w:tmpl w:val="190AD52C"/>
    <w:lvl w:ilvl="0" w:tplc="B8B220D0">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72444447">
    <w:abstractNumId w:val="3"/>
  </w:num>
  <w:num w:numId="2" w16cid:durableId="1558515393">
    <w:abstractNumId w:val="1"/>
  </w:num>
  <w:num w:numId="3" w16cid:durableId="1303004810">
    <w:abstractNumId w:val="2"/>
  </w:num>
  <w:num w:numId="4" w16cid:durableId="1729766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3A"/>
    <w:rsid w:val="000065FA"/>
    <w:rsid w:val="000C09C5"/>
    <w:rsid w:val="001356E7"/>
    <w:rsid w:val="00167DAF"/>
    <w:rsid w:val="001B29B8"/>
    <w:rsid w:val="00210912"/>
    <w:rsid w:val="00213DBF"/>
    <w:rsid w:val="002B2D82"/>
    <w:rsid w:val="002F133A"/>
    <w:rsid w:val="00353812"/>
    <w:rsid w:val="00355281"/>
    <w:rsid w:val="00355C34"/>
    <w:rsid w:val="003A3571"/>
    <w:rsid w:val="003C6EE7"/>
    <w:rsid w:val="00442006"/>
    <w:rsid w:val="004901C9"/>
    <w:rsid w:val="004A64CA"/>
    <w:rsid w:val="004D5D0D"/>
    <w:rsid w:val="005619F3"/>
    <w:rsid w:val="005C0BBE"/>
    <w:rsid w:val="006159A2"/>
    <w:rsid w:val="00646BD9"/>
    <w:rsid w:val="00687567"/>
    <w:rsid w:val="009534E0"/>
    <w:rsid w:val="009B5B32"/>
    <w:rsid w:val="009B6A7F"/>
    <w:rsid w:val="009D21AD"/>
    <w:rsid w:val="00A647AE"/>
    <w:rsid w:val="00A744A4"/>
    <w:rsid w:val="00A8242E"/>
    <w:rsid w:val="00A86EF4"/>
    <w:rsid w:val="00A96FB9"/>
    <w:rsid w:val="00AD6D68"/>
    <w:rsid w:val="00B1116B"/>
    <w:rsid w:val="00B15786"/>
    <w:rsid w:val="00B52C39"/>
    <w:rsid w:val="00B93A08"/>
    <w:rsid w:val="00C025E9"/>
    <w:rsid w:val="00C052C2"/>
    <w:rsid w:val="00C867BD"/>
    <w:rsid w:val="00CA12F6"/>
    <w:rsid w:val="00CC3860"/>
    <w:rsid w:val="00D12A37"/>
    <w:rsid w:val="00D1377A"/>
    <w:rsid w:val="00D75B8E"/>
    <w:rsid w:val="00D930C3"/>
    <w:rsid w:val="00E36440"/>
    <w:rsid w:val="00EA2E27"/>
    <w:rsid w:val="00ED15AD"/>
    <w:rsid w:val="00ED3A70"/>
    <w:rsid w:val="00EF595F"/>
    <w:rsid w:val="00F24705"/>
    <w:rsid w:val="00F2547B"/>
    <w:rsid w:val="00F7549A"/>
    <w:rsid w:val="00FC55B5"/>
    <w:rsid w:val="00FE6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B4FBB06"/>
  <w15:chartTrackingRefBased/>
  <w15:docId w15:val="{2983EBA2-0884-5D46-A42B-423BBD99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55B5"/>
    <w:pPr>
      <w:ind w:firstLineChars="200" w:firstLine="420"/>
    </w:pPr>
  </w:style>
  <w:style w:type="character" w:styleId="a4">
    <w:name w:val="Emphasis"/>
    <w:basedOn w:val="a0"/>
    <w:uiPriority w:val="20"/>
    <w:qFormat/>
    <w:rsid w:val="00D12A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4</Pages>
  <Words>489</Words>
  <Characters>2789</Characters>
  <Application>Microsoft Office Word</Application>
  <DocSecurity>0</DocSecurity>
  <Lines>23</Lines>
  <Paragraphs>6</Paragraphs>
  <ScaleCrop>false</ScaleCrop>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俊杰 李</dc:creator>
  <cp:keywords/>
  <dc:description/>
  <cp:lastModifiedBy>俊杰 李</cp:lastModifiedBy>
  <cp:revision>7</cp:revision>
  <dcterms:created xsi:type="dcterms:W3CDTF">2023-09-18T05:56:00Z</dcterms:created>
  <dcterms:modified xsi:type="dcterms:W3CDTF">2023-11-05T15:35:00Z</dcterms:modified>
</cp:coreProperties>
</file>