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40B4" w:rsidRDefault="00EF40B4" w:rsidP="00EF40B4">
      <w:pPr>
        <w:spacing w:line="480" w:lineRule="auto"/>
        <w:rPr>
          <w:rFonts w:ascii="Times New Roman" w:hAnsi="Times New Roman" w:cs="Times New Roman"/>
          <w:sz w:val="28"/>
          <w:szCs w:val="28"/>
        </w:rPr>
      </w:pPr>
      <w:r w:rsidRPr="008A1DDC">
        <w:rPr>
          <w:rFonts w:ascii="Times New Roman" w:hAnsi="Times New Roman" w:cs="Times New Roman"/>
          <w:sz w:val="28"/>
          <w:szCs w:val="28"/>
        </w:rPr>
        <w:t>ACCESS TO ESSENTIAL MEDICINES FOR DIABETES CARE: AVAILABILITY, PRICE AND AFFORDABILITY IN CENTRAL ETHIOPIA</w:t>
      </w:r>
    </w:p>
    <w:p w:rsidR="001220AE" w:rsidRDefault="00EF40B4" w:rsidP="001220AE">
      <w:pPr>
        <w:spacing w:line="480" w:lineRule="auto"/>
        <w:rPr>
          <w:rFonts w:ascii="Times New Roman" w:hAnsi="Times New Roman" w:cs="Times New Roman"/>
          <w:sz w:val="28"/>
          <w:szCs w:val="28"/>
        </w:rPr>
      </w:pPr>
      <w:r>
        <w:rPr>
          <w:rFonts w:ascii="Times New Roman" w:hAnsi="Times New Roman" w:cs="Times New Roman"/>
          <w:sz w:val="28"/>
          <w:szCs w:val="28"/>
        </w:rPr>
        <w:t>SUPPLEMENTARY FILES</w:t>
      </w:r>
      <w:bookmarkStart w:id="0" w:name="_Toc24383197"/>
      <w:bookmarkStart w:id="1" w:name="_Toc24382791"/>
      <w:bookmarkStart w:id="2" w:name="_Toc24624932"/>
      <w:bookmarkStart w:id="3" w:name="_Toc27904369"/>
      <w:bookmarkStart w:id="4" w:name="_Toc27904933"/>
    </w:p>
    <w:p w:rsidR="001220AE" w:rsidRDefault="005D5FDF" w:rsidP="001220AE">
      <w:pPr>
        <w:spacing w:line="480" w:lineRule="auto"/>
        <w:jc w:val="center"/>
        <w:rPr>
          <w:rFonts w:ascii="Times New Roman" w:eastAsiaTheme="majorEastAsia" w:hAnsi="Times New Roman" w:cs="Times New Roman"/>
          <w:b/>
          <w:bCs/>
          <w:color w:val="000000" w:themeColor="text1"/>
          <w:sz w:val="24"/>
          <w:szCs w:val="24"/>
        </w:rPr>
      </w:pPr>
      <w:r w:rsidRPr="005D5FDF">
        <w:rPr>
          <w:rFonts w:ascii="Times New Roman" w:hAnsi="Times New Roman" w:cs="Times New Roman"/>
          <w:b/>
          <w:bCs/>
          <w:sz w:val="24"/>
          <w:szCs w:val="24"/>
        </w:rPr>
        <w:t xml:space="preserve">Annex I.  </w:t>
      </w:r>
      <w:bookmarkStart w:id="5" w:name="_Toc116532468"/>
      <w:r w:rsidRPr="005D5FDF">
        <w:rPr>
          <w:rFonts w:ascii="Times New Roman" w:eastAsiaTheme="majorEastAsia" w:hAnsi="Times New Roman" w:cs="Times New Roman"/>
          <w:b/>
          <w:bCs/>
          <w:color w:val="000000" w:themeColor="text1"/>
          <w:sz w:val="24"/>
          <w:szCs w:val="24"/>
        </w:rPr>
        <w:t>Ethical consideration</w:t>
      </w:r>
      <w:bookmarkEnd w:id="5"/>
    </w:p>
    <w:p w:rsidR="001220AE" w:rsidRDefault="00D6717A" w:rsidP="001220AE">
      <w:pPr>
        <w:spacing w:line="480" w:lineRule="auto"/>
        <w:jc w:val="center"/>
        <w:rPr>
          <w:rFonts w:ascii="Times New Roman" w:eastAsiaTheme="majorEastAsia" w:hAnsi="Times New Roman" w:cs="Times New Roman"/>
          <w:b/>
          <w:bCs/>
          <w:color w:val="000000" w:themeColor="text1"/>
          <w:sz w:val="24"/>
          <w:szCs w:val="24"/>
        </w:rPr>
      </w:pPr>
      <w:r w:rsidRPr="00D6717A">
        <w:rPr>
          <w:rFonts w:ascii="Times New Roman" w:eastAsia="Calibri" w:hAnsi="Times New Roman" w:cs="Times New Roman"/>
          <w:noProof/>
          <w:kern w:val="0"/>
          <w:sz w:val="24"/>
          <w:szCs w:val="24"/>
          <w:lang w:val="en-GB" w:eastAsia="en-GB"/>
          <w14:ligatures w14:val="none"/>
        </w:rPr>
        <w:drawing>
          <wp:inline distT="0" distB="0" distL="0" distR="0" wp14:anchorId="13509CB8" wp14:editId="1698FE9C">
            <wp:extent cx="5941856" cy="6025019"/>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50055" cy="6033333"/>
                    </a:xfrm>
                    <a:prstGeom prst="rect">
                      <a:avLst/>
                    </a:prstGeom>
                    <a:noFill/>
                    <a:ln>
                      <a:noFill/>
                    </a:ln>
                  </pic:spPr>
                </pic:pic>
              </a:graphicData>
            </a:graphic>
          </wp:inline>
        </w:drawing>
      </w:r>
    </w:p>
    <w:p w:rsidR="00314C2F" w:rsidRPr="001220AE" w:rsidRDefault="00314C2F" w:rsidP="001220AE">
      <w:pPr>
        <w:spacing w:line="480" w:lineRule="auto"/>
        <w:jc w:val="center"/>
        <w:rPr>
          <w:rFonts w:ascii="Times New Roman" w:hAnsi="Times New Roman" w:cs="Times New Roman"/>
          <w:sz w:val="28"/>
          <w:szCs w:val="28"/>
        </w:rPr>
      </w:pPr>
      <w:r w:rsidRPr="005D5FDF">
        <w:rPr>
          <w:rFonts w:ascii="Times New Roman" w:hAnsi="Times New Roman" w:cs="Times New Roman"/>
          <w:b/>
          <w:bCs/>
          <w:sz w:val="24"/>
        </w:rPr>
        <w:lastRenderedPageBreak/>
        <w:t xml:space="preserve">Annex </w:t>
      </w:r>
      <w:r w:rsidR="005D5FDF" w:rsidRPr="005D5FDF">
        <w:rPr>
          <w:rFonts w:ascii="Times New Roman" w:hAnsi="Times New Roman" w:cs="Times New Roman"/>
          <w:b/>
          <w:bCs/>
          <w:sz w:val="24"/>
        </w:rPr>
        <w:t>I</w:t>
      </w:r>
      <w:r w:rsidRPr="005D5FDF">
        <w:rPr>
          <w:rFonts w:ascii="Times New Roman" w:hAnsi="Times New Roman" w:cs="Times New Roman"/>
          <w:b/>
          <w:bCs/>
          <w:sz w:val="24"/>
        </w:rPr>
        <w:t>I.  Information sheet and consent form</w:t>
      </w:r>
      <w:bookmarkEnd w:id="0"/>
      <w:bookmarkEnd w:id="1"/>
      <w:bookmarkEnd w:id="2"/>
      <w:bookmarkEnd w:id="3"/>
      <w:bookmarkEnd w:id="4"/>
    </w:p>
    <w:p w:rsidR="00314C2F" w:rsidRPr="00AF425D" w:rsidRDefault="00314C2F" w:rsidP="00D44E4B">
      <w:pPr>
        <w:spacing w:line="480" w:lineRule="auto"/>
        <w:jc w:val="both"/>
        <w:rPr>
          <w:rFonts w:ascii="Times New Roman" w:hAnsi="Times New Roman" w:cs="Times New Roman"/>
          <w:sz w:val="28"/>
          <w:szCs w:val="28"/>
        </w:rPr>
      </w:pPr>
      <w:r w:rsidRPr="00AF425D">
        <w:rPr>
          <w:rFonts w:ascii="Times New Roman" w:hAnsi="Times New Roman" w:cs="Times New Roman"/>
          <w:sz w:val="24"/>
          <w:szCs w:val="24"/>
        </w:rPr>
        <w:t xml:space="preserve">This study is aimed to assess </w:t>
      </w:r>
      <w:r w:rsidR="00AF425D" w:rsidRPr="00AF425D">
        <w:rPr>
          <w:rFonts w:ascii="Times New Roman" w:hAnsi="Times New Roman" w:cs="Times New Roman"/>
          <w:sz w:val="24"/>
          <w:szCs w:val="24"/>
        </w:rPr>
        <w:t>ACCESS TO ESSENTIAL MEDICINES FOR DIABETES CARE: AVAILABILITY, PRICE AND AFFORDABILITY IN CENTRAL ETHIOPIA</w:t>
      </w:r>
      <w:r w:rsidRPr="00AF425D">
        <w:rPr>
          <w:rFonts w:ascii="Times New Roman" w:hAnsi="Times New Roman" w:cs="Times New Roman"/>
          <w:sz w:val="24"/>
          <w:szCs w:val="24"/>
        </w:rPr>
        <w:t>.</w:t>
      </w:r>
      <w:r>
        <w:rPr>
          <w:rFonts w:ascii="Times New Roman" w:hAnsi="Times New Roman" w:cs="Times New Roman"/>
          <w:sz w:val="24"/>
          <w:szCs w:val="24"/>
        </w:rPr>
        <w:t xml:space="preserve"> To collect data, I, ____________________ invite you to take part in my data collection. If you are willing, you need to understand and sign the consent form. By participating in this research, you may sacrifice your time to provide an important input to show the gap and improve the availability and affordability of essential medicines. The output of the study will have both direct and indirect benefits to you, as you and your families will use the services in the future. You will not be provided any incentive or payment for your good deeds from the researchers except thanking. The data that I collect from your </w:t>
      </w:r>
      <w:r w:rsidR="007F4D9D">
        <w:rPr>
          <w:rFonts w:ascii="Times New Roman" w:hAnsi="Times New Roman" w:cs="Times New Roman"/>
          <w:sz w:val="24"/>
          <w:szCs w:val="24"/>
        </w:rPr>
        <w:t>facility be</w:t>
      </w:r>
      <w:r>
        <w:rPr>
          <w:rFonts w:ascii="Times New Roman" w:hAnsi="Times New Roman" w:cs="Times New Roman"/>
          <w:sz w:val="24"/>
          <w:szCs w:val="24"/>
        </w:rPr>
        <w:t xml:space="preserve"> kept private. Any information about you will have a number on it instead of your name and ownership. Only the researcher will know what your number or code is. It will not be shared with or given to anyone except advisor and data collector. You have the full right to refuse from participating. Your refusal will not affect you from providing any kind of health-related services within the community. </w:t>
      </w:r>
      <w:r w:rsidR="007831D4">
        <w:rPr>
          <w:rFonts w:ascii="Times New Roman" w:hAnsi="Times New Roman" w:cs="Times New Roman"/>
          <w:sz w:val="24"/>
          <w:szCs w:val="24"/>
        </w:rPr>
        <w:t>If you want to</w:t>
      </w:r>
      <w:r>
        <w:rPr>
          <w:rFonts w:ascii="Times New Roman" w:hAnsi="Times New Roman" w:cs="Times New Roman"/>
          <w:sz w:val="24"/>
          <w:szCs w:val="24"/>
        </w:rPr>
        <w:t xml:space="preserve"> know more information, you can contact the following:</w:t>
      </w:r>
    </w:p>
    <w:p w:rsidR="00EA6301" w:rsidRPr="006A2636" w:rsidRDefault="00F202BA" w:rsidP="00314C2F">
      <w:pPr>
        <w:tabs>
          <w:tab w:val="left" w:pos="3533"/>
        </w:tabs>
        <w:spacing w:line="480" w:lineRule="auto"/>
        <w:rPr>
          <w:rFonts w:ascii="Times New Roman" w:hAnsi="Times New Roman" w:cs="Times New Roman"/>
          <w:sz w:val="24"/>
          <w:szCs w:val="24"/>
          <w:highlight w:val="yellow"/>
        </w:rPr>
      </w:pPr>
      <w:r>
        <w:rPr>
          <w:rFonts w:ascii="Times New Roman" w:hAnsi="Times New Roman" w:cs="Times New Roman"/>
          <w:sz w:val="24"/>
          <w:szCs w:val="24"/>
        </w:rPr>
        <w:t xml:space="preserve">Hachalu Dugasa </w:t>
      </w:r>
      <w:r w:rsidR="00314C2F">
        <w:rPr>
          <w:rFonts w:ascii="Times New Roman" w:hAnsi="Times New Roman" w:cs="Times New Roman"/>
          <w:sz w:val="24"/>
          <w:szCs w:val="24"/>
        </w:rPr>
        <w:t>(091</w:t>
      </w:r>
      <w:r>
        <w:rPr>
          <w:rFonts w:ascii="Times New Roman" w:hAnsi="Times New Roman" w:cs="Times New Roman"/>
          <w:sz w:val="24"/>
          <w:szCs w:val="24"/>
        </w:rPr>
        <w:t>3240304</w:t>
      </w:r>
      <w:r w:rsidR="00314C2F">
        <w:rPr>
          <w:rFonts w:ascii="Times New Roman" w:hAnsi="Times New Roman" w:cs="Times New Roman"/>
          <w:sz w:val="24"/>
          <w:szCs w:val="24"/>
        </w:rPr>
        <w:t xml:space="preserve">, Email </w:t>
      </w:r>
      <w:hyperlink r:id="rId8" w:history="1">
        <w:r w:rsidR="006A08F4" w:rsidRPr="00E32075">
          <w:rPr>
            <w:rStyle w:val="Hyperlink"/>
            <w:rFonts w:ascii="Times New Roman" w:hAnsi="Times New Roman"/>
            <w:sz w:val="24"/>
            <w:szCs w:val="24"/>
          </w:rPr>
          <w:t>hach…..@gmail.com)/</w:t>
        </w:r>
      </w:hyperlink>
      <w:r w:rsidR="00314C2F">
        <w:rPr>
          <w:rFonts w:ascii="Times New Roman" w:hAnsi="Times New Roman" w:cs="Times New Roman"/>
          <w:sz w:val="24"/>
          <w:szCs w:val="24"/>
        </w:rPr>
        <w:t xml:space="preserve">; </w:t>
      </w:r>
      <w:proofErr w:type="spellStart"/>
      <w:r w:rsidR="00314C2F">
        <w:rPr>
          <w:rFonts w:ascii="Times New Roman" w:hAnsi="Times New Roman" w:cs="Times New Roman"/>
          <w:sz w:val="24"/>
          <w:szCs w:val="24"/>
        </w:rPr>
        <w:t>Habtamu</w:t>
      </w:r>
      <w:proofErr w:type="spellEnd"/>
      <w:r w:rsidR="00314C2F">
        <w:rPr>
          <w:rFonts w:ascii="Times New Roman" w:hAnsi="Times New Roman" w:cs="Times New Roman"/>
          <w:sz w:val="24"/>
          <w:szCs w:val="24"/>
        </w:rPr>
        <w:t xml:space="preserve"> </w:t>
      </w:r>
      <w:proofErr w:type="spellStart"/>
      <w:r w:rsidR="00314C2F">
        <w:rPr>
          <w:rFonts w:ascii="Times New Roman" w:hAnsi="Times New Roman" w:cs="Times New Roman"/>
          <w:sz w:val="24"/>
          <w:szCs w:val="24"/>
        </w:rPr>
        <w:t>Abuye</w:t>
      </w:r>
      <w:proofErr w:type="spellEnd"/>
      <w:r w:rsidR="00314C2F">
        <w:rPr>
          <w:rFonts w:ascii="Times New Roman" w:hAnsi="Times New Roman" w:cs="Times New Roman"/>
          <w:sz w:val="24"/>
          <w:szCs w:val="24"/>
        </w:rPr>
        <w:t xml:space="preserve"> (0913571974, Email </w:t>
      </w:r>
      <w:hyperlink r:id="rId9" w:history="1">
        <w:r w:rsidR="00314C2F" w:rsidRPr="002170DF">
          <w:rPr>
            <w:rStyle w:val="Hyperlink"/>
            <w:rFonts w:ascii="Times New Roman" w:hAnsi="Times New Roman"/>
            <w:sz w:val="24"/>
            <w:szCs w:val="24"/>
          </w:rPr>
          <w:t>harohabe@gmail.com)/</w:t>
        </w:r>
      </w:hyperlink>
      <w:r w:rsidR="00314C2F">
        <w:rPr>
          <w:rFonts w:ascii="Times New Roman" w:hAnsi="Times New Roman" w:cs="Times New Roman"/>
          <w:sz w:val="24"/>
          <w:szCs w:val="24"/>
        </w:rPr>
        <w:t>.</w:t>
      </w:r>
      <w:r w:rsidR="00EA6301">
        <w:rPr>
          <w:rFonts w:ascii="Times New Roman" w:hAnsi="Times New Roman" w:cs="Times New Roman"/>
          <w:sz w:val="24"/>
          <w:szCs w:val="24"/>
        </w:rPr>
        <w:t xml:space="preserve"> ; </w:t>
      </w:r>
      <w:r w:rsidR="00EA6301" w:rsidRPr="006A2636">
        <w:rPr>
          <w:rFonts w:ascii="Times New Roman" w:hAnsi="Times New Roman" w:cs="Times New Roman"/>
          <w:sz w:val="24"/>
          <w:szCs w:val="24"/>
          <w:highlight w:val="yellow"/>
        </w:rPr>
        <w:t xml:space="preserve">Dr. Bruck Messele (0911218450) </w:t>
      </w:r>
    </w:p>
    <w:p w:rsidR="00314C2F" w:rsidRDefault="00EA6301" w:rsidP="00314C2F">
      <w:pPr>
        <w:tabs>
          <w:tab w:val="left" w:pos="3533"/>
        </w:tabs>
        <w:spacing w:line="480" w:lineRule="auto"/>
        <w:rPr>
          <w:rFonts w:ascii="Times New Roman" w:hAnsi="Times New Roman" w:cs="Times New Roman"/>
          <w:sz w:val="24"/>
          <w:szCs w:val="24"/>
        </w:rPr>
      </w:pPr>
      <w:r w:rsidRPr="006A2636">
        <w:rPr>
          <w:rFonts w:ascii="Times New Roman" w:hAnsi="Times New Roman" w:cs="Times New Roman"/>
          <w:sz w:val="24"/>
          <w:szCs w:val="24"/>
          <w:highlight w:val="yellow"/>
        </w:rPr>
        <w:t xml:space="preserve">Email </w:t>
      </w:r>
      <w:hyperlink r:id="rId10" w:history="1">
        <w:r w:rsidRPr="006A2636">
          <w:rPr>
            <w:rStyle w:val="Hyperlink"/>
            <w:rFonts w:ascii="Helvetica" w:hAnsi="Helvetica" w:cstheme="minorBidi"/>
            <w:sz w:val="21"/>
            <w:szCs w:val="21"/>
            <w:highlight w:val="yellow"/>
            <w:shd w:val="clear" w:color="auto" w:fill="FFFFFF"/>
          </w:rPr>
          <w:t>bruck.messele@aau.edu.et</w:t>
        </w:r>
      </w:hyperlink>
      <w:r>
        <w:rPr>
          <w:rFonts w:ascii="Helvetica" w:hAnsi="Helvetica"/>
          <w:color w:val="5E5E5E"/>
          <w:sz w:val="21"/>
          <w:szCs w:val="21"/>
          <w:shd w:val="clear" w:color="auto" w:fill="FFFFFF"/>
        </w:rPr>
        <w:t xml:space="preserve"> </w:t>
      </w:r>
    </w:p>
    <w:p w:rsidR="00314C2F" w:rsidRDefault="00314C2F" w:rsidP="00EF40B4">
      <w:pPr>
        <w:spacing w:line="480" w:lineRule="auto"/>
        <w:rPr>
          <w:rFonts w:ascii="Times New Roman" w:hAnsi="Times New Roman" w:cs="Times New Roman"/>
          <w:sz w:val="28"/>
          <w:szCs w:val="28"/>
        </w:rPr>
      </w:pPr>
    </w:p>
    <w:p w:rsidR="00CA1CB1" w:rsidRDefault="00CA1CB1" w:rsidP="006A08F4">
      <w:pPr>
        <w:tabs>
          <w:tab w:val="left" w:pos="3533"/>
        </w:tabs>
        <w:spacing w:line="480" w:lineRule="auto"/>
        <w:rPr>
          <w:rFonts w:ascii="Times New Roman" w:hAnsi="Times New Roman" w:cs="Times New Roman"/>
          <w:b/>
          <w:bCs/>
          <w:iCs/>
          <w:sz w:val="24"/>
          <w:szCs w:val="24"/>
        </w:rPr>
      </w:pPr>
      <w:bookmarkStart w:id="6" w:name="_Toc116532470"/>
    </w:p>
    <w:p w:rsidR="00CA1CB1" w:rsidRDefault="00CA1CB1" w:rsidP="006A08F4">
      <w:pPr>
        <w:tabs>
          <w:tab w:val="left" w:pos="3533"/>
        </w:tabs>
        <w:spacing w:line="480" w:lineRule="auto"/>
        <w:rPr>
          <w:rFonts w:ascii="Times New Roman" w:hAnsi="Times New Roman" w:cs="Times New Roman"/>
          <w:b/>
          <w:bCs/>
          <w:iCs/>
          <w:sz w:val="24"/>
          <w:szCs w:val="24"/>
        </w:rPr>
      </w:pPr>
    </w:p>
    <w:p w:rsidR="00CA1CB1" w:rsidRDefault="00CA1CB1" w:rsidP="006A08F4">
      <w:pPr>
        <w:tabs>
          <w:tab w:val="left" w:pos="3533"/>
        </w:tabs>
        <w:spacing w:line="480" w:lineRule="auto"/>
        <w:rPr>
          <w:rFonts w:ascii="Times New Roman" w:hAnsi="Times New Roman" w:cs="Times New Roman"/>
          <w:b/>
          <w:bCs/>
          <w:iCs/>
          <w:sz w:val="24"/>
          <w:szCs w:val="24"/>
        </w:rPr>
      </w:pPr>
    </w:p>
    <w:p w:rsidR="006A08F4" w:rsidRDefault="006A08F4" w:rsidP="006A08F4">
      <w:pPr>
        <w:tabs>
          <w:tab w:val="left" w:pos="3533"/>
        </w:tabs>
        <w:spacing w:line="480" w:lineRule="auto"/>
        <w:rPr>
          <w:rFonts w:ascii="Times New Roman" w:hAnsi="Times New Roman" w:cs="Times New Roman"/>
          <w:sz w:val="24"/>
          <w:szCs w:val="24"/>
        </w:rPr>
      </w:pPr>
      <w:r>
        <w:rPr>
          <w:rFonts w:ascii="Times New Roman" w:hAnsi="Times New Roman" w:cs="Times New Roman"/>
          <w:b/>
          <w:bCs/>
          <w:iCs/>
          <w:sz w:val="24"/>
          <w:szCs w:val="24"/>
        </w:rPr>
        <w:lastRenderedPageBreak/>
        <w:t>Consent form</w:t>
      </w:r>
    </w:p>
    <w:p w:rsidR="006A08F4" w:rsidRDefault="006A08F4" w:rsidP="006A08F4">
      <w:pPr>
        <w:tabs>
          <w:tab w:val="left" w:pos="3533"/>
        </w:tabs>
        <w:spacing w:line="480" w:lineRule="auto"/>
        <w:rPr>
          <w:rFonts w:ascii="Times New Roman" w:hAnsi="Times New Roman" w:cs="Times New Roman"/>
          <w:sz w:val="24"/>
          <w:szCs w:val="24"/>
        </w:rPr>
      </w:pPr>
      <w:r>
        <w:rPr>
          <w:rFonts w:ascii="Times New Roman" w:hAnsi="Times New Roman" w:cs="Times New Roman"/>
          <w:sz w:val="24"/>
          <w:szCs w:val="24"/>
        </w:rPr>
        <w:t>With the due understanding of the above information are you willing to participate in the study?</w:t>
      </w:r>
    </w:p>
    <w:p w:rsidR="006A08F4" w:rsidRDefault="006A08F4" w:rsidP="006A08F4">
      <w:pPr>
        <w:tabs>
          <w:tab w:val="left" w:pos="3533"/>
        </w:tabs>
        <w:spacing w:line="480" w:lineRule="auto"/>
        <w:rPr>
          <w:rFonts w:ascii="Times New Roman" w:hAnsi="Times New Roman" w:cs="Times New Roman"/>
          <w:sz w:val="24"/>
          <w:szCs w:val="24"/>
        </w:rPr>
      </w:pPr>
      <w:r>
        <w:rPr>
          <w:rFonts w:ascii="Times New Roman" w:hAnsi="Times New Roman" w:cs="Times New Roman"/>
          <w:b/>
          <w:bCs/>
          <w:sz w:val="24"/>
          <w:szCs w:val="24"/>
        </w:rPr>
        <w:t>Yes</w:t>
      </w:r>
      <w:r>
        <w:rPr>
          <w:rFonts w:ascii="Times New Roman" w:hAnsi="Times New Roman" w:cs="Times New Roman"/>
          <w:sz w:val="24"/>
          <w:szCs w:val="24"/>
        </w:rPr>
        <w:t xml:space="preserve"> (Proceed with the interview)</w:t>
      </w:r>
    </w:p>
    <w:p w:rsidR="006A08F4" w:rsidRDefault="006A08F4" w:rsidP="006A08F4">
      <w:pPr>
        <w:tabs>
          <w:tab w:val="left" w:pos="3533"/>
        </w:tabs>
        <w:spacing w:line="480" w:lineRule="auto"/>
        <w:rPr>
          <w:rFonts w:ascii="Times New Roman" w:hAnsi="Times New Roman" w:cs="Times New Roman"/>
          <w:sz w:val="24"/>
          <w:szCs w:val="24"/>
        </w:rPr>
      </w:pPr>
      <w:r>
        <w:rPr>
          <w:rFonts w:ascii="Times New Roman" w:hAnsi="Times New Roman" w:cs="Times New Roman"/>
          <w:b/>
          <w:bCs/>
          <w:sz w:val="24"/>
          <w:szCs w:val="24"/>
        </w:rPr>
        <w:t>No</w:t>
      </w:r>
      <w:r>
        <w:rPr>
          <w:rFonts w:ascii="Times New Roman" w:hAnsi="Times New Roman" w:cs="Times New Roman"/>
          <w:sz w:val="24"/>
          <w:szCs w:val="24"/>
        </w:rPr>
        <w:t xml:space="preserve"> (terminate the interview)</w:t>
      </w:r>
    </w:p>
    <w:p w:rsidR="006A08F4" w:rsidRDefault="006A08F4" w:rsidP="006A08F4">
      <w:pPr>
        <w:tabs>
          <w:tab w:val="left" w:pos="3533"/>
        </w:tabs>
        <w:spacing w:line="480" w:lineRule="auto"/>
        <w:rPr>
          <w:rFonts w:ascii="Times New Roman" w:hAnsi="Times New Roman" w:cs="Times New Roman"/>
          <w:sz w:val="24"/>
          <w:szCs w:val="24"/>
        </w:rPr>
      </w:pPr>
      <w:r>
        <w:rPr>
          <w:rFonts w:ascii="Times New Roman" w:hAnsi="Times New Roman" w:cs="Times New Roman"/>
          <w:sz w:val="24"/>
          <w:szCs w:val="24"/>
        </w:rPr>
        <w:t>Interviewer</w:t>
      </w:r>
    </w:p>
    <w:p w:rsidR="006A08F4" w:rsidRDefault="006A08F4" w:rsidP="006A08F4">
      <w:pPr>
        <w:tabs>
          <w:tab w:val="left" w:pos="3533"/>
        </w:tabs>
        <w:spacing w:line="480" w:lineRule="auto"/>
        <w:rPr>
          <w:rFonts w:ascii="Times New Roman" w:hAnsi="Times New Roman" w:cs="Times New Roman"/>
          <w:sz w:val="24"/>
          <w:szCs w:val="24"/>
        </w:rPr>
      </w:pPr>
      <w:r>
        <w:rPr>
          <w:rFonts w:ascii="Times New Roman" w:hAnsi="Times New Roman" w:cs="Times New Roman"/>
          <w:sz w:val="24"/>
          <w:szCs w:val="24"/>
        </w:rPr>
        <w:t>Name_________________________________sign______________date__________</w:t>
      </w:r>
    </w:p>
    <w:p w:rsidR="006A08F4" w:rsidRDefault="006A08F4" w:rsidP="006A08F4">
      <w:pPr>
        <w:tabs>
          <w:tab w:val="left" w:pos="3533"/>
        </w:tabs>
        <w:spacing w:line="480" w:lineRule="auto"/>
        <w:rPr>
          <w:rFonts w:ascii="Times New Roman" w:hAnsi="Times New Roman" w:cs="Times New Roman"/>
          <w:sz w:val="24"/>
          <w:szCs w:val="24"/>
        </w:rPr>
      </w:pPr>
      <w:r>
        <w:rPr>
          <w:rFonts w:ascii="Times New Roman" w:hAnsi="Times New Roman" w:cs="Times New Roman"/>
          <w:sz w:val="24"/>
          <w:szCs w:val="24"/>
        </w:rPr>
        <w:t>Supervisor/researcher remark and signature</w:t>
      </w:r>
    </w:p>
    <w:p w:rsidR="006A08F4" w:rsidRDefault="006A08F4" w:rsidP="006A08F4">
      <w:pPr>
        <w:tabs>
          <w:tab w:val="left" w:pos="3533"/>
        </w:tabs>
        <w:spacing w:line="480" w:lineRule="auto"/>
        <w:rPr>
          <w:rFonts w:ascii="Times New Roman" w:hAnsi="Times New Roman" w:cs="Times New Roman"/>
          <w:sz w:val="24"/>
          <w:szCs w:val="24"/>
        </w:rPr>
      </w:pPr>
      <w:r>
        <w:rPr>
          <w:rFonts w:ascii="Times New Roman" w:hAnsi="Times New Roman" w:cs="Times New Roman"/>
          <w:sz w:val="24"/>
          <w:szCs w:val="24"/>
        </w:rPr>
        <w:t>Name ___________________________sign__________________date____________</w:t>
      </w:r>
    </w:p>
    <w:p w:rsidR="001A6490" w:rsidRDefault="006A08F4" w:rsidP="001A6490">
      <w:pPr>
        <w:tabs>
          <w:tab w:val="left" w:pos="3533"/>
        </w:tabs>
        <w:spacing w:line="480" w:lineRule="auto"/>
        <w:rPr>
          <w:rFonts w:ascii="Times New Roman" w:hAnsi="Times New Roman" w:cs="Times New Roman"/>
          <w:sz w:val="24"/>
          <w:szCs w:val="24"/>
        </w:rPr>
      </w:pPr>
      <w:r>
        <w:rPr>
          <w:rFonts w:ascii="Times New Roman" w:hAnsi="Times New Roman" w:cs="Times New Roman"/>
          <w:sz w:val="24"/>
          <w:szCs w:val="24"/>
        </w:rPr>
        <w:t xml:space="preserve">Code____________________________ </w:t>
      </w:r>
      <w:proofErr w:type="spellStart"/>
      <w:r>
        <w:rPr>
          <w:rFonts w:ascii="Times New Roman" w:hAnsi="Times New Roman" w:cs="Times New Roman"/>
          <w:sz w:val="24"/>
          <w:szCs w:val="24"/>
        </w:rPr>
        <w:t>woreda</w:t>
      </w:r>
      <w:proofErr w:type="spellEnd"/>
      <w:r>
        <w:rPr>
          <w:rFonts w:ascii="Times New Roman" w:hAnsi="Times New Roman" w:cs="Times New Roman"/>
          <w:sz w:val="24"/>
          <w:szCs w:val="24"/>
        </w:rPr>
        <w:t>_________________</w:t>
      </w:r>
      <w:bookmarkStart w:id="7" w:name="_Toc24624935"/>
      <w:bookmarkStart w:id="8" w:name="_Toc24383200"/>
      <w:bookmarkStart w:id="9" w:name="_Toc24382794"/>
      <w:bookmarkStart w:id="10" w:name="_Toc27904371"/>
      <w:bookmarkStart w:id="11" w:name="_Toc27904935"/>
    </w:p>
    <w:p w:rsidR="001A6490" w:rsidRDefault="001A6490" w:rsidP="001A6490">
      <w:pPr>
        <w:tabs>
          <w:tab w:val="left" w:pos="3533"/>
        </w:tabs>
        <w:spacing w:line="480" w:lineRule="auto"/>
        <w:rPr>
          <w:rFonts w:ascii="Times New Roman" w:hAnsi="Times New Roman" w:cs="Times New Roman"/>
          <w:sz w:val="24"/>
          <w:szCs w:val="24"/>
        </w:rPr>
      </w:pPr>
    </w:p>
    <w:p w:rsidR="001A6490" w:rsidRDefault="001A6490" w:rsidP="001A6490">
      <w:pPr>
        <w:tabs>
          <w:tab w:val="left" w:pos="3533"/>
        </w:tabs>
        <w:spacing w:line="480" w:lineRule="auto"/>
        <w:rPr>
          <w:rFonts w:ascii="Times New Roman" w:hAnsi="Times New Roman" w:cs="Times New Roman"/>
          <w:sz w:val="24"/>
          <w:szCs w:val="24"/>
        </w:rPr>
      </w:pPr>
    </w:p>
    <w:p w:rsidR="001A6490" w:rsidRDefault="001A6490" w:rsidP="001A6490">
      <w:pPr>
        <w:tabs>
          <w:tab w:val="left" w:pos="3533"/>
        </w:tabs>
        <w:spacing w:line="480" w:lineRule="auto"/>
        <w:rPr>
          <w:rFonts w:ascii="Times New Roman" w:hAnsi="Times New Roman" w:cs="Times New Roman"/>
          <w:sz w:val="24"/>
          <w:szCs w:val="24"/>
        </w:rPr>
      </w:pPr>
    </w:p>
    <w:p w:rsidR="001A6490" w:rsidRDefault="001A6490" w:rsidP="001A6490">
      <w:pPr>
        <w:tabs>
          <w:tab w:val="left" w:pos="3533"/>
        </w:tabs>
        <w:spacing w:line="480" w:lineRule="auto"/>
        <w:rPr>
          <w:rFonts w:ascii="Times New Roman" w:hAnsi="Times New Roman" w:cs="Times New Roman"/>
          <w:sz w:val="24"/>
          <w:szCs w:val="24"/>
        </w:rPr>
      </w:pPr>
    </w:p>
    <w:p w:rsidR="001A6490" w:rsidRDefault="001A6490" w:rsidP="001A6490">
      <w:pPr>
        <w:tabs>
          <w:tab w:val="left" w:pos="3533"/>
        </w:tabs>
        <w:spacing w:line="480" w:lineRule="auto"/>
        <w:rPr>
          <w:rFonts w:ascii="Times New Roman" w:hAnsi="Times New Roman" w:cs="Times New Roman"/>
          <w:sz w:val="24"/>
          <w:szCs w:val="24"/>
        </w:rPr>
      </w:pPr>
    </w:p>
    <w:p w:rsidR="001A6490" w:rsidRDefault="001A6490" w:rsidP="001A6490">
      <w:pPr>
        <w:tabs>
          <w:tab w:val="left" w:pos="3533"/>
        </w:tabs>
        <w:spacing w:line="480" w:lineRule="auto"/>
        <w:rPr>
          <w:rFonts w:ascii="Times New Roman" w:hAnsi="Times New Roman" w:cs="Times New Roman"/>
          <w:sz w:val="24"/>
          <w:szCs w:val="24"/>
        </w:rPr>
      </w:pPr>
    </w:p>
    <w:p w:rsidR="001A6490" w:rsidRDefault="001A6490" w:rsidP="001A6490">
      <w:pPr>
        <w:tabs>
          <w:tab w:val="left" w:pos="3533"/>
        </w:tabs>
        <w:spacing w:line="480" w:lineRule="auto"/>
        <w:rPr>
          <w:rFonts w:ascii="Times New Roman" w:hAnsi="Times New Roman" w:cs="Times New Roman"/>
          <w:sz w:val="24"/>
          <w:szCs w:val="24"/>
        </w:rPr>
      </w:pPr>
    </w:p>
    <w:p w:rsidR="00D6717A" w:rsidRDefault="00D6717A" w:rsidP="001A6490">
      <w:pPr>
        <w:tabs>
          <w:tab w:val="left" w:pos="3533"/>
        </w:tabs>
        <w:spacing w:line="480" w:lineRule="auto"/>
        <w:rPr>
          <w:rFonts w:ascii="Times New Roman" w:hAnsi="Times New Roman" w:cs="Times New Roman"/>
          <w:sz w:val="24"/>
          <w:szCs w:val="24"/>
        </w:rPr>
      </w:pPr>
    </w:p>
    <w:p w:rsidR="001A6490" w:rsidRDefault="001A6490" w:rsidP="001A6490">
      <w:pPr>
        <w:tabs>
          <w:tab w:val="left" w:pos="3533"/>
        </w:tabs>
        <w:spacing w:line="480" w:lineRule="auto"/>
        <w:rPr>
          <w:rFonts w:ascii="Times New Roman" w:hAnsi="Times New Roman" w:cs="Times New Roman"/>
          <w:sz w:val="24"/>
          <w:szCs w:val="24"/>
        </w:rPr>
      </w:pPr>
    </w:p>
    <w:p w:rsidR="00225B66" w:rsidRPr="001A6490" w:rsidRDefault="00225B66" w:rsidP="001A6490">
      <w:pPr>
        <w:tabs>
          <w:tab w:val="left" w:pos="3533"/>
        </w:tabs>
        <w:spacing w:line="480" w:lineRule="auto"/>
        <w:rPr>
          <w:rFonts w:ascii="Times New Roman" w:hAnsi="Times New Roman" w:cs="Times New Roman"/>
          <w:b/>
          <w:bCs/>
          <w:sz w:val="24"/>
          <w:szCs w:val="24"/>
        </w:rPr>
      </w:pPr>
      <w:r w:rsidRPr="001A6490">
        <w:rPr>
          <w:rFonts w:ascii="Times New Roman" w:hAnsi="Times New Roman" w:cs="Times New Roman"/>
          <w:b/>
          <w:bCs/>
          <w:sz w:val="24"/>
        </w:rPr>
        <w:lastRenderedPageBreak/>
        <w:t>Annex I</w:t>
      </w:r>
      <w:r w:rsidR="00235517">
        <w:rPr>
          <w:rFonts w:ascii="Times New Roman" w:hAnsi="Times New Roman" w:cs="Times New Roman"/>
          <w:b/>
          <w:bCs/>
          <w:sz w:val="24"/>
        </w:rPr>
        <w:t>I</w:t>
      </w:r>
      <w:r w:rsidRPr="001A6490">
        <w:rPr>
          <w:rFonts w:ascii="Times New Roman" w:hAnsi="Times New Roman" w:cs="Times New Roman"/>
          <w:b/>
          <w:bCs/>
          <w:sz w:val="24"/>
        </w:rPr>
        <w:t xml:space="preserve">I. Medicine price collection data form of </w:t>
      </w:r>
      <w:bookmarkEnd w:id="7"/>
      <w:bookmarkEnd w:id="8"/>
      <w:bookmarkEnd w:id="9"/>
      <w:r w:rsidR="001A6490">
        <w:rPr>
          <w:rFonts w:ascii="Times New Roman" w:hAnsi="Times New Roman" w:cs="Times New Roman"/>
          <w:b/>
          <w:bCs/>
          <w:sz w:val="24"/>
        </w:rPr>
        <w:t>P</w:t>
      </w:r>
      <w:r w:rsidRPr="001A6490">
        <w:rPr>
          <w:rFonts w:ascii="Times New Roman" w:hAnsi="Times New Roman" w:cs="Times New Roman"/>
          <w:b/>
          <w:bCs/>
          <w:sz w:val="24"/>
        </w:rPr>
        <w:t>HF</w:t>
      </w:r>
      <w:r w:rsidR="001A6490">
        <w:rPr>
          <w:rFonts w:ascii="Times New Roman" w:hAnsi="Times New Roman" w:cs="Times New Roman"/>
          <w:b/>
          <w:bCs/>
          <w:sz w:val="24"/>
        </w:rPr>
        <w:t>s</w:t>
      </w:r>
      <w:r w:rsidRPr="001A6490">
        <w:rPr>
          <w:rFonts w:ascii="Times New Roman" w:hAnsi="Times New Roman" w:cs="Times New Roman"/>
          <w:b/>
          <w:bCs/>
          <w:sz w:val="24"/>
        </w:rPr>
        <w:t xml:space="preserve"> and </w:t>
      </w:r>
      <w:r w:rsidR="00A765AC">
        <w:rPr>
          <w:rFonts w:ascii="Times New Roman" w:hAnsi="Times New Roman" w:cs="Times New Roman"/>
          <w:b/>
          <w:bCs/>
          <w:sz w:val="24"/>
        </w:rPr>
        <w:t>P</w:t>
      </w:r>
      <w:r w:rsidRPr="001A6490">
        <w:rPr>
          <w:rFonts w:ascii="Times New Roman" w:hAnsi="Times New Roman" w:cs="Times New Roman"/>
          <w:b/>
          <w:bCs/>
          <w:sz w:val="24"/>
        </w:rPr>
        <w:t>MOs</w:t>
      </w:r>
      <w:bookmarkEnd w:id="10"/>
      <w:bookmarkEnd w:id="11"/>
    </w:p>
    <w:p w:rsidR="00225B66" w:rsidRPr="008954B4" w:rsidRDefault="00225B66" w:rsidP="00225B66">
      <w:pPr>
        <w:numPr>
          <w:ilvl w:val="0"/>
          <w:numId w:val="1"/>
        </w:numPr>
        <w:spacing w:before="240" w:after="200" w:line="240" w:lineRule="auto"/>
        <w:jc w:val="both"/>
        <w:rPr>
          <w:rFonts w:ascii="Times New Roman" w:hAnsi="Times New Roman" w:cs="Times New Roman"/>
          <w:sz w:val="24"/>
          <w:szCs w:val="24"/>
        </w:rPr>
      </w:pPr>
      <w:r w:rsidRPr="008954B4">
        <w:rPr>
          <w:rFonts w:ascii="Times New Roman" w:hAnsi="Times New Roman" w:cs="Times New Roman"/>
          <w:sz w:val="24"/>
          <w:szCs w:val="24"/>
        </w:rPr>
        <w:t>Health facilities information</w:t>
      </w: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sz w:val="24"/>
          <w:szCs w:val="24"/>
        </w:rPr>
        <w:t>Date: ________________ Study area: --------------------------------------</w:t>
      </w: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sz w:val="24"/>
          <w:szCs w:val="24"/>
        </w:rPr>
        <w:t xml:space="preserve">Name of town/district: ______________________________________ </w:t>
      </w: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sz w:val="24"/>
          <w:szCs w:val="24"/>
        </w:rPr>
        <w:t>Name of health facilities (optional</w:t>
      </w:r>
      <w:r w:rsidR="006A2636" w:rsidRPr="008954B4">
        <w:rPr>
          <w:rFonts w:ascii="Times New Roman" w:hAnsi="Times New Roman" w:cs="Times New Roman"/>
          <w:sz w:val="24"/>
          <w:szCs w:val="24"/>
        </w:rPr>
        <w:t>): _</w:t>
      </w:r>
      <w:r w:rsidRPr="008954B4">
        <w:rPr>
          <w:rFonts w:ascii="Times New Roman" w:hAnsi="Times New Roman" w:cs="Times New Roman"/>
          <w:sz w:val="24"/>
          <w:szCs w:val="24"/>
        </w:rPr>
        <w:t xml:space="preserve">___________________________________ </w:t>
      </w: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sz w:val="24"/>
          <w:szCs w:val="24"/>
        </w:rPr>
        <w:t>Health facility unique data collection ID (mandatory</w:t>
      </w:r>
      <w:r w:rsidR="006A2636" w:rsidRPr="008954B4">
        <w:rPr>
          <w:rFonts w:ascii="Times New Roman" w:hAnsi="Times New Roman" w:cs="Times New Roman"/>
          <w:sz w:val="24"/>
          <w:szCs w:val="24"/>
        </w:rPr>
        <w:t>): _</w:t>
      </w:r>
      <w:r w:rsidRPr="008954B4">
        <w:rPr>
          <w:rFonts w:ascii="Times New Roman" w:hAnsi="Times New Roman" w:cs="Times New Roman"/>
          <w:sz w:val="24"/>
          <w:szCs w:val="24"/>
        </w:rPr>
        <w:t xml:space="preserve">_________________________ </w:t>
      </w:r>
    </w:p>
    <w:p w:rsidR="00225B66" w:rsidRPr="008954B4" w:rsidRDefault="00225B66" w:rsidP="00225B66">
      <w:pPr>
        <w:spacing w:line="240" w:lineRule="auto"/>
        <w:rPr>
          <w:rFonts w:ascii="Times New Roman" w:hAnsi="Times New Roman" w:cs="Times New Roman"/>
          <w:b/>
          <w:bCs/>
          <w:sz w:val="24"/>
          <w:szCs w:val="24"/>
        </w:rPr>
      </w:pPr>
      <w:r w:rsidRPr="008954B4">
        <w:rPr>
          <w:rFonts w:ascii="Times New Roman" w:hAnsi="Times New Roman" w:cs="Times New Roman"/>
          <w:b/>
          <w:bCs/>
          <w:sz w:val="24"/>
          <w:szCs w:val="24"/>
        </w:rPr>
        <w:t xml:space="preserve">Type of medicine outlet: </w:t>
      </w:r>
    </w:p>
    <w:tbl>
      <w:tblPr>
        <w:tblStyle w:val="MediumShading2"/>
        <w:tblW w:w="9576" w:type="dxa"/>
        <w:tblLayout w:type="fixed"/>
        <w:tblLook w:val="0000" w:firstRow="0" w:lastRow="0" w:firstColumn="0" w:lastColumn="0" w:noHBand="0" w:noVBand="0"/>
      </w:tblPr>
      <w:tblGrid>
        <w:gridCol w:w="2565"/>
        <w:gridCol w:w="627"/>
        <w:gridCol w:w="2355"/>
        <w:gridCol w:w="837"/>
        <w:gridCol w:w="3192"/>
      </w:tblGrid>
      <w:tr w:rsidR="00225B66" w:rsidRPr="003A5B26" w:rsidTr="00D6717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192" w:type="dxa"/>
            <w:gridSpan w:val="2"/>
            <w:tcBorders>
              <w:bottom w:val="single" w:sz="4" w:space="0" w:color="auto"/>
              <w:right w:val="single" w:sz="4" w:space="0" w:color="auto"/>
            </w:tcBorders>
            <w:shd w:val="clear" w:color="auto" w:fill="auto"/>
          </w:tcPr>
          <w:p w:rsidR="00225B66" w:rsidRPr="003A5B26" w:rsidRDefault="00225B66" w:rsidP="00D6717A">
            <w:pPr>
              <w:rPr>
                <w:rFonts w:ascii="Times New Roman" w:hAnsi="Times New Roman" w:cs="Times New Roman"/>
                <w:b/>
                <w:bCs/>
                <w:sz w:val="20"/>
                <w:szCs w:val="24"/>
              </w:rPr>
            </w:pPr>
            <w:r w:rsidRPr="003A5B26">
              <w:rPr>
                <w:rFonts w:ascii="Times New Roman" w:hAnsi="Times New Roman" w:cs="Times New Roman"/>
                <w:sz w:val="20"/>
                <w:szCs w:val="24"/>
              </w:rPr>
              <w:t>Public [PU]</w:t>
            </w:r>
          </w:p>
        </w:tc>
        <w:tc>
          <w:tcPr>
            <w:tcW w:w="3192" w:type="dxa"/>
            <w:gridSpan w:val="2"/>
            <w:tcBorders>
              <w:left w:val="single" w:sz="4" w:space="0" w:color="auto"/>
              <w:bottom w:val="single" w:sz="4" w:space="0" w:color="auto"/>
              <w:right w:val="single" w:sz="4" w:space="0" w:color="auto"/>
            </w:tcBorders>
            <w:shd w:val="clear" w:color="auto" w:fill="auto"/>
          </w:tcPr>
          <w:p w:rsidR="00225B66" w:rsidRPr="003A5B26" w:rsidRDefault="00225B66"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4"/>
              </w:rPr>
            </w:pPr>
            <w:r w:rsidRPr="003A5B26">
              <w:rPr>
                <w:rFonts w:ascii="Times New Roman" w:hAnsi="Times New Roman" w:cs="Times New Roman"/>
                <w:sz w:val="20"/>
                <w:szCs w:val="24"/>
              </w:rPr>
              <w:t>Private [PR]</w:t>
            </w:r>
          </w:p>
        </w:tc>
        <w:tc>
          <w:tcPr>
            <w:cnfStyle w:val="000010000000" w:firstRow="0" w:lastRow="0" w:firstColumn="0" w:lastColumn="0" w:oddVBand="1" w:evenVBand="0" w:oddHBand="0" w:evenHBand="0" w:firstRowFirstColumn="0" w:firstRowLastColumn="0" w:lastRowFirstColumn="0" w:lastRowLastColumn="0"/>
            <w:tcW w:w="3192" w:type="dxa"/>
            <w:tcBorders>
              <w:left w:val="single" w:sz="4" w:space="0" w:color="auto"/>
              <w:bottom w:val="single" w:sz="4" w:space="0" w:color="auto"/>
            </w:tcBorders>
            <w:shd w:val="clear" w:color="auto" w:fill="auto"/>
          </w:tcPr>
          <w:p w:rsidR="00225B66" w:rsidRPr="003A5B26" w:rsidRDefault="00225B66" w:rsidP="00D6717A">
            <w:pPr>
              <w:rPr>
                <w:rFonts w:ascii="Times New Roman" w:hAnsi="Times New Roman" w:cs="Times New Roman"/>
                <w:b/>
                <w:bCs/>
                <w:sz w:val="20"/>
                <w:szCs w:val="24"/>
              </w:rPr>
            </w:pPr>
            <w:r w:rsidRPr="003A5B26">
              <w:rPr>
                <w:rFonts w:ascii="Times New Roman" w:hAnsi="Times New Roman" w:cs="Times New Roman"/>
                <w:sz w:val="20"/>
                <w:szCs w:val="24"/>
              </w:rPr>
              <w:t xml:space="preserve">Remark </w:t>
            </w:r>
          </w:p>
        </w:tc>
      </w:tr>
      <w:tr w:rsidR="00225B66" w:rsidRPr="003A5B26" w:rsidTr="00D6717A">
        <w:tc>
          <w:tcPr>
            <w:cnfStyle w:val="000010000000" w:firstRow="0" w:lastRow="0" w:firstColumn="0" w:lastColumn="0" w:oddVBand="1" w:evenVBand="0" w:oddHBand="0" w:evenHBand="0" w:firstRowFirstColumn="0" w:firstRowLastColumn="0" w:lastRowFirstColumn="0" w:lastRowLastColumn="0"/>
            <w:tcW w:w="2565" w:type="dxa"/>
            <w:tcBorders>
              <w:top w:val="single" w:sz="4" w:space="0" w:color="auto"/>
            </w:tcBorders>
            <w:shd w:val="clear" w:color="auto" w:fill="auto"/>
          </w:tcPr>
          <w:p w:rsidR="00225B66" w:rsidRPr="003A5B26" w:rsidRDefault="00225B66" w:rsidP="00D6717A">
            <w:pPr>
              <w:rPr>
                <w:rFonts w:ascii="Times New Roman" w:hAnsi="Times New Roman" w:cs="Times New Roman"/>
                <w:b/>
                <w:bCs/>
                <w:sz w:val="20"/>
                <w:szCs w:val="24"/>
              </w:rPr>
            </w:pPr>
            <w:r w:rsidRPr="003A5B26">
              <w:rPr>
                <w:rFonts w:ascii="Times New Roman" w:hAnsi="Times New Roman" w:cs="Times New Roman"/>
                <w:sz w:val="20"/>
                <w:szCs w:val="24"/>
              </w:rPr>
              <w:t>Primary</w:t>
            </w:r>
          </w:p>
        </w:tc>
        <w:tc>
          <w:tcPr>
            <w:tcW w:w="627" w:type="dxa"/>
            <w:tcBorders>
              <w:top w:val="single" w:sz="4" w:space="0" w:color="auto"/>
              <w:right w:val="single" w:sz="4" w:space="0" w:color="auto"/>
            </w:tcBorders>
            <w:shd w:val="clear" w:color="auto" w:fill="auto"/>
          </w:tcPr>
          <w:p w:rsidR="00225B66" w:rsidRPr="003A5B26" w:rsidRDefault="00225B66" w:rsidP="00D6717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4"/>
              </w:rPr>
            </w:pPr>
            <w:r w:rsidRPr="003A5B26">
              <w:rPr>
                <w:rFonts w:ascii="Times New Roman" w:hAnsi="Times New Roman" w:cs="Times New Roman"/>
                <w:bCs/>
                <w:sz w:val="20"/>
                <w:szCs w:val="24"/>
              </w:rPr>
              <w:t>1</w:t>
            </w:r>
          </w:p>
        </w:tc>
        <w:tc>
          <w:tcPr>
            <w:cnfStyle w:val="000010000000" w:firstRow="0" w:lastRow="0" w:firstColumn="0" w:lastColumn="0" w:oddVBand="1" w:evenVBand="0" w:oddHBand="0" w:evenHBand="0" w:firstRowFirstColumn="0" w:firstRowLastColumn="0" w:lastRowFirstColumn="0" w:lastRowLastColumn="0"/>
            <w:tcW w:w="2355" w:type="dxa"/>
            <w:tcBorders>
              <w:top w:val="single" w:sz="4" w:space="0" w:color="auto"/>
              <w:left w:val="single" w:sz="4" w:space="0" w:color="auto"/>
            </w:tcBorders>
            <w:shd w:val="clear" w:color="auto" w:fill="auto"/>
          </w:tcPr>
          <w:p w:rsidR="00225B66" w:rsidRPr="003A5B26" w:rsidRDefault="00225B66" w:rsidP="00D6717A">
            <w:pPr>
              <w:rPr>
                <w:rFonts w:ascii="Times New Roman" w:hAnsi="Times New Roman" w:cs="Times New Roman"/>
                <w:bCs/>
                <w:sz w:val="20"/>
                <w:szCs w:val="24"/>
              </w:rPr>
            </w:pPr>
            <w:r w:rsidRPr="003A5B26">
              <w:rPr>
                <w:rFonts w:ascii="Times New Roman" w:hAnsi="Times New Roman" w:cs="Times New Roman"/>
                <w:bCs/>
                <w:sz w:val="20"/>
                <w:szCs w:val="24"/>
              </w:rPr>
              <w:t xml:space="preserve">Licensed Pharmacy </w:t>
            </w:r>
          </w:p>
        </w:tc>
        <w:tc>
          <w:tcPr>
            <w:tcW w:w="837" w:type="dxa"/>
            <w:tcBorders>
              <w:top w:val="single" w:sz="4" w:space="0" w:color="auto"/>
              <w:right w:val="single" w:sz="4" w:space="0" w:color="auto"/>
            </w:tcBorders>
            <w:shd w:val="clear" w:color="auto" w:fill="auto"/>
          </w:tcPr>
          <w:p w:rsidR="00225B66" w:rsidRPr="003A5B26" w:rsidRDefault="00225B66" w:rsidP="00D6717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4"/>
              </w:rPr>
            </w:pPr>
            <w:r w:rsidRPr="003A5B26">
              <w:rPr>
                <w:rFonts w:ascii="Times New Roman" w:hAnsi="Times New Roman" w:cs="Times New Roman"/>
                <w:bCs/>
                <w:sz w:val="20"/>
                <w:szCs w:val="24"/>
              </w:rPr>
              <w:t>1</w:t>
            </w:r>
          </w:p>
        </w:tc>
        <w:tc>
          <w:tcPr>
            <w:cnfStyle w:val="000010000000" w:firstRow="0" w:lastRow="0" w:firstColumn="0" w:lastColumn="0" w:oddVBand="1" w:evenVBand="0" w:oddHBand="0" w:evenHBand="0" w:firstRowFirstColumn="0" w:firstRowLastColumn="0" w:lastRowFirstColumn="0" w:lastRowLastColumn="0"/>
            <w:tcW w:w="3192" w:type="dxa"/>
            <w:tcBorders>
              <w:top w:val="single" w:sz="4" w:space="0" w:color="auto"/>
              <w:left w:val="single" w:sz="4" w:space="0" w:color="auto"/>
            </w:tcBorders>
            <w:shd w:val="clear" w:color="auto" w:fill="auto"/>
          </w:tcPr>
          <w:p w:rsidR="00225B66" w:rsidRPr="003A5B26" w:rsidRDefault="00225B66" w:rsidP="00D6717A">
            <w:pPr>
              <w:rPr>
                <w:rFonts w:ascii="Times New Roman" w:hAnsi="Times New Roman" w:cs="Times New Roman"/>
                <w:bCs/>
                <w:sz w:val="20"/>
                <w:szCs w:val="24"/>
              </w:rPr>
            </w:pPr>
          </w:p>
        </w:tc>
      </w:tr>
      <w:tr w:rsidR="00225B66" w:rsidRPr="003A5B26" w:rsidTr="00D6717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65" w:type="dxa"/>
            <w:shd w:val="clear" w:color="auto" w:fill="auto"/>
          </w:tcPr>
          <w:p w:rsidR="00225B66" w:rsidRPr="003A5B26" w:rsidRDefault="00225B66" w:rsidP="00D6717A">
            <w:pPr>
              <w:rPr>
                <w:rFonts w:ascii="Times New Roman" w:hAnsi="Times New Roman" w:cs="Times New Roman"/>
                <w:b/>
                <w:bCs/>
                <w:sz w:val="20"/>
                <w:szCs w:val="24"/>
              </w:rPr>
            </w:pPr>
            <w:r w:rsidRPr="003A5B26">
              <w:rPr>
                <w:rFonts w:ascii="Times New Roman" w:hAnsi="Times New Roman" w:cs="Times New Roman"/>
                <w:sz w:val="20"/>
                <w:szCs w:val="24"/>
              </w:rPr>
              <w:t xml:space="preserve">Secondary </w:t>
            </w:r>
          </w:p>
        </w:tc>
        <w:tc>
          <w:tcPr>
            <w:tcW w:w="627" w:type="dxa"/>
            <w:tcBorders>
              <w:right w:val="single" w:sz="4" w:space="0" w:color="auto"/>
            </w:tcBorders>
            <w:shd w:val="clear" w:color="auto" w:fill="auto"/>
          </w:tcPr>
          <w:p w:rsidR="00225B66" w:rsidRPr="003A5B26" w:rsidRDefault="00225B66"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4"/>
              </w:rPr>
            </w:pPr>
            <w:r w:rsidRPr="003A5B26">
              <w:rPr>
                <w:rFonts w:ascii="Times New Roman" w:hAnsi="Times New Roman" w:cs="Times New Roman"/>
                <w:bCs/>
                <w:sz w:val="20"/>
                <w:szCs w:val="24"/>
              </w:rPr>
              <w:t>2</w:t>
            </w:r>
          </w:p>
        </w:tc>
        <w:tc>
          <w:tcPr>
            <w:cnfStyle w:val="000010000000" w:firstRow="0" w:lastRow="0" w:firstColumn="0" w:lastColumn="0" w:oddVBand="1" w:evenVBand="0" w:oddHBand="0" w:evenHBand="0" w:firstRowFirstColumn="0" w:firstRowLastColumn="0" w:lastRowFirstColumn="0" w:lastRowLastColumn="0"/>
            <w:tcW w:w="2355" w:type="dxa"/>
            <w:tcBorders>
              <w:left w:val="single" w:sz="4" w:space="0" w:color="auto"/>
            </w:tcBorders>
            <w:shd w:val="clear" w:color="auto" w:fill="auto"/>
          </w:tcPr>
          <w:p w:rsidR="00225B66" w:rsidRPr="003A5B26" w:rsidRDefault="00225B66" w:rsidP="00D6717A">
            <w:pPr>
              <w:rPr>
                <w:rFonts w:ascii="Times New Roman" w:hAnsi="Times New Roman" w:cs="Times New Roman"/>
                <w:bCs/>
                <w:sz w:val="20"/>
                <w:szCs w:val="24"/>
              </w:rPr>
            </w:pPr>
            <w:r w:rsidRPr="003A5B26">
              <w:rPr>
                <w:rFonts w:ascii="Times New Roman" w:hAnsi="Times New Roman" w:cs="Times New Roman"/>
                <w:bCs/>
                <w:sz w:val="20"/>
                <w:szCs w:val="24"/>
              </w:rPr>
              <w:t xml:space="preserve">Licensed drug store </w:t>
            </w:r>
          </w:p>
        </w:tc>
        <w:tc>
          <w:tcPr>
            <w:tcW w:w="837" w:type="dxa"/>
            <w:tcBorders>
              <w:right w:val="single" w:sz="4" w:space="0" w:color="auto"/>
            </w:tcBorders>
            <w:shd w:val="clear" w:color="auto" w:fill="auto"/>
          </w:tcPr>
          <w:p w:rsidR="00225B66" w:rsidRPr="003A5B26" w:rsidRDefault="00225B66"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4"/>
              </w:rPr>
            </w:pPr>
            <w:r w:rsidRPr="003A5B26">
              <w:rPr>
                <w:rFonts w:ascii="Times New Roman" w:hAnsi="Times New Roman" w:cs="Times New Roman"/>
                <w:bCs/>
                <w:sz w:val="20"/>
                <w:szCs w:val="24"/>
              </w:rPr>
              <w:t>2</w:t>
            </w:r>
          </w:p>
        </w:tc>
        <w:tc>
          <w:tcPr>
            <w:cnfStyle w:val="000010000000" w:firstRow="0" w:lastRow="0" w:firstColumn="0" w:lastColumn="0" w:oddVBand="1" w:evenVBand="0" w:oddHBand="0" w:evenHBand="0" w:firstRowFirstColumn="0" w:firstRowLastColumn="0" w:lastRowFirstColumn="0" w:lastRowLastColumn="0"/>
            <w:tcW w:w="3192" w:type="dxa"/>
            <w:tcBorders>
              <w:left w:val="single" w:sz="4" w:space="0" w:color="auto"/>
            </w:tcBorders>
            <w:shd w:val="clear" w:color="auto" w:fill="auto"/>
          </w:tcPr>
          <w:p w:rsidR="00225B66" w:rsidRPr="003A5B26" w:rsidRDefault="00225B66" w:rsidP="00D6717A">
            <w:pPr>
              <w:rPr>
                <w:rFonts w:ascii="Times New Roman" w:hAnsi="Times New Roman" w:cs="Times New Roman"/>
                <w:bCs/>
                <w:sz w:val="20"/>
                <w:szCs w:val="24"/>
              </w:rPr>
            </w:pPr>
          </w:p>
        </w:tc>
      </w:tr>
      <w:tr w:rsidR="00225B66" w:rsidRPr="003A5B26" w:rsidTr="00D6717A">
        <w:tc>
          <w:tcPr>
            <w:cnfStyle w:val="000010000000" w:firstRow="0" w:lastRow="0" w:firstColumn="0" w:lastColumn="0" w:oddVBand="1" w:evenVBand="0" w:oddHBand="0" w:evenHBand="0" w:firstRowFirstColumn="0" w:firstRowLastColumn="0" w:lastRowFirstColumn="0" w:lastRowLastColumn="0"/>
            <w:tcW w:w="2565" w:type="dxa"/>
            <w:shd w:val="clear" w:color="auto" w:fill="auto"/>
          </w:tcPr>
          <w:p w:rsidR="00225B66" w:rsidRPr="003A5B26" w:rsidRDefault="00225B66" w:rsidP="00D6717A">
            <w:pPr>
              <w:rPr>
                <w:rFonts w:ascii="Times New Roman" w:hAnsi="Times New Roman" w:cs="Times New Roman"/>
                <w:b/>
                <w:bCs/>
                <w:sz w:val="20"/>
                <w:szCs w:val="24"/>
              </w:rPr>
            </w:pPr>
            <w:r w:rsidRPr="003A5B26">
              <w:rPr>
                <w:rFonts w:ascii="Times New Roman" w:hAnsi="Times New Roman" w:cs="Times New Roman"/>
                <w:sz w:val="20"/>
                <w:szCs w:val="24"/>
              </w:rPr>
              <w:t xml:space="preserve">Tertiary </w:t>
            </w:r>
          </w:p>
        </w:tc>
        <w:tc>
          <w:tcPr>
            <w:tcW w:w="627" w:type="dxa"/>
            <w:tcBorders>
              <w:right w:val="single" w:sz="4" w:space="0" w:color="auto"/>
            </w:tcBorders>
            <w:shd w:val="clear" w:color="auto" w:fill="auto"/>
          </w:tcPr>
          <w:p w:rsidR="00225B66" w:rsidRPr="003A5B26" w:rsidRDefault="00225B66" w:rsidP="00D6717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4"/>
              </w:rPr>
            </w:pPr>
            <w:r w:rsidRPr="003A5B26">
              <w:rPr>
                <w:rFonts w:ascii="Times New Roman" w:hAnsi="Times New Roman" w:cs="Times New Roman"/>
                <w:bCs/>
                <w:sz w:val="20"/>
                <w:szCs w:val="24"/>
              </w:rPr>
              <w:t>3</w:t>
            </w:r>
          </w:p>
        </w:tc>
        <w:tc>
          <w:tcPr>
            <w:cnfStyle w:val="000010000000" w:firstRow="0" w:lastRow="0" w:firstColumn="0" w:lastColumn="0" w:oddVBand="1" w:evenVBand="0" w:oddHBand="0" w:evenHBand="0" w:firstRowFirstColumn="0" w:firstRowLastColumn="0" w:lastRowFirstColumn="0" w:lastRowLastColumn="0"/>
            <w:tcW w:w="2355" w:type="dxa"/>
            <w:tcBorders>
              <w:left w:val="single" w:sz="4" w:space="0" w:color="auto"/>
            </w:tcBorders>
            <w:shd w:val="clear" w:color="auto" w:fill="auto"/>
          </w:tcPr>
          <w:p w:rsidR="00225B66" w:rsidRPr="003A5B26" w:rsidRDefault="00225B66" w:rsidP="00D6717A">
            <w:pPr>
              <w:rPr>
                <w:rFonts w:ascii="Times New Roman" w:hAnsi="Times New Roman" w:cs="Times New Roman"/>
                <w:bCs/>
                <w:sz w:val="20"/>
                <w:szCs w:val="24"/>
              </w:rPr>
            </w:pPr>
          </w:p>
        </w:tc>
        <w:tc>
          <w:tcPr>
            <w:tcW w:w="837" w:type="dxa"/>
            <w:tcBorders>
              <w:right w:val="single" w:sz="4" w:space="0" w:color="auto"/>
            </w:tcBorders>
            <w:shd w:val="clear" w:color="auto" w:fill="auto"/>
          </w:tcPr>
          <w:p w:rsidR="00225B66" w:rsidRPr="003A5B26" w:rsidRDefault="00225B66" w:rsidP="00D6717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4"/>
              </w:rPr>
            </w:pPr>
          </w:p>
        </w:tc>
        <w:tc>
          <w:tcPr>
            <w:cnfStyle w:val="000010000000" w:firstRow="0" w:lastRow="0" w:firstColumn="0" w:lastColumn="0" w:oddVBand="1" w:evenVBand="0" w:oddHBand="0" w:evenHBand="0" w:firstRowFirstColumn="0" w:firstRowLastColumn="0" w:lastRowFirstColumn="0" w:lastRowLastColumn="0"/>
            <w:tcW w:w="3192" w:type="dxa"/>
            <w:tcBorders>
              <w:left w:val="single" w:sz="4" w:space="0" w:color="auto"/>
            </w:tcBorders>
            <w:shd w:val="clear" w:color="auto" w:fill="auto"/>
          </w:tcPr>
          <w:p w:rsidR="00225B66" w:rsidRPr="003A5B26" w:rsidRDefault="00225B66" w:rsidP="00D6717A">
            <w:pPr>
              <w:rPr>
                <w:rFonts w:ascii="Times New Roman" w:hAnsi="Times New Roman" w:cs="Times New Roman"/>
                <w:bCs/>
                <w:sz w:val="20"/>
                <w:szCs w:val="24"/>
              </w:rPr>
            </w:pPr>
          </w:p>
        </w:tc>
      </w:tr>
    </w:tbl>
    <w:p w:rsidR="00225B66" w:rsidRPr="008954B4" w:rsidRDefault="00225B66" w:rsidP="00225B66">
      <w:pPr>
        <w:spacing w:line="240" w:lineRule="auto"/>
        <w:jc w:val="center"/>
        <w:rPr>
          <w:rFonts w:ascii="Times New Roman" w:hAnsi="Times New Roman" w:cs="Times New Roman"/>
          <w:bCs/>
          <w:sz w:val="24"/>
          <w:szCs w:val="24"/>
        </w:rPr>
      </w:pP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b/>
          <w:bCs/>
          <w:sz w:val="24"/>
          <w:szCs w:val="24"/>
        </w:rPr>
        <w:t xml:space="preserve">Type of price: </w:t>
      </w:r>
    </w:p>
    <w:p w:rsidR="00225B66" w:rsidRPr="008954B4" w:rsidRDefault="00225B66" w:rsidP="00225B66">
      <w:pPr>
        <w:numPr>
          <w:ilvl w:val="0"/>
          <w:numId w:val="2"/>
        </w:numPr>
        <w:spacing w:after="200" w:line="240" w:lineRule="auto"/>
        <w:jc w:val="both"/>
        <w:rPr>
          <w:rFonts w:ascii="Times New Roman" w:hAnsi="Times New Roman" w:cs="Times New Roman"/>
          <w:sz w:val="24"/>
          <w:szCs w:val="24"/>
        </w:rPr>
      </w:pPr>
      <w:r w:rsidRPr="008954B4">
        <w:rPr>
          <w:rFonts w:ascii="Times New Roman" w:hAnsi="Times New Roman" w:cs="Times New Roman"/>
          <w:sz w:val="24"/>
          <w:szCs w:val="24"/>
        </w:rPr>
        <w:t>Price the patient pays</w:t>
      </w:r>
    </w:p>
    <w:p w:rsidR="00225B66" w:rsidRPr="008954B4" w:rsidRDefault="00225B66" w:rsidP="00225B66">
      <w:pPr>
        <w:spacing w:line="240" w:lineRule="auto"/>
        <w:rPr>
          <w:rFonts w:ascii="Times New Roman" w:hAnsi="Times New Roman" w:cs="Times New Roman"/>
          <w:b/>
          <w:bCs/>
          <w:sz w:val="24"/>
          <w:szCs w:val="24"/>
        </w:rPr>
      </w:pPr>
      <w:r w:rsidRPr="008954B4">
        <w:rPr>
          <w:rFonts w:ascii="Times New Roman" w:hAnsi="Times New Roman" w:cs="Times New Roman"/>
          <w:b/>
          <w:bCs/>
          <w:sz w:val="24"/>
          <w:szCs w:val="24"/>
        </w:rPr>
        <w:t>Type of data:</w:t>
      </w: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sz w:val="24"/>
          <w:szCs w:val="24"/>
        </w:rPr>
        <w:t>Sample outlet ______ Back-up outlet______ Validation visit _____</w:t>
      </w: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sz w:val="24"/>
          <w:szCs w:val="24"/>
        </w:rPr>
        <w:t>Name of manager of the medicine outlet and</w:t>
      </w:r>
      <w:r>
        <w:rPr>
          <w:rFonts w:ascii="Times New Roman" w:hAnsi="Times New Roman" w:cs="Times New Roman"/>
          <w:sz w:val="24"/>
          <w:szCs w:val="24"/>
        </w:rPr>
        <w:t>/or</w:t>
      </w:r>
      <w:r w:rsidRPr="008954B4">
        <w:rPr>
          <w:rFonts w:ascii="Times New Roman" w:hAnsi="Times New Roman" w:cs="Times New Roman"/>
          <w:sz w:val="24"/>
          <w:szCs w:val="24"/>
        </w:rPr>
        <w:t xml:space="preserve"> person(s) who provided information (if different from manager</w:t>
      </w:r>
      <w:r w:rsidR="006A2636" w:rsidRPr="008954B4">
        <w:rPr>
          <w:rFonts w:ascii="Times New Roman" w:hAnsi="Times New Roman" w:cs="Times New Roman"/>
          <w:sz w:val="24"/>
          <w:szCs w:val="24"/>
        </w:rPr>
        <w:t>): _</w:t>
      </w:r>
      <w:r w:rsidRPr="008954B4">
        <w:rPr>
          <w:rFonts w:ascii="Times New Roman" w:hAnsi="Times New Roman" w:cs="Times New Roman"/>
          <w:sz w:val="24"/>
          <w:szCs w:val="24"/>
        </w:rPr>
        <w:t>_____________________</w:t>
      </w:r>
      <w:r>
        <w:rPr>
          <w:rFonts w:ascii="Times New Roman" w:hAnsi="Times New Roman" w:cs="Times New Roman"/>
          <w:sz w:val="24"/>
          <w:szCs w:val="24"/>
        </w:rPr>
        <w:t>____________________</w:t>
      </w: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sz w:val="24"/>
          <w:szCs w:val="24"/>
        </w:rPr>
        <w:t>Name of data collectors: _______________</w:t>
      </w:r>
      <w:r>
        <w:rPr>
          <w:rFonts w:ascii="Times New Roman" w:hAnsi="Times New Roman" w:cs="Times New Roman"/>
          <w:sz w:val="24"/>
          <w:szCs w:val="24"/>
        </w:rPr>
        <w:t>________________ __________</w:t>
      </w:r>
    </w:p>
    <w:p w:rsidR="00225B66" w:rsidRPr="008954B4" w:rsidRDefault="00225B66" w:rsidP="00225B66">
      <w:pPr>
        <w:tabs>
          <w:tab w:val="left" w:pos="2310"/>
        </w:tabs>
        <w:spacing w:line="240" w:lineRule="auto"/>
        <w:rPr>
          <w:rFonts w:ascii="Times New Roman" w:hAnsi="Times New Roman" w:cs="Times New Roman"/>
          <w:iCs/>
          <w:sz w:val="24"/>
          <w:szCs w:val="24"/>
        </w:rPr>
      </w:pPr>
      <w:r w:rsidRPr="008954B4">
        <w:rPr>
          <w:rFonts w:ascii="Times New Roman" w:hAnsi="Times New Roman" w:cs="Times New Roman"/>
          <w:sz w:val="24"/>
          <w:szCs w:val="24"/>
        </w:rPr>
        <w:t>Verification</w:t>
      </w:r>
      <w:r w:rsidRPr="008954B4">
        <w:rPr>
          <w:rFonts w:ascii="Times New Roman" w:hAnsi="Times New Roman" w:cs="Times New Roman"/>
          <w:iCs/>
          <w:sz w:val="24"/>
          <w:szCs w:val="24"/>
        </w:rPr>
        <w:tab/>
      </w:r>
    </w:p>
    <w:p w:rsidR="00225B66" w:rsidRPr="008954B4" w:rsidRDefault="00225B66" w:rsidP="00225B66">
      <w:pPr>
        <w:spacing w:line="240" w:lineRule="auto"/>
        <w:rPr>
          <w:rFonts w:ascii="Times New Roman" w:hAnsi="Times New Roman" w:cs="Times New Roman"/>
          <w:sz w:val="24"/>
          <w:szCs w:val="24"/>
        </w:rPr>
      </w:pPr>
      <w:r w:rsidRPr="008954B4">
        <w:rPr>
          <w:rFonts w:ascii="Times New Roman" w:hAnsi="Times New Roman" w:cs="Times New Roman"/>
          <w:sz w:val="24"/>
          <w:szCs w:val="24"/>
        </w:rPr>
        <w:t xml:space="preserve">To be completed by the area supervisor at the end of the day, once data have been verified </w:t>
      </w:r>
    </w:p>
    <w:p w:rsidR="00DD0504" w:rsidRDefault="00225B66" w:rsidP="005D129A">
      <w:pPr>
        <w:spacing w:line="240" w:lineRule="auto"/>
        <w:rPr>
          <w:rFonts w:ascii="Times New Roman" w:hAnsi="Times New Roman" w:cs="Times New Roman"/>
          <w:sz w:val="24"/>
          <w:szCs w:val="24"/>
        </w:rPr>
      </w:pPr>
      <w:r w:rsidRPr="008954B4">
        <w:rPr>
          <w:rFonts w:ascii="Times New Roman" w:hAnsi="Times New Roman" w:cs="Times New Roman"/>
          <w:sz w:val="24"/>
          <w:szCs w:val="24"/>
        </w:rPr>
        <w:t>Signed: _______________________________ Date: ________________</w:t>
      </w:r>
      <w:bookmarkStart w:id="12" w:name="_Toc25745903"/>
      <w:bookmarkStart w:id="13" w:name="_Toc27904937"/>
      <w:bookmarkStart w:id="14" w:name="_Toc27904373"/>
    </w:p>
    <w:p w:rsidR="00D6717A" w:rsidRDefault="00D6717A" w:rsidP="00D6717A">
      <w:pPr>
        <w:spacing w:line="360" w:lineRule="auto"/>
        <w:jc w:val="both"/>
        <w:rPr>
          <w:rFonts w:ascii="Times New Roman" w:hAnsi="Times New Roman" w:cs="Times New Roman"/>
          <w:sz w:val="24"/>
          <w:szCs w:val="24"/>
        </w:rPr>
      </w:pPr>
      <w:r>
        <w:rPr>
          <w:rFonts w:ascii="Times New Roman" w:hAnsi="Times New Roman" w:cs="Times New Roman"/>
          <w:sz w:val="24"/>
          <w:szCs w:val="24"/>
        </w:rPr>
        <w:t>Medicine Price data collection form; LPG equivalent product to be determined at facility.</w:t>
      </w:r>
    </w:p>
    <w:tbl>
      <w:tblPr>
        <w:tblStyle w:val="TableGrid"/>
        <w:tblW w:w="10796" w:type="dxa"/>
        <w:tblLayout w:type="fixed"/>
        <w:tblLook w:val="04A0" w:firstRow="1" w:lastRow="0" w:firstColumn="1" w:lastColumn="0" w:noHBand="0" w:noVBand="1"/>
      </w:tblPr>
      <w:tblGrid>
        <w:gridCol w:w="1980"/>
        <w:gridCol w:w="850"/>
        <w:gridCol w:w="1134"/>
        <w:gridCol w:w="957"/>
        <w:gridCol w:w="744"/>
        <w:gridCol w:w="993"/>
        <w:gridCol w:w="772"/>
        <w:gridCol w:w="928"/>
        <w:gridCol w:w="1304"/>
        <w:gridCol w:w="1134"/>
      </w:tblGrid>
      <w:tr w:rsidR="00D6717A" w:rsidRPr="00AF7846" w:rsidTr="00AF7846">
        <w:trPr>
          <w:trHeight w:val="340"/>
        </w:trPr>
        <w:tc>
          <w:tcPr>
            <w:tcW w:w="1980" w:type="dxa"/>
            <w:hideMark/>
          </w:tcPr>
          <w:p w:rsidR="00D6717A" w:rsidRPr="00AF7846" w:rsidRDefault="00D6717A" w:rsidP="00D6717A">
            <w:pP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Generic name, dosage form, strength</w:t>
            </w:r>
          </w:p>
        </w:tc>
        <w:tc>
          <w:tcPr>
            <w:tcW w:w="850"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Medicine Type</w:t>
            </w:r>
          </w:p>
        </w:tc>
        <w:tc>
          <w:tcPr>
            <w:tcW w:w="1134"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Brand or product name(s)</w:t>
            </w:r>
          </w:p>
        </w:tc>
        <w:tc>
          <w:tcPr>
            <w:tcW w:w="957"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Manufacturer</w:t>
            </w:r>
          </w:p>
        </w:tc>
        <w:tc>
          <w:tcPr>
            <w:tcW w:w="744"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Available yes/no</w:t>
            </w:r>
          </w:p>
        </w:tc>
        <w:tc>
          <w:tcPr>
            <w:tcW w:w="993"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Pack size recommended</w:t>
            </w:r>
          </w:p>
        </w:tc>
        <w:tc>
          <w:tcPr>
            <w:tcW w:w="772"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Pack size found</w:t>
            </w:r>
          </w:p>
        </w:tc>
        <w:tc>
          <w:tcPr>
            <w:tcW w:w="928"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Price of pack found</w:t>
            </w:r>
          </w:p>
        </w:tc>
        <w:tc>
          <w:tcPr>
            <w:tcW w:w="1304"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Unit price (4 decimal places)</w:t>
            </w:r>
          </w:p>
        </w:tc>
        <w:tc>
          <w:tcPr>
            <w:tcW w:w="1134" w:type="dxa"/>
            <w:hideMark/>
          </w:tcPr>
          <w:p w:rsidR="00D6717A" w:rsidRPr="00AF7846" w:rsidRDefault="00D6717A" w:rsidP="00D6717A">
            <w:pPr>
              <w:jc w:val="center"/>
              <w:rPr>
                <w:rFonts w:ascii="Times New Roman" w:eastAsia="Times New Roman" w:hAnsi="Times New Roman" w:cs="Times New Roman"/>
                <w:b/>
                <w:bCs/>
                <w:sz w:val="20"/>
                <w:lang w:eastAsia="en-GB"/>
              </w:rPr>
            </w:pPr>
            <w:r w:rsidRPr="00AF7846">
              <w:rPr>
                <w:rFonts w:ascii="Times New Roman" w:eastAsia="Times New Roman" w:hAnsi="Times New Roman" w:cs="Times New Roman"/>
                <w:sz w:val="20"/>
                <w:lang w:eastAsia="en-GB"/>
              </w:rPr>
              <w:t>LPG Source (Locally M or Imported</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Amlodipine 10mg cap/tab</w:t>
            </w:r>
          </w:p>
        </w:tc>
        <w:tc>
          <w:tcPr>
            <w:tcW w:w="850"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Norvasc</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Pfizer</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rPr>
                <w:rFonts w:ascii="Times New Roman" w:hAnsi="Times New Roman" w:cs="Times New Roman"/>
                <w:sz w:val="20"/>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rPr>
                <w:rFonts w:ascii="Times New Roman" w:hAnsi="Times New Roman" w:cs="Times New Roman"/>
                <w:sz w:val="20"/>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Amlodipine 5mg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Norvasc</w:t>
            </w:r>
          </w:p>
        </w:tc>
        <w:tc>
          <w:tcPr>
            <w:tcW w:w="957" w:type="dxa"/>
            <w:noWrap/>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Pfizer</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rPr>
                <w:rFonts w:ascii="Times New Roman" w:hAnsi="Times New Roman" w:cs="Times New Roman"/>
                <w:sz w:val="20"/>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rPr>
                <w:rFonts w:ascii="Times New Roman" w:hAnsi="Times New Roman" w:cs="Times New Roman"/>
                <w:sz w:val="20"/>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lastRenderedPageBreak/>
              <w:t>Aspirin 100mg cap/tab</w:t>
            </w:r>
          </w:p>
        </w:tc>
        <w:tc>
          <w:tcPr>
            <w:tcW w:w="850"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lastRenderedPageBreak/>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Aspirin</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Bayer</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tabs>
                <w:tab w:val="center" w:pos="544"/>
                <w:tab w:val="right" w:pos="1088"/>
              </w:tabs>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eastAsia="Times New Roman" w:hAnsi="Times New Roman" w:cs="Times New Roman"/>
                <w:sz w:val="20"/>
                <w:lang w:eastAsia="en-GB"/>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Aspirin  81 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Aspirin</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Bayer</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Atorvastatin  20mg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Lipitor</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Pfizer</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Atorvastatin  40 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Lipitor</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Pfizer</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Dapagliflozin 10 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Forxiga</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AstraZnca</w:t>
            </w:r>
            <w:proofErr w:type="spellEnd"/>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Enalapril 10mg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Vasotec</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IBM</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Enalapril 5mg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Vasotec</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IBM</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Glibenclamide 5 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Dauonil</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Sanofi</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Gliclazide 30 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Diamicron</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Servier</w:t>
            </w:r>
            <w:proofErr w:type="spellEnd"/>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Gliclazide 40mg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Diamicron</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Servier</w:t>
            </w:r>
            <w:proofErr w:type="spellEnd"/>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Gliclazide 80mg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Diamicron</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Servier</w:t>
            </w:r>
            <w:proofErr w:type="spellEnd"/>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Glimepiride 1mg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xml:space="preserve">Amaryl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Sanofi</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Glimepiride 2mg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xml:space="preserve">Amaryl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Sanofi</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Glimepiride 3mg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xml:space="preserve">Amaryl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Sanofi</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Glimepiride 4mg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xml:space="preserve">Amaryl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Sanofi</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Glucagon 1mg/1ml injection</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roofErr w:type="spellStart"/>
            <w:r w:rsidRPr="00AF7846">
              <w:rPr>
                <w:rFonts w:ascii="Times New Roman" w:eastAsia="Times New Roman" w:hAnsi="Times New Roman" w:cs="Times New Roman"/>
                <w:sz w:val="20"/>
                <w:lang w:eastAsia="en-GB"/>
              </w:rPr>
              <w:t>Glucagen</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Novo Nordisk</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1ml</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1ml</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Hydrochlorothiazide 25mg cap/tab</w:t>
            </w:r>
          </w:p>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Hydrodiuril</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Merck</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lastRenderedPageBreak/>
              <w:t xml:space="preserve">Insulin Premixed (30/70)  100iu/ml </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lastRenderedPageBreak/>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Humulin (70/30)</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Lilly</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10ml</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10ml</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xml:space="preserve">Insulin Human Regular 100iu/ml </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Humulin R</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Lilly</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10ml</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10ml</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Insulin Human Isophane 100iu/ml injection</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Humulin N</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Lilly</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10ml</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10ml</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hideMark/>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Lisinopril 10mg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Zestril</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IBM</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Lisinopril 20mg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Zestril</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IBM</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Losartan 50mg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Cozaar</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IBM</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Metformin 1000mg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Glucophage</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BMS</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Metformin 500mg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Glucophage</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BMS</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Metformin 850mg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Glucophage</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BMS</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74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100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 </w:t>
            </w: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Nifedipine 10mg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Adalat</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Bayer</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Nifedipine 20mg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proofErr w:type="spellStart"/>
            <w:r w:rsidRPr="00AF7846">
              <w:rPr>
                <w:rFonts w:ascii="Times New Roman" w:eastAsia="Times New Roman" w:hAnsi="Times New Roman" w:cs="Times New Roman"/>
                <w:sz w:val="20"/>
                <w:lang w:eastAsia="en-GB"/>
              </w:rPr>
              <w:t>Adalat</w:t>
            </w:r>
            <w:proofErr w:type="spellEnd"/>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Bayer</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Rosuvastatin 10mg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Crestor</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Astra Zeneca</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Rosuvastatin 20mg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Crestor</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Astra Zeneca</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Simvastatin 20mg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Zocor</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Merck</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340"/>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p>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Simvastatin 20mg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Zocor</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Merck</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175"/>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hAnsi="Times New Roman" w:cs="Times New Roman"/>
                <w:sz w:val="20"/>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274"/>
        </w:trPr>
        <w:tc>
          <w:tcPr>
            <w:tcW w:w="1980" w:type="dxa"/>
            <w:vMerge w:val="restart"/>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Vildagliptin 50mg cap/tab</w:t>
            </w: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OB</w:t>
            </w:r>
          </w:p>
        </w:tc>
        <w:tc>
          <w:tcPr>
            <w:tcW w:w="1134"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Galvus</w:t>
            </w:r>
          </w:p>
        </w:tc>
        <w:tc>
          <w:tcPr>
            <w:tcW w:w="957" w:type="dxa"/>
            <w:noWrap/>
          </w:tcPr>
          <w:p w:rsidR="00D6717A" w:rsidRPr="00AF7846" w:rsidRDefault="00D6717A" w:rsidP="00D6717A">
            <w:pP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Novartis</w:t>
            </w: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r w:rsidR="00D6717A" w:rsidRPr="00AF7846" w:rsidTr="00AF7846">
        <w:trPr>
          <w:trHeight w:val="60"/>
        </w:trPr>
        <w:tc>
          <w:tcPr>
            <w:tcW w:w="1980" w:type="dxa"/>
            <w:vMerge/>
          </w:tcPr>
          <w:p w:rsidR="00D6717A" w:rsidRPr="00AF7846" w:rsidRDefault="00D6717A" w:rsidP="00D6717A">
            <w:pPr>
              <w:rPr>
                <w:rFonts w:ascii="Times New Roman" w:eastAsia="Times New Roman" w:hAnsi="Times New Roman" w:cs="Times New Roman"/>
                <w:sz w:val="20"/>
                <w:lang w:eastAsia="en-GB"/>
              </w:rPr>
            </w:pPr>
          </w:p>
        </w:tc>
        <w:tc>
          <w:tcPr>
            <w:tcW w:w="850" w:type="dxa"/>
            <w:noWrap/>
          </w:tcPr>
          <w:p w:rsidR="00D6717A" w:rsidRPr="00AF7846" w:rsidRDefault="00D6717A" w:rsidP="00D6717A">
            <w:pPr>
              <w:rPr>
                <w:rFonts w:ascii="Times New Roman" w:hAnsi="Times New Roman" w:cs="Times New Roman"/>
                <w:sz w:val="20"/>
              </w:rPr>
            </w:pPr>
            <w:r w:rsidRPr="00AF7846">
              <w:rPr>
                <w:rFonts w:ascii="Times New Roman" w:hAnsi="Times New Roman" w:cs="Times New Roman"/>
                <w:sz w:val="20"/>
              </w:rPr>
              <w:t>LPG</w:t>
            </w:r>
          </w:p>
        </w:tc>
        <w:tc>
          <w:tcPr>
            <w:tcW w:w="1134" w:type="dxa"/>
            <w:noWrap/>
          </w:tcPr>
          <w:p w:rsidR="00D6717A" w:rsidRPr="00AF7846" w:rsidRDefault="00D6717A" w:rsidP="00D6717A">
            <w:pPr>
              <w:rPr>
                <w:rFonts w:ascii="Times New Roman" w:eastAsia="Times New Roman" w:hAnsi="Times New Roman" w:cs="Times New Roman"/>
                <w:sz w:val="20"/>
                <w:lang w:eastAsia="en-GB"/>
              </w:rPr>
            </w:pPr>
          </w:p>
        </w:tc>
        <w:tc>
          <w:tcPr>
            <w:tcW w:w="957" w:type="dxa"/>
            <w:noWrap/>
          </w:tcPr>
          <w:p w:rsidR="00D6717A" w:rsidRPr="00AF7846" w:rsidRDefault="00D6717A" w:rsidP="00D6717A">
            <w:pPr>
              <w:rPr>
                <w:rFonts w:ascii="Times New Roman" w:eastAsia="Times New Roman" w:hAnsi="Times New Roman" w:cs="Times New Roman"/>
                <w:sz w:val="20"/>
                <w:lang w:eastAsia="en-GB"/>
              </w:rPr>
            </w:pPr>
          </w:p>
        </w:tc>
        <w:tc>
          <w:tcPr>
            <w:tcW w:w="744" w:type="dxa"/>
            <w:noWrap/>
          </w:tcPr>
          <w:p w:rsidR="00D6717A" w:rsidRPr="00AF7846" w:rsidRDefault="00D6717A" w:rsidP="00D6717A">
            <w:pPr>
              <w:rPr>
                <w:rFonts w:ascii="Times New Roman" w:eastAsia="Times New Roman" w:hAnsi="Times New Roman" w:cs="Times New Roman"/>
                <w:sz w:val="20"/>
                <w:lang w:eastAsia="en-GB"/>
              </w:rPr>
            </w:pPr>
          </w:p>
        </w:tc>
        <w:tc>
          <w:tcPr>
            <w:tcW w:w="993" w:type="dxa"/>
            <w:noWrap/>
          </w:tcPr>
          <w:p w:rsidR="00D6717A" w:rsidRPr="00AF7846" w:rsidRDefault="00D6717A" w:rsidP="00D6717A">
            <w:pPr>
              <w:jc w:val="center"/>
              <w:rPr>
                <w:rFonts w:ascii="Times New Roman" w:eastAsia="Times New Roman" w:hAnsi="Times New Roman" w:cs="Times New Roman"/>
                <w:sz w:val="20"/>
                <w:lang w:eastAsia="en-GB"/>
              </w:rPr>
            </w:pPr>
            <w:r w:rsidRPr="00AF7846">
              <w:rPr>
                <w:rFonts w:ascii="Times New Roman" w:eastAsia="Times New Roman" w:hAnsi="Times New Roman" w:cs="Times New Roman"/>
                <w:sz w:val="20"/>
                <w:lang w:eastAsia="en-GB"/>
              </w:rPr>
              <w:t>30</w:t>
            </w:r>
          </w:p>
        </w:tc>
        <w:tc>
          <w:tcPr>
            <w:tcW w:w="772"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928" w:type="dxa"/>
            <w:noWrap/>
          </w:tcPr>
          <w:p w:rsidR="00D6717A" w:rsidRPr="00AF7846" w:rsidRDefault="00D6717A" w:rsidP="00D6717A">
            <w:pPr>
              <w:jc w:val="center"/>
              <w:rPr>
                <w:rFonts w:ascii="Times New Roman" w:eastAsia="Times New Roman" w:hAnsi="Times New Roman" w:cs="Times New Roman"/>
                <w:sz w:val="20"/>
                <w:lang w:eastAsia="en-GB"/>
              </w:rPr>
            </w:pPr>
          </w:p>
        </w:tc>
        <w:tc>
          <w:tcPr>
            <w:tcW w:w="1304" w:type="dxa"/>
            <w:noWrap/>
          </w:tcPr>
          <w:p w:rsidR="00D6717A" w:rsidRPr="00AF7846" w:rsidRDefault="00D6717A" w:rsidP="00D6717A">
            <w:pPr>
              <w:jc w:val="right"/>
              <w:rPr>
                <w:rFonts w:ascii="Times New Roman" w:eastAsia="Times New Roman" w:hAnsi="Times New Roman" w:cs="Times New Roman"/>
                <w:sz w:val="20"/>
                <w:lang w:eastAsia="en-GB"/>
              </w:rPr>
            </w:pPr>
          </w:p>
        </w:tc>
        <w:tc>
          <w:tcPr>
            <w:tcW w:w="1134" w:type="dxa"/>
            <w:noWrap/>
          </w:tcPr>
          <w:p w:rsidR="00D6717A" w:rsidRPr="00AF7846" w:rsidRDefault="00D6717A" w:rsidP="00D6717A">
            <w:pPr>
              <w:jc w:val="center"/>
              <w:rPr>
                <w:rFonts w:ascii="Times New Roman" w:eastAsia="Times New Roman" w:hAnsi="Times New Roman" w:cs="Times New Roman"/>
                <w:sz w:val="20"/>
                <w:lang w:eastAsia="en-GB"/>
              </w:rPr>
            </w:pPr>
          </w:p>
        </w:tc>
      </w:tr>
    </w:tbl>
    <w:p w:rsidR="00DD0504" w:rsidRDefault="00DD0504" w:rsidP="005D129A">
      <w:pPr>
        <w:spacing w:line="240" w:lineRule="auto"/>
        <w:rPr>
          <w:rFonts w:ascii="Times New Roman" w:hAnsi="Times New Roman" w:cs="Times New Roman"/>
          <w:sz w:val="24"/>
          <w:szCs w:val="24"/>
        </w:rPr>
      </w:pPr>
    </w:p>
    <w:p w:rsidR="00DD0504" w:rsidRDefault="00DD0504" w:rsidP="005D129A">
      <w:pPr>
        <w:spacing w:line="240" w:lineRule="auto"/>
        <w:rPr>
          <w:rFonts w:ascii="Times New Roman" w:hAnsi="Times New Roman" w:cs="Times New Roman"/>
          <w:sz w:val="24"/>
          <w:szCs w:val="24"/>
        </w:rPr>
      </w:pPr>
    </w:p>
    <w:p w:rsidR="00DD0504" w:rsidRDefault="00DD0504" w:rsidP="005D129A">
      <w:pPr>
        <w:spacing w:line="240" w:lineRule="auto"/>
        <w:rPr>
          <w:rFonts w:ascii="Times New Roman" w:hAnsi="Times New Roman" w:cs="Times New Roman"/>
          <w:sz w:val="24"/>
          <w:szCs w:val="24"/>
        </w:rPr>
      </w:pPr>
    </w:p>
    <w:p w:rsidR="000579C3" w:rsidRDefault="000579C3" w:rsidP="000579C3">
      <w:pPr>
        <w:spacing w:line="240" w:lineRule="auto"/>
        <w:rPr>
          <w:rFonts w:ascii="Times New Roman" w:hAnsi="Times New Roman" w:cs="Times New Roman"/>
          <w:b/>
          <w:bCs/>
          <w:sz w:val="24"/>
        </w:rPr>
      </w:pPr>
      <w:r w:rsidRPr="005D129A">
        <w:rPr>
          <w:rFonts w:ascii="Times New Roman" w:hAnsi="Times New Roman" w:cs="Times New Roman"/>
          <w:b/>
          <w:bCs/>
          <w:sz w:val="24"/>
        </w:rPr>
        <w:lastRenderedPageBreak/>
        <w:t xml:space="preserve">Annex </w:t>
      </w:r>
      <w:r w:rsidR="00235517">
        <w:rPr>
          <w:rFonts w:ascii="Times New Roman" w:hAnsi="Times New Roman" w:cs="Times New Roman"/>
          <w:b/>
          <w:bCs/>
          <w:sz w:val="24"/>
        </w:rPr>
        <w:t>V</w:t>
      </w:r>
      <w:r w:rsidRPr="005D129A">
        <w:rPr>
          <w:rFonts w:ascii="Times New Roman" w:hAnsi="Times New Roman" w:cs="Times New Roman"/>
          <w:b/>
          <w:bCs/>
          <w:sz w:val="24"/>
        </w:rPr>
        <w:t xml:space="preserve">I. Price in </w:t>
      </w:r>
      <w:r>
        <w:rPr>
          <w:rFonts w:ascii="Times New Roman" w:hAnsi="Times New Roman" w:cs="Times New Roman"/>
          <w:b/>
          <w:bCs/>
          <w:sz w:val="24"/>
        </w:rPr>
        <w:t>ETB</w:t>
      </w:r>
      <w:r w:rsidRPr="005D129A">
        <w:rPr>
          <w:rFonts w:ascii="Times New Roman" w:hAnsi="Times New Roman" w:cs="Times New Roman"/>
          <w:b/>
          <w:bCs/>
          <w:sz w:val="24"/>
        </w:rPr>
        <w:t xml:space="preserve"> and </w:t>
      </w:r>
      <w:r>
        <w:rPr>
          <w:rFonts w:ascii="Times New Roman" w:hAnsi="Times New Roman" w:cs="Times New Roman"/>
          <w:b/>
          <w:bCs/>
          <w:sz w:val="24"/>
        </w:rPr>
        <w:t xml:space="preserve">Median Patient Price </w:t>
      </w:r>
      <w:r w:rsidRPr="005D129A">
        <w:rPr>
          <w:rFonts w:ascii="Times New Roman" w:hAnsi="Times New Roman" w:cs="Times New Roman"/>
          <w:b/>
          <w:bCs/>
          <w:sz w:val="24"/>
        </w:rPr>
        <w:t xml:space="preserve">of </w:t>
      </w:r>
      <w:r>
        <w:rPr>
          <w:rFonts w:ascii="Times New Roman" w:hAnsi="Times New Roman" w:cs="Times New Roman"/>
          <w:b/>
          <w:bCs/>
          <w:sz w:val="24"/>
        </w:rPr>
        <w:t>diabetic care EMs</w:t>
      </w:r>
      <w:r w:rsidRPr="005D129A">
        <w:rPr>
          <w:rFonts w:ascii="Times New Roman" w:hAnsi="Times New Roman" w:cs="Times New Roman"/>
          <w:b/>
          <w:bCs/>
          <w:sz w:val="24"/>
        </w:rPr>
        <w:t xml:space="preserve"> in public and private sectors</w:t>
      </w:r>
    </w:p>
    <w:p w:rsidR="00DD0504" w:rsidRDefault="00DD0504" w:rsidP="005D129A">
      <w:pPr>
        <w:spacing w:line="240" w:lineRule="auto"/>
        <w:rPr>
          <w:rFonts w:ascii="Times New Roman" w:hAnsi="Times New Roman" w:cs="Times New Roman"/>
          <w:sz w:val="24"/>
          <w:szCs w:val="24"/>
        </w:rPr>
      </w:pPr>
    </w:p>
    <w:tbl>
      <w:tblPr>
        <w:tblStyle w:val="MediumShading2"/>
        <w:tblW w:w="9859" w:type="dxa"/>
        <w:tblLayout w:type="fixed"/>
        <w:tblLook w:val="0000" w:firstRow="0" w:lastRow="0" w:firstColumn="0" w:lastColumn="0" w:noHBand="0" w:noVBand="0"/>
      </w:tblPr>
      <w:tblGrid>
        <w:gridCol w:w="729"/>
        <w:gridCol w:w="4001"/>
        <w:gridCol w:w="978"/>
        <w:gridCol w:w="1334"/>
        <w:gridCol w:w="1334"/>
        <w:gridCol w:w="1483"/>
      </w:tblGrid>
      <w:tr w:rsidR="001C7049" w:rsidRPr="003C1925" w:rsidTr="00D6717A">
        <w:trPr>
          <w:cnfStyle w:val="000000100000" w:firstRow="0" w:lastRow="0" w:firstColumn="0" w:lastColumn="0" w:oddVBand="0" w:evenVBand="0" w:oddHBand="1" w:evenHBand="0" w:firstRowFirstColumn="0" w:firstRowLastColumn="0" w:lastRowFirstColumn="0" w:lastRowLastColumn="0"/>
          <w:trHeight w:val="397"/>
        </w:trPr>
        <w:tc>
          <w:tcPr>
            <w:cnfStyle w:val="000010000000" w:firstRow="0" w:lastRow="0" w:firstColumn="0" w:lastColumn="0" w:oddVBand="1" w:evenVBand="0" w:oddHBand="0" w:evenHBand="0" w:firstRowFirstColumn="0" w:firstRowLastColumn="0" w:lastRowFirstColumn="0" w:lastRowLastColumn="0"/>
            <w:tcW w:w="729" w:type="dxa"/>
            <w:vMerge w:val="restart"/>
            <w:shd w:val="clear" w:color="auto" w:fill="auto"/>
          </w:tcPr>
          <w:p w:rsidR="001C7049" w:rsidRPr="003C1925" w:rsidRDefault="001C7049" w:rsidP="00D6717A">
            <w:pPr>
              <w:rPr>
                <w:rFonts w:ascii="Times New Roman" w:hAnsi="Times New Roman" w:cs="Times New Roman"/>
                <w:b/>
                <w:bCs/>
                <w:sz w:val="20"/>
                <w:szCs w:val="20"/>
              </w:rPr>
            </w:pPr>
            <w:r w:rsidRPr="003C1925">
              <w:rPr>
                <w:rFonts w:ascii="Times New Roman" w:hAnsi="Times New Roman" w:cs="Times New Roman"/>
                <w:b/>
                <w:bCs/>
                <w:sz w:val="20"/>
                <w:szCs w:val="20"/>
              </w:rPr>
              <w:t>S.no</w:t>
            </w:r>
          </w:p>
        </w:tc>
        <w:tc>
          <w:tcPr>
            <w:tcW w:w="4001" w:type="dxa"/>
            <w:vMerge w:val="restart"/>
            <w:shd w:val="clear" w:color="auto" w:fill="auto"/>
          </w:tcPr>
          <w:p w:rsidR="001C7049" w:rsidRPr="003C1925" w:rsidRDefault="001C7049"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3C1925">
              <w:rPr>
                <w:rFonts w:ascii="Times New Roman" w:hAnsi="Times New Roman" w:cs="Times New Roman"/>
                <w:b/>
                <w:bCs/>
                <w:sz w:val="20"/>
                <w:szCs w:val="20"/>
              </w:rPr>
              <w:t>Name of medicine found at least in 4 outlets</w:t>
            </w:r>
          </w:p>
        </w:tc>
        <w:tc>
          <w:tcPr>
            <w:cnfStyle w:val="000010000000" w:firstRow="0" w:lastRow="0" w:firstColumn="0" w:lastColumn="0" w:oddVBand="1" w:evenVBand="0" w:oddHBand="0" w:evenHBand="0" w:firstRowFirstColumn="0" w:firstRowLastColumn="0" w:lastRowFirstColumn="0" w:lastRowLastColumn="0"/>
            <w:tcW w:w="978" w:type="dxa"/>
            <w:vMerge w:val="restart"/>
            <w:shd w:val="clear" w:color="auto" w:fill="auto"/>
          </w:tcPr>
          <w:p w:rsidR="001C7049" w:rsidRPr="003C1925" w:rsidRDefault="001C7049" w:rsidP="00D6717A">
            <w:pPr>
              <w:rPr>
                <w:rFonts w:ascii="Times New Roman" w:hAnsi="Times New Roman" w:cs="Times New Roman"/>
                <w:b/>
                <w:bCs/>
                <w:sz w:val="20"/>
                <w:szCs w:val="20"/>
              </w:rPr>
            </w:pPr>
            <w:r w:rsidRPr="003C1925">
              <w:rPr>
                <w:rFonts w:ascii="Times New Roman" w:hAnsi="Times New Roman" w:cs="Times New Roman"/>
                <w:b/>
                <w:bCs/>
                <w:sz w:val="20"/>
                <w:szCs w:val="20"/>
              </w:rPr>
              <w:t xml:space="preserve">Unit </w:t>
            </w:r>
          </w:p>
        </w:tc>
        <w:tc>
          <w:tcPr>
            <w:tcW w:w="1334" w:type="dxa"/>
            <w:shd w:val="clear" w:color="auto" w:fill="auto"/>
          </w:tcPr>
          <w:p w:rsidR="001C7049" w:rsidRPr="003C1925" w:rsidRDefault="001C7049"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3C1925">
              <w:rPr>
                <w:rFonts w:ascii="Times New Roman" w:hAnsi="Times New Roman" w:cs="Times New Roman"/>
                <w:b/>
                <w:bCs/>
                <w:sz w:val="20"/>
                <w:szCs w:val="20"/>
              </w:rPr>
              <w:t xml:space="preserve"> PHF </w:t>
            </w:r>
          </w:p>
        </w:tc>
        <w:tc>
          <w:tcPr>
            <w:cnfStyle w:val="000010000000" w:firstRow="0" w:lastRow="0" w:firstColumn="0" w:lastColumn="0" w:oddVBand="1" w:evenVBand="0" w:oddHBand="0" w:evenHBand="0" w:firstRowFirstColumn="0" w:firstRowLastColumn="0" w:lastRowFirstColumn="0" w:lastRowLastColumn="0"/>
            <w:tcW w:w="1334" w:type="dxa"/>
            <w:shd w:val="clear" w:color="auto" w:fill="auto"/>
          </w:tcPr>
          <w:p w:rsidR="001C7049" w:rsidRPr="003C1925" w:rsidRDefault="001C7049" w:rsidP="00D6717A">
            <w:pPr>
              <w:rPr>
                <w:rFonts w:ascii="Times New Roman" w:hAnsi="Times New Roman" w:cs="Times New Roman"/>
                <w:b/>
                <w:bCs/>
                <w:sz w:val="20"/>
                <w:szCs w:val="20"/>
              </w:rPr>
            </w:pPr>
            <w:r w:rsidRPr="003C1925">
              <w:rPr>
                <w:rFonts w:ascii="Times New Roman" w:hAnsi="Times New Roman" w:cs="Times New Roman"/>
                <w:b/>
                <w:bCs/>
                <w:sz w:val="20"/>
                <w:szCs w:val="20"/>
              </w:rPr>
              <w:t xml:space="preserve">PMOs </w:t>
            </w:r>
          </w:p>
        </w:tc>
        <w:tc>
          <w:tcPr>
            <w:tcW w:w="1483" w:type="dxa"/>
            <w:shd w:val="clear" w:color="auto" w:fill="auto"/>
          </w:tcPr>
          <w:p w:rsidR="001C7049" w:rsidRPr="003C1925" w:rsidRDefault="001C7049"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r>
      <w:tr w:rsidR="001C7049" w:rsidRPr="003C1925" w:rsidTr="00D6717A">
        <w:trPr>
          <w:trHeight w:val="556"/>
        </w:trPr>
        <w:tc>
          <w:tcPr>
            <w:cnfStyle w:val="000010000000" w:firstRow="0" w:lastRow="0" w:firstColumn="0" w:lastColumn="0" w:oddVBand="1" w:evenVBand="0" w:oddHBand="0" w:evenHBand="0" w:firstRowFirstColumn="0" w:firstRowLastColumn="0" w:lastRowFirstColumn="0" w:lastRowLastColumn="0"/>
            <w:tcW w:w="729" w:type="dxa"/>
            <w:vMerge/>
            <w:tcBorders>
              <w:bottom w:val="single" w:sz="4" w:space="0" w:color="auto"/>
            </w:tcBorders>
            <w:shd w:val="clear" w:color="auto" w:fill="auto"/>
          </w:tcPr>
          <w:p w:rsidR="001C7049" w:rsidRPr="003C1925" w:rsidRDefault="001C7049" w:rsidP="00D6717A">
            <w:pPr>
              <w:rPr>
                <w:rFonts w:ascii="Times New Roman" w:hAnsi="Times New Roman" w:cs="Times New Roman"/>
                <w:bCs/>
                <w:sz w:val="20"/>
                <w:szCs w:val="20"/>
              </w:rPr>
            </w:pPr>
          </w:p>
        </w:tc>
        <w:tc>
          <w:tcPr>
            <w:tcW w:w="4001" w:type="dxa"/>
            <w:vMerge/>
            <w:tcBorders>
              <w:bottom w:val="single" w:sz="4" w:space="0" w:color="auto"/>
            </w:tcBorders>
            <w:shd w:val="clear" w:color="auto" w:fill="auto"/>
          </w:tcPr>
          <w:p w:rsidR="001C7049" w:rsidRPr="003C1925" w:rsidRDefault="001C7049" w:rsidP="00D6717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978" w:type="dxa"/>
            <w:vMerge/>
            <w:tcBorders>
              <w:bottom w:val="single" w:sz="4" w:space="0" w:color="auto"/>
            </w:tcBorders>
            <w:shd w:val="clear" w:color="auto" w:fill="auto"/>
          </w:tcPr>
          <w:p w:rsidR="001C7049" w:rsidRPr="003C1925" w:rsidRDefault="001C7049" w:rsidP="00D6717A">
            <w:pPr>
              <w:rPr>
                <w:rFonts w:ascii="Times New Roman" w:hAnsi="Times New Roman" w:cs="Times New Roman"/>
                <w:sz w:val="20"/>
                <w:szCs w:val="20"/>
              </w:rPr>
            </w:pPr>
          </w:p>
        </w:tc>
        <w:tc>
          <w:tcPr>
            <w:tcW w:w="1334" w:type="dxa"/>
            <w:shd w:val="clear" w:color="auto" w:fill="auto"/>
          </w:tcPr>
          <w:p w:rsidR="001C7049" w:rsidRPr="003C1925" w:rsidRDefault="001C7049" w:rsidP="00D6717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C1925">
              <w:rPr>
                <w:rFonts w:ascii="Times New Roman" w:hAnsi="Times New Roman" w:cs="Times New Roman"/>
                <w:sz w:val="20"/>
                <w:szCs w:val="20"/>
              </w:rPr>
              <w:t xml:space="preserve"> Unit Price </w:t>
            </w:r>
          </w:p>
        </w:tc>
        <w:tc>
          <w:tcPr>
            <w:cnfStyle w:val="000010000000" w:firstRow="0" w:lastRow="0" w:firstColumn="0" w:lastColumn="0" w:oddVBand="1" w:evenVBand="0" w:oddHBand="0" w:evenHBand="0" w:firstRowFirstColumn="0" w:firstRowLastColumn="0" w:lastRowFirstColumn="0" w:lastRowLastColumn="0"/>
            <w:tcW w:w="1334" w:type="dxa"/>
            <w:tcBorders>
              <w:bottom w:val="none" w:sz="0" w:space="0" w:color="auto"/>
            </w:tcBorders>
            <w:shd w:val="clear" w:color="auto" w:fill="auto"/>
          </w:tcPr>
          <w:p w:rsidR="001C7049" w:rsidRPr="003C1925" w:rsidRDefault="001C7049" w:rsidP="00D6717A">
            <w:pPr>
              <w:rPr>
                <w:rFonts w:ascii="Times New Roman" w:hAnsi="Times New Roman" w:cs="Times New Roman"/>
                <w:sz w:val="20"/>
                <w:szCs w:val="20"/>
              </w:rPr>
            </w:pPr>
            <w:r w:rsidRPr="003C1925">
              <w:rPr>
                <w:rFonts w:ascii="Times New Roman" w:hAnsi="Times New Roman" w:cs="Times New Roman"/>
                <w:sz w:val="20"/>
                <w:szCs w:val="20"/>
              </w:rPr>
              <w:t xml:space="preserve"> Unit Price </w:t>
            </w:r>
          </w:p>
        </w:tc>
        <w:tc>
          <w:tcPr>
            <w:tcW w:w="1483" w:type="dxa"/>
            <w:shd w:val="clear" w:color="auto" w:fill="auto"/>
          </w:tcPr>
          <w:p w:rsidR="001C7049" w:rsidRPr="003C1925" w:rsidRDefault="001C7049" w:rsidP="00D6717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C7049" w:rsidRPr="003C1925" w:rsidTr="00D6717A">
        <w:trPr>
          <w:cnfStyle w:val="000000100000" w:firstRow="0" w:lastRow="0" w:firstColumn="0" w:lastColumn="0" w:oddVBand="0" w:evenVBand="0" w:oddHBand="1" w:evenHBand="0" w:firstRowFirstColumn="0" w:firstRowLastColumn="0" w:lastRowFirstColumn="0" w:lastRowLastColumn="0"/>
          <w:trHeight w:val="556"/>
        </w:trPr>
        <w:tc>
          <w:tcPr>
            <w:cnfStyle w:val="000010000000" w:firstRow="0" w:lastRow="0" w:firstColumn="0" w:lastColumn="0" w:oddVBand="1" w:evenVBand="0" w:oddHBand="0" w:evenHBand="0" w:firstRowFirstColumn="0" w:firstRowLastColumn="0" w:lastRowFirstColumn="0" w:lastRowLastColumn="0"/>
            <w:tcW w:w="729" w:type="dxa"/>
            <w:tcBorders>
              <w:bottom w:val="single" w:sz="4" w:space="0" w:color="auto"/>
            </w:tcBorders>
            <w:shd w:val="clear" w:color="auto" w:fill="auto"/>
          </w:tcPr>
          <w:p w:rsidR="00640AA1" w:rsidRDefault="001C7049" w:rsidP="00D6717A">
            <w:pPr>
              <w:rPr>
                <w:rFonts w:ascii="Times New Roman" w:hAnsi="Times New Roman" w:cs="Times New Roman"/>
                <w:bCs/>
                <w:sz w:val="20"/>
                <w:szCs w:val="20"/>
              </w:rPr>
            </w:pPr>
            <w:r>
              <w:rPr>
                <w:rFonts w:ascii="Times New Roman" w:hAnsi="Times New Roman" w:cs="Times New Roman"/>
                <w:bCs/>
                <w:sz w:val="20"/>
                <w:szCs w:val="20"/>
              </w:rPr>
              <w:t>1</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2</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3</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4</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5</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6</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7</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8</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9</w:t>
            </w:r>
          </w:p>
          <w:p w:rsidR="00640AA1" w:rsidRDefault="00640AA1" w:rsidP="00640AA1">
            <w:pPr>
              <w:rPr>
                <w:rFonts w:ascii="Times New Roman" w:hAnsi="Times New Roman" w:cs="Times New Roman"/>
                <w:sz w:val="20"/>
                <w:szCs w:val="20"/>
              </w:rPr>
            </w:pPr>
          </w:p>
          <w:p w:rsidR="001C7049" w:rsidRDefault="00640AA1" w:rsidP="00640AA1">
            <w:pPr>
              <w:rPr>
                <w:rFonts w:ascii="Times New Roman" w:hAnsi="Times New Roman" w:cs="Times New Roman"/>
                <w:sz w:val="20"/>
                <w:szCs w:val="20"/>
              </w:rPr>
            </w:pPr>
            <w:r>
              <w:rPr>
                <w:rFonts w:ascii="Times New Roman" w:hAnsi="Times New Roman" w:cs="Times New Roman"/>
                <w:sz w:val="20"/>
                <w:szCs w:val="20"/>
              </w:rPr>
              <w:t>10</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11</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12</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13</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14</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15</w:t>
            </w:r>
          </w:p>
          <w:p w:rsidR="00640AA1" w:rsidRDefault="00640AA1" w:rsidP="00640AA1">
            <w:pPr>
              <w:rPr>
                <w:rFonts w:ascii="Times New Roman" w:hAnsi="Times New Roman" w:cs="Times New Roman"/>
                <w:sz w:val="20"/>
                <w:szCs w:val="20"/>
              </w:rPr>
            </w:pPr>
          </w:p>
          <w:p w:rsidR="00640AA1" w:rsidRDefault="00640AA1" w:rsidP="00640AA1">
            <w:pPr>
              <w:rPr>
                <w:rFonts w:ascii="Times New Roman" w:hAnsi="Times New Roman" w:cs="Times New Roman"/>
                <w:sz w:val="20"/>
                <w:szCs w:val="20"/>
              </w:rPr>
            </w:pPr>
            <w:r>
              <w:rPr>
                <w:rFonts w:ascii="Times New Roman" w:hAnsi="Times New Roman" w:cs="Times New Roman"/>
                <w:sz w:val="20"/>
                <w:szCs w:val="20"/>
              </w:rPr>
              <w:t>16</w:t>
            </w:r>
          </w:p>
          <w:p w:rsidR="00640AA1" w:rsidRDefault="00640AA1" w:rsidP="00640AA1">
            <w:pPr>
              <w:rPr>
                <w:rFonts w:ascii="Times New Roman" w:hAnsi="Times New Roman" w:cs="Times New Roman"/>
                <w:sz w:val="20"/>
                <w:szCs w:val="20"/>
              </w:rPr>
            </w:pPr>
          </w:p>
          <w:p w:rsidR="00640AA1" w:rsidRPr="00640AA1" w:rsidRDefault="00640AA1" w:rsidP="00640AA1">
            <w:pPr>
              <w:rPr>
                <w:rFonts w:ascii="Times New Roman" w:hAnsi="Times New Roman" w:cs="Times New Roman"/>
                <w:sz w:val="20"/>
                <w:szCs w:val="20"/>
              </w:rPr>
            </w:pPr>
            <w:r>
              <w:rPr>
                <w:rFonts w:ascii="Times New Roman" w:hAnsi="Times New Roman" w:cs="Times New Roman"/>
                <w:sz w:val="20"/>
                <w:szCs w:val="20"/>
              </w:rPr>
              <w:t>17</w:t>
            </w:r>
          </w:p>
        </w:tc>
        <w:tc>
          <w:tcPr>
            <w:tcW w:w="4001" w:type="dxa"/>
            <w:tcBorders>
              <w:bottom w:val="single" w:sz="4" w:space="0" w:color="auto"/>
            </w:tcBorders>
            <w:shd w:val="clear" w:color="auto" w:fill="auto"/>
          </w:tcPr>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Glibenclamide</w:t>
            </w:r>
            <w:r w:rsidR="00EA6301">
              <w:rPr>
                <w:rFonts w:ascii="Times New Roman" w:hAnsi="Times New Roman" w:cs="Times New Roman"/>
                <w:sz w:val="20"/>
                <w:szCs w:val="20"/>
              </w:rPr>
              <w:t xml:space="preserve"> 5mg </w:t>
            </w: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EA630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Metformin 500mg </w:t>
            </w: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Glimepiride</w:t>
            </w:r>
            <w:r w:rsidR="00EA6301">
              <w:rPr>
                <w:rFonts w:ascii="Times New Roman" w:hAnsi="Times New Roman" w:cs="Times New Roman"/>
                <w:sz w:val="20"/>
                <w:szCs w:val="20"/>
              </w:rPr>
              <w:t xml:space="preserve"> 2mg </w:t>
            </w: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Insulin Human Regular</w:t>
            </w: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Insulin Premixed (30/70)</w:t>
            </w: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Isophane Human Insulin</w:t>
            </w:r>
          </w:p>
          <w:p w:rsidR="00640AA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640AA1" w:rsidP="00640A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Sim</w:t>
            </w:r>
            <w:r w:rsidR="00EA6301">
              <w:rPr>
                <w:rFonts w:ascii="Times New Roman" w:hAnsi="Times New Roman" w:cs="Times New Roman"/>
                <w:sz w:val="20"/>
                <w:szCs w:val="20"/>
              </w:rPr>
              <w:t xml:space="preserve">vastatin 20mg </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Atorvastatin 20mg </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Atorvastatin 40mg</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Enalapril 5mg</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Enalapril 10mg</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Hydrochlorothiazide 25mg</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Lisinopril 20mg </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Acetyl salicylic acid 81mg</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Nifedipine 20mg</w:t>
            </w: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Amlodipine 5mg</w:t>
            </w:r>
          </w:p>
          <w:p w:rsidR="001C7049" w:rsidRDefault="001C7049"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EA6301" w:rsidRPr="00EA6301" w:rsidRDefault="00EA6301" w:rsidP="00EA630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Amlodipine 10mg </w:t>
            </w:r>
          </w:p>
        </w:tc>
        <w:tc>
          <w:tcPr>
            <w:cnfStyle w:val="000010000000" w:firstRow="0" w:lastRow="0" w:firstColumn="0" w:lastColumn="0" w:oddVBand="1" w:evenVBand="0" w:oddHBand="0" w:evenHBand="0" w:firstRowFirstColumn="0" w:firstRowLastColumn="0" w:lastRowFirstColumn="0" w:lastRowLastColumn="0"/>
            <w:tcW w:w="978" w:type="dxa"/>
            <w:tcBorders>
              <w:bottom w:val="single" w:sz="4" w:space="0" w:color="auto"/>
            </w:tcBorders>
            <w:shd w:val="clear" w:color="auto" w:fill="auto"/>
          </w:tcPr>
          <w:p w:rsidR="001C7049" w:rsidRPr="003C1925" w:rsidRDefault="001C7049" w:rsidP="00D6717A">
            <w:pPr>
              <w:rPr>
                <w:rFonts w:ascii="Times New Roman" w:hAnsi="Times New Roman" w:cs="Times New Roman"/>
                <w:sz w:val="20"/>
                <w:szCs w:val="20"/>
              </w:rPr>
            </w:pPr>
          </w:p>
        </w:tc>
        <w:tc>
          <w:tcPr>
            <w:tcW w:w="1334" w:type="dxa"/>
            <w:tcBorders>
              <w:bottom w:val="single" w:sz="4" w:space="0" w:color="auto"/>
            </w:tcBorders>
            <w:shd w:val="clear" w:color="auto" w:fill="auto"/>
          </w:tcPr>
          <w:p w:rsidR="001C7049" w:rsidRDefault="006A2636"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0.49</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6A2636"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0.72</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6A2636"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4.25</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6A2636"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144.5</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6A2636"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147.25</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147C15"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141.7</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147C15"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3.49</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147C15"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3.4</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147C15"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4.95</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640AA1" w:rsidRDefault="00147C15"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0.93</w:t>
            </w:r>
          </w:p>
          <w:p w:rsidR="00640AA1" w:rsidRDefault="00640AA1"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147C15" w:rsidRDefault="00147C15"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1.33</w:t>
            </w: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0.5</w:t>
            </w: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4.25</w:t>
            </w: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w:t>
            </w: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0.78</w:t>
            </w: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0.95</w:t>
            </w:r>
          </w:p>
          <w:p w:rsidR="00640AA1" w:rsidRDefault="00640AA1"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147C15" w:rsidRPr="00147C15" w:rsidRDefault="00147C15" w:rsidP="00147C1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1.6</w:t>
            </w:r>
          </w:p>
        </w:tc>
        <w:tc>
          <w:tcPr>
            <w:cnfStyle w:val="000010000000" w:firstRow="0" w:lastRow="0" w:firstColumn="0" w:lastColumn="0" w:oddVBand="1" w:evenVBand="0" w:oddHBand="0" w:evenHBand="0" w:firstRowFirstColumn="0" w:firstRowLastColumn="0" w:lastRowFirstColumn="0" w:lastRowLastColumn="0"/>
            <w:tcW w:w="1334" w:type="dxa"/>
            <w:tcBorders>
              <w:bottom w:val="single" w:sz="4" w:space="0" w:color="auto"/>
            </w:tcBorders>
            <w:shd w:val="clear" w:color="auto" w:fill="auto"/>
          </w:tcPr>
          <w:p w:rsidR="006A2636" w:rsidRDefault="006A2636" w:rsidP="00D6717A">
            <w:pPr>
              <w:rPr>
                <w:rFonts w:ascii="Times New Roman" w:hAnsi="Times New Roman" w:cs="Times New Roman"/>
                <w:sz w:val="20"/>
                <w:szCs w:val="20"/>
              </w:rPr>
            </w:pPr>
            <w:r>
              <w:rPr>
                <w:rFonts w:ascii="Times New Roman" w:hAnsi="Times New Roman" w:cs="Times New Roman"/>
                <w:sz w:val="20"/>
                <w:szCs w:val="20"/>
              </w:rPr>
              <w:t>0.6</w:t>
            </w:r>
          </w:p>
          <w:p w:rsidR="006A2636" w:rsidRDefault="006A2636" w:rsidP="006A2636">
            <w:pPr>
              <w:rPr>
                <w:rFonts w:ascii="Times New Roman" w:hAnsi="Times New Roman" w:cs="Times New Roman"/>
                <w:sz w:val="20"/>
                <w:szCs w:val="20"/>
              </w:rPr>
            </w:pPr>
          </w:p>
          <w:p w:rsidR="006A2636" w:rsidRDefault="006A2636" w:rsidP="006A2636">
            <w:pPr>
              <w:rPr>
                <w:rFonts w:ascii="Times New Roman" w:hAnsi="Times New Roman" w:cs="Times New Roman"/>
                <w:sz w:val="20"/>
                <w:szCs w:val="20"/>
              </w:rPr>
            </w:pPr>
            <w:r>
              <w:rPr>
                <w:rFonts w:ascii="Times New Roman" w:hAnsi="Times New Roman" w:cs="Times New Roman"/>
                <w:sz w:val="20"/>
                <w:szCs w:val="20"/>
              </w:rPr>
              <w:t>1.39</w:t>
            </w:r>
          </w:p>
          <w:p w:rsidR="006A2636" w:rsidRDefault="006A2636" w:rsidP="006A2636">
            <w:pPr>
              <w:rPr>
                <w:rFonts w:ascii="Times New Roman" w:hAnsi="Times New Roman" w:cs="Times New Roman"/>
                <w:sz w:val="20"/>
                <w:szCs w:val="20"/>
              </w:rPr>
            </w:pPr>
          </w:p>
          <w:p w:rsidR="006A2636" w:rsidRDefault="006A2636" w:rsidP="006A2636">
            <w:pPr>
              <w:rPr>
                <w:rFonts w:ascii="Times New Roman" w:hAnsi="Times New Roman" w:cs="Times New Roman"/>
                <w:sz w:val="20"/>
                <w:szCs w:val="20"/>
              </w:rPr>
            </w:pPr>
            <w:r>
              <w:rPr>
                <w:rFonts w:ascii="Times New Roman" w:hAnsi="Times New Roman" w:cs="Times New Roman"/>
                <w:sz w:val="20"/>
                <w:szCs w:val="20"/>
              </w:rPr>
              <w:t>6.5</w:t>
            </w:r>
          </w:p>
          <w:p w:rsidR="006A2636" w:rsidRDefault="006A2636" w:rsidP="006A2636">
            <w:pPr>
              <w:rPr>
                <w:rFonts w:ascii="Times New Roman" w:hAnsi="Times New Roman" w:cs="Times New Roman"/>
                <w:sz w:val="20"/>
                <w:szCs w:val="20"/>
              </w:rPr>
            </w:pPr>
          </w:p>
          <w:p w:rsidR="00147C15" w:rsidRDefault="006A2636" w:rsidP="006A2636">
            <w:pPr>
              <w:rPr>
                <w:rFonts w:ascii="Times New Roman" w:hAnsi="Times New Roman" w:cs="Times New Roman"/>
                <w:sz w:val="20"/>
                <w:szCs w:val="20"/>
              </w:rPr>
            </w:pPr>
            <w:r>
              <w:rPr>
                <w:rFonts w:ascii="Times New Roman" w:hAnsi="Times New Roman" w:cs="Times New Roman"/>
                <w:sz w:val="20"/>
                <w:szCs w:val="20"/>
              </w:rPr>
              <w:t>180</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150</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184.51</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3.8</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3.65</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7.75</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1</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1.5</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1.2</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13.5</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2.5</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1</w:t>
            </w:r>
          </w:p>
          <w:p w:rsidR="00147C15" w:rsidRDefault="00147C15" w:rsidP="00147C15">
            <w:pPr>
              <w:rPr>
                <w:rFonts w:ascii="Times New Roman" w:hAnsi="Times New Roman" w:cs="Times New Roman"/>
                <w:sz w:val="20"/>
                <w:szCs w:val="20"/>
              </w:rPr>
            </w:pPr>
          </w:p>
          <w:p w:rsidR="00147C15" w:rsidRDefault="00147C15" w:rsidP="00147C15">
            <w:pPr>
              <w:rPr>
                <w:rFonts w:ascii="Times New Roman" w:hAnsi="Times New Roman" w:cs="Times New Roman"/>
                <w:sz w:val="20"/>
                <w:szCs w:val="20"/>
              </w:rPr>
            </w:pPr>
            <w:r>
              <w:rPr>
                <w:rFonts w:ascii="Times New Roman" w:hAnsi="Times New Roman" w:cs="Times New Roman"/>
                <w:sz w:val="20"/>
                <w:szCs w:val="20"/>
              </w:rPr>
              <w:t>1.2</w:t>
            </w:r>
          </w:p>
          <w:p w:rsidR="001C7049" w:rsidRDefault="001C7049" w:rsidP="00147C15">
            <w:pPr>
              <w:jc w:val="center"/>
              <w:rPr>
                <w:rFonts w:ascii="Times New Roman" w:hAnsi="Times New Roman" w:cs="Times New Roman"/>
                <w:sz w:val="20"/>
                <w:szCs w:val="20"/>
              </w:rPr>
            </w:pPr>
          </w:p>
          <w:p w:rsidR="00147C15" w:rsidRPr="00147C15" w:rsidRDefault="00147C15" w:rsidP="00147C15">
            <w:pPr>
              <w:rPr>
                <w:rFonts w:ascii="Times New Roman" w:hAnsi="Times New Roman" w:cs="Times New Roman"/>
                <w:sz w:val="20"/>
                <w:szCs w:val="20"/>
              </w:rPr>
            </w:pPr>
            <w:r>
              <w:rPr>
                <w:rFonts w:ascii="Times New Roman" w:hAnsi="Times New Roman" w:cs="Times New Roman"/>
                <w:sz w:val="20"/>
                <w:szCs w:val="20"/>
              </w:rPr>
              <w:t>2</w:t>
            </w:r>
          </w:p>
        </w:tc>
        <w:tc>
          <w:tcPr>
            <w:tcW w:w="1483" w:type="dxa"/>
            <w:tcBorders>
              <w:bottom w:val="single" w:sz="4" w:space="0" w:color="auto"/>
            </w:tcBorders>
            <w:shd w:val="clear" w:color="auto" w:fill="auto"/>
          </w:tcPr>
          <w:p w:rsidR="001C7049" w:rsidRPr="003C1925" w:rsidRDefault="001C7049" w:rsidP="00D6717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bookmarkEnd w:id="12"/>
      <w:bookmarkEnd w:id="13"/>
      <w:bookmarkEnd w:id="14"/>
    </w:tbl>
    <w:p w:rsidR="001C7049" w:rsidRDefault="001C7049" w:rsidP="001C7049">
      <w:pPr>
        <w:spacing w:line="240" w:lineRule="auto"/>
        <w:rPr>
          <w:rFonts w:ascii="Times New Roman" w:hAnsi="Times New Roman" w:cs="Times New Roman"/>
          <w:b/>
          <w:bCs/>
          <w:sz w:val="24"/>
        </w:rPr>
      </w:pPr>
    </w:p>
    <w:p w:rsidR="001C7049" w:rsidRDefault="001C7049" w:rsidP="001C7049">
      <w:pPr>
        <w:spacing w:line="240" w:lineRule="auto"/>
        <w:rPr>
          <w:rFonts w:ascii="Times New Roman" w:hAnsi="Times New Roman" w:cs="Times New Roman"/>
          <w:b/>
          <w:bCs/>
          <w:sz w:val="24"/>
        </w:rPr>
      </w:pPr>
    </w:p>
    <w:p w:rsidR="001C7049" w:rsidRDefault="001C7049" w:rsidP="001C7049">
      <w:pPr>
        <w:spacing w:line="240" w:lineRule="auto"/>
        <w:rPr>
          <w:rFonts w:ascii="Times New Roman" w:hAnsi="Times New Roman" w:cs="Times New Roman"/>
          <w:b/>
          <w:bCs/>
          <w:sz w:val="24"/>
        </w:rPr>
      </w:pPr>
    </w:p>
    <w:p w:rsidR="001C7049" w:rsidRDefault="001C7049" w:rsidP="001C7049">
      <w:pPr>
        <w:spacing w:line="240" w:lineRule="auto"/>
        <w:rPr>
          <w:rFonts w:ascii="Times New Roman" w:hAnsi="Times New Roman" w:cs="Times New Roman"/>
          <w:b/>
          <w:bCs/>
          <w:sz w:val="24"/>
        </w:rPr>
      </w:pPr>
    </w:p>
    <w:p w:rsidR="001C7049" w:rsidRDefault="001C7049" w:rsidP="001C7049">
      <w:pPr>
        <w:spacing w:line="240" w:lineRule="auto"/>
        <w:rPr>
          <w:rFonts w:ascii="Times New Roman" w:hAnsi="Times New Roman" w:cs="Times New Roman"/>
          <w:b/>
          <w:bCs/>
          <w:sz w:val="24"/>
        </w:rPr>
      </w:pPr>
    </w:p>
    <w:p w:rsidR="001C7049" w:rsidRDefault="001C7049" w:rsidP="001C7049">
      <w:pPr>
        <w:spacing w:line="240" w:lineRule="auto"/>
        <w:rPr>
          <w:rFonts w:ascii="Times New Roman" w:hAnsi="Times New Roman" w:cs="Times New Roman"/>
          <w:b/>
          <w:bCs/>
          <w:sz w:val="24"/>
        </w:rPr>
      </w:pPr>
    </w:p>
    <w:p w:rsidR="001C7049" w:rsidRDefault="001C7049" w:rsidP="001C7049">
      <w:pPr>
        <w:spacing w:line="240" w:lineRule="auto"/>
        <w:rPr>
          <w:rFonts w:ascii="Times New Roman" w:hAnsi="Times New Roman" w:cs="Times New Roman"/>
          <w:b/>
          <w:bCs/>
          <w:sz w:val="24"/>
        </w:rPr>
      </w:pPr>
    </w:p>
    <w:p w:rsidR="00343B66" w:rsidRDefault="0063522D" w:rsidP="00343B66">
      <w:pPr>
        <w:spacing w:line="240" w:lineRule="auto"/>
        <w:rPr>
          <w:rFonts w:ascii="Times New Roman" w:hAnsi="Times New Roman" w:cs="Times New Roman"/>
          <w:b/>
          <w:bCs/>
          <w:sz w:val="24"/>
        </w:rPr>
      </w:pPr>
      <w:r w:rsidRPr="005D129A">
        <w:rPr>
          <w:rFonts w:ascii="Times New Roman" w:hAnsi="Times New Roman" w:cs="Times New Roman"/>
          <w:b/>
          <w:bCs/>
          <w:sz w:val="24"/>
        </w:rPr>
        <w:lastRenderedPageBreak/>
        <w:t xml:space="preserve">Annex </w:t>
      </w:r>
      <w:r>
        <w:rPr>
          <w:rFonts w:ascii="Times New Roman" w:hAnsi="Times New Roman" w:cs="Times New Roman"/>
          <w:b/>
          <w:bCs/>
          <w:sz w:val="24"/>
        </w:rPr>
        <w:t xml:space="preserve">V: </w:t>
      </w:r>
      <w:r w:rsidR="00944251" w:rsidRPr="0063522D">
        <w:rPr>
          <w:rFonts w:ascii="Times New Roman" w:hAnsi="Times New Roman" w:cs="Times New Roman"/>
          <w:b/>
          <w:bCs/>
          <w:sz w:val="24"/>
          <w:szCs w:val="24"/>
          <w:lang w:val="en-GB"/>
        </w:rPr>
        <w:t>Supplementary Figure 1</w:t>
      </w:r>
      <w:r>
        <w:rPr>
          <w:rFonts w:ascii="Times New Roman" w:hAnsi="Times New Roman" w:cs="Times New Roman"/>
          <w:b/>
          <w:bCs/>
          <w:sz w:val="24"/>
          <w:szCs w:val="24"/>
          <w:lang w:val="en-GB"/>
        </w:rPr>
        <w:t xml:space="preserve"> </w:t>
      </w:r>
      <w:r w:rsidR="00944251" w:rsidRPr="0063522D">
        <w:rPr>
          <w:rFonts w:ascii="Times New Roman" w:hAnsi="Times New Roman" w:cs="Times New Roman"/>
          <w:b/>
          <w:bCs/>
          <w:sz w:val="24"/>
          <w:szCs w:val="24"/>
          <w:lang w:val="en-GB"/>
        </w:rPr>
        <w:t>General Analysis of Availability and Price for PMOs</w:t>
      </w:r>
      <w:bookmarkStart w:id="15" w:name="_Toc116532453"/>
      <w:r w:rsidR="003A17E5" w:rsidRPr="003A17E5">
        <w:rPr>
          <w:rFonts w:ascii="Times New Roman" w:eastAsia="Calibri" w:hAnsi="Times New Roman" w:cs="Times New Roman"/>
          <w:b/>
          <w:color w:val="000000" w:themeColor="text1"/>
          <w:sz w:val="28"/>
          <w:szCs w:val="32"/>
        </w:rPr>
        <w:t xml:space="preserve"> </w:t>
      </w:r>
    </w:p>
    <w:p w:rsidR="00343B66" w:rsidRDefault="00B946F5" w:rsidP="00343B66">
      <w:pPr>
        <w:spacing w:line="240" w:lineRule="auto"/>
        <w:rPr>
          <w:rFonts w:ascii="Times New Roman" w:hAnsi="Times New Roman" w:cs="Times New Roman"/>
          <w:b/>
          <w:bCs/>
          <w:sz w:val="24"/>
          <w:szCs w:val="24"/>
        </w:rPr>
      </w:pPr>
      <w:r>
        <w:rPr>
          <w:rFonts w:ascii="Times New Roman" w:hAnsi="Times New Roman" w:cs="Times New Roman"/>
          <w:b/>
          <w:bCs/>
          <w:sz w:val="24"/>
          <w:szCs w:val="24"/>
        </w:rPr>
        <w:t xml:space="preserve"> Availabil</w:t>
      </w:r>
      <w:r w:rsidR="00AF7846">
        <w:rPr>
          <w:rFonts w:ascii="Times New Roman" w:hAnsi="Times New Roman" w:cs="Times New Roman"/>
          <w:b/>
          <w:bCs/>
          <w:sz w:val="24"/>
          <w:szCs w:val="24"/>
        </w:rPr>
        <w:t>i</w:t>
      </w:r>
      <w:r>
        <w:rPr>
          <w:rFonts w:ascii="Times New Roman" w:hAnsi="Times New Roman" w:cs="Times New Roman"/>
          <w:b/>
          <w:bCs/>
          <w:sz w:val="24"/>
          <w:szCs w:val="24"/>
        </w:rPr>
        <w:t>ty</w:t>
      </w:r>
      <w:bookmarkStart w:id="16" w:name="_GoBack"/>
      <w:bookmarkEnd w:id="16"/>
    </w:p>
    <w:tbl>
      <w:tblPr>
        <w:tblStyle w:val="TableGrid"/>
        <w:tblW w:w="9810" w:type="dxa"/>
        <w:tblLook w:val="0720" w:firstRow="1" w:lastRow="0" w:firstColumn="0" w:lastColumn="1" w:noHBand="1" w:noVBand="1"/>
      </w:tblPr>
      <w:tblGrid>
        <w:gridCol w:w="3256"/>
        <w:gridCol w:w="1275"/>
        <w:gridCol w:w="972"/>
        <w:gridCol w:w="757"/>
        <w:gridCol w:w="1176"/>
        <w:gridCol w:w="1194"/>
        <w:gridCol w:w="1260"/>
      </w:tblGrid>
      <w:tr w:rsidR="00B946F5" w:rsidRPr="00B946F5" w:rsidTr="00B946F5">
        <w:trPr>
          <w:trHeight w:val="300"/>
        </w:trPr>
        <w:tc>
          <w:tcPr>
            <w:tcW w:w="3256" w:type="dxa"/>
            <w:vMerge w:val="restart"/>
            <w:noWrap/>
            <w:hideMark/>
          </w:tcPr>
          <w:p w:rsidR="00B946F5" w:rsidRPr="00B946F5" w:rsidRDefault="00B946F5" w:rsidP="00B946F5">
            <w:pPr>
              <w:spacing w:after="160"/>
              <w:rPr>
                <w:rFonts w:ascii="Times New Roman" w:hAnsi="Times New Roman" w:cs="Times New Roman"/>
                <w:b/>
                <w:bCs/>
                <w:sz w:val="24"/>
                <w:szCs w:val="24"/>
              </w:rPr>
            </w:pPr>
            <w:bookmarkStart w:id="17" w:name="_Hlk100842282"/>
            <w:r w:rsidRPr="00B946F5">
              <w:rPr>
                <w:rFonts w:ascii="Times New Roman" w:hAnsi="Times New Roman" w:cs="Times New Roman"/>
                <w:sz w:val="24"/>
                <w:szCs w:val="24"/>
              </w:rPr>
              <w:t>Medicines name, strengths and dosage form</w:t>
            </w:r>
          </w:p>
        </w:tc>
        <w:tc>
          <w:tcPr>
            <w:tcW w:w="3004" w:type="dxa"/>
            <w:gridSpan w:val="3"/>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Lowest priced generic medicines</w:t>
            </w:r>
          </w:p>
        </w:tc>
        <w:tc>
          <w:tcPr>
            <w:tcW w:w="3550" w:type="dxa"/>
            <w:gridSpan w:val="3"/>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Originator brand medicines</w:t>
            </w:r>
          </w:p>
        </w:tc>
      </w:tr>
      <w:tr w:rsidR="00B946F5" w:rsidRPr="00B946F5" w:rsidTr="00B946F5">
        <w:trPr>
          <w:trHeight w:val="300"/>
        </w:trPr>
        <w:tc>
          <w:tcPr>
            <w:tcW w:w="3256" w:type="dxa"/>
            <w:vMerge/>
            <w:noWrap/>
            <w:hideMark/>
          </w:tcPr>
          <w:p w:rsidR="00B946F5" w:rsidRPr="00B946F5" w:rsidRDefault="00B946F5" w:rsidP="00B946F5">
            <w:pPr>
              <w:spacing w:after="160"/>
              <w:rPr>
                <w:rFonts w:ascii="Times New Roman" w:hAnsi="Times New Roman" w:cs="Times New Roman"/>
                <w:sz w:val="24"/>
                <w:szCs w:val="24"/>
              </w:rPr>
            </w:pPr>
          </w:p>
        </w:tc>
        <w:tc>
          <w:tcPr>
            <w:tcW w:w="3004" w:type="dxa"/>
            <w:gridSpan w:val="3"/>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Private medicine outlets (n=30)</w:t>
            </w:r>
          </w:p>
        </w:tc>
        <w:tc>
          <w:tcPr>
            <w:tcW w:w="3550" w:type="dxa"/>
            <w:gridSpan w:val="3"/>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Private medicine outlets (n=30)</w:t>
            </w:r>
          </w:p>
        </w:tc>
      </w:tr>
      <w:tr w:rsidR="00B946F5" w:rsidRPr="00B946F5" w:rsidTr="00B946F5">
        <w:trPr>
          <w:trHeight w:val="300"/>
        </w:trPr>
        <w:tc>
          <w:tcPr>
            <w:tcW w:w="3256" w:type="dxa"/>
            <w:vMerge/>
            <w:noWrap/>
            <w:hideMark/>
          </w:tcPr>
          <w:p w:rsidR="00B946F5" w:rsidRPr="00B946F5" w:rsidRDefault="00B946F5" w:rsidP="00B946F5">
            <w:pPr>
              <w:spacing w:after="160"/>
              <w:rPr>
                <w:rFonts w:ascii="Times New Roman" w:hAnsi="Times New Roman" w:cs="Times New Roman"/>
                <w:sz w:val="24"/>
                <w:szCs w:val="24"/>
              </w:rPr>
            </w:pP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 xml:space="preserve"> Pharmacy (n=20)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 xml:space="preserve"> D/Store (n=10)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Total</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Pharmacy (n=20)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 xml:space="preserve"> D/Store (n=10)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Total</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Glibenclamide 5mg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45</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33.3</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Metformin 500mg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Metformin 850mg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63.3</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Metformin 1000mg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Gliclazide 30mg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Gliclazide 40mg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Gliclazide 80mg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Glimepiride 1mg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13.3</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Glimepiride 2mg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36.7</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Glimepiride 3mg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Glimepiride 4mg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45</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Dapagliflozin 10mg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23.3</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Glucagon 1mg/1ml</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Insulin Short Acting</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Insulin medium Acting</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Insulin long acting</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Vildagliptin 50mg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Simvastatin 20mg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Simvastatin 40mg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Atorvastatin 20mg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83.3</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Atorvastatin 40mg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63.3</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lastRenderedPageBreak/>
              <w:t>Rosuvastatin 10mg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13.3</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Rosuvastatin 20mg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Losartan 50mg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23.3</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Enalapril 5mg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93.3</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Enalapril 10mg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83.3</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Hydrochlorothiazide 25mg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Lisinopril 10mg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 xml:space="preserve">Lisinopril 20mg tab </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Acetylsalicylic acid 81mg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Acetylsalicylic acid 100mg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45</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36.7</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Nifedipine 10mg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Nifedipine 20mg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Amlodipine 5mg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95.0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90.0</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Amlodipine 10mg tab</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80.0</w:t>
            </w:r>
          </w:p>
        </w:tc>
        <w:tc>
          <w:tcPr>
            <w:tcW w:w="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70.0</w:t>
            </w:r>
          </w:p>
        </w:tc>
        <w:tc>
          <w:tcPr>
            <w:tcW w:w="757"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76.7</w:t>
            </w:r>
          </w:p>
        </w:tc>
        <w:tc>
          <w:tcPr>
            <w:tcW w:w="1096"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9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60"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0.0</w:t>
            </w:r>
          </w:p>
        </w:tc>
      </w:tr>
      <w:tr w:rsidR="00B946F5" w:rsidRPr="00B946F5" w:rsidTr="00B946F5">
        <w:trPr>
          <w:trHeight w:val="300"/>
        </w:trPr>
        <w:tc>
          <w:tcPr>
            <w:tcW w:w="3256" w:type="dxa"/>
            <w:noWrap/>
            <w:hideMark/>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Mean availability (% )</w:t>
            </w:r>
          </w:p>
        </w:tc>
        <w:tc>
          <w:tcPr>
            <w:tcW w:w="1275" w:type="dxa"/>
            <w:noWrap/>
            <w:hideMark/>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50.7</w:t>
            </w:r>
          </w:p>
        </w:tc>
        <w:tc>
          <w:tcPr>
            <w:tcW w:w="972" w:type="dxa"/>
            <w:noWrap/>
            <w:hideMark/>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33.4</w:t>
            </w:r>
          </w:p>
        </w:tc>
        <w:tc>
          <w:tcPr>
            <w:tcW w:w="757" w:type="dxa"/>
            <w:noWrap/>
            <w:hideMark/>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45.0</w:t>
            </w:r>
          </w:p>
        </w:tc>
        <w:tc>
          <w:tcPr>
            <w:tcW w:w="1096" w:type="dxa"/>
            <w:noWrap/>
            <w:hideMark/>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6.7</w:t>
            </w:r>
          </w:p>
        </w:tc>
        <w:tc>
          <w:tcPr>
            <w:tcW w:w="1194" w:type="dxa"/>
            <w:noWrap/>
            <w:hideMark/>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1.4</w:t>
            </w:r>
          </w:p>
        </w:tc>
        <w:tc>
          <w:tcPr>
            <w:tcW w:w="1260" w:type="dxa"/>
            <w:noWrap/>
            <w:hideMark/>
          </w:tcPr>
          <w:p w:rsidR="00B946F5" w:rsidRPr="00B946F5" w:rsidRDefault="00B946F5" w:rsidP="00B946F5">
            <w:pPr>
              <w:spacing w:after="160"/>
              <w:rPr>
                <w:rFonts w:ascii="Times New Roman" w:hAnsi="Times New Roman" w:cs="Times New Roman"/>
                <w:b/>
                <w:bCs/>
                <w:sz w:val="24"/>
                <w:szCs w:val="24"/>
              </w:rPr>
            </w:pPr>
            <w:r w:rsidRPr="00B946F5">
              <w:rPr>
                <w:rFonts w:ascii="Times New Roman" w:hAnsi="Times New Roman" w:cs="Times New Roman"/>
                <w:b/>
                <w:bCs/>
                <w:sz w:val="24"/>
                <w:szCs w:val="24"/>
              </w:rPr>
              <w:t>5.0</w:t>
            </w:r>
          </w:p>
        </w:tc>
      </w:tr>
      <w:bookmarkEnd w:id="17"/>
    </w:tbl>
    <w:p w:rsidR="00B946F5" w:rsidRPr="00B946F5" w:rsidRDefault="00B946F5" w:rsidP="00B946F5">
      <w:pPr>
        <w:spacing w:line="240" w:lineRule="auto"/>
        <w:rPr>
          <w:rFonts w:ascii="Times New Roman" w:hAnsi="Times New Roman" w:cs="Times New Roman"/>
          <w:b/>
          <w:bCs/>
          <w:sz w:val="24"/>
          <w:szCs w:val="24"/>
        </w:rPr>
      </w:pPr>
    </w:p>
    <w:p w:rsidR="00B946F5" w:rsidRPr="00B946F5" w:rsidRDefault="00B946F5" w:rsidP="00B946F5">
      <w:pPr>
        <w:spacing w:line="240" w:lineRule="auto"/>
        <w:rPr>
          <w:rFonts w:ascii="Times New Roman" w:hAnsi="Times New Roman" w:cs="Times New Roman"/>
          <w:b/>
          <w:bCs/>
          <w:sz w:val="24"/>
          <w:szCs w:val="24"/>
        </w:rPr>
      </w:pPr>
      <w:r>
        <w:rPr>
          <w:rFonts w:ascii="Times New Roman" w:hAnsi="Times New Roman" w:cs="Times New Roman"/>
          <w:b/>
          <w:bCs/>
          <w:sz w:val="24"/>
          <w:szCs w:val="24"/>
        </w:rPr>
        <w:t xml:space="preserve">Price </w:t>
      </w:r>
    </w:p>
    <w:tbl>
      <w:tblPr>
        <w:tblStyle w:val="TableGrid"/>
        <w:tblW w:w="0" w:type="auto"/>
        <w:tblLook w:val="04A0" w:firstRow="1" w:lastRow="0" w:firstColumn="1" w:lastColumn="0" w:noHBand="0" w:noVBand="1"/>
      </w:tblPr>
      <w:tblGrid>
        <w:gridCol w:w="2972"/>
        <w:gridCol w:w="1701"/>
        <w:gridCol w:w="1134"/>
        <w:gridCol w:w="1134"/>
        <w:gridCol w:w="1134"/>
        <w:gridCol w:w="1275"/>
      </w:tblGrid>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Medicine</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Median price of medicines</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25th</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75th</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min</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max</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Glibenclamide 5mg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0.8</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0.6</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0.5</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 xml:space="preserve">Metformin 500mg </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1.43</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3.8</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 xml:space="preserve">Metformin 850mg </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3.4</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3.875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1.4</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5.33</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 xml:space="preserve">Metformin 1000mg </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3.5</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Gliclazide  30mg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Gliclazide  40mg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Gliclazide  80mg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Glimepiride 1mg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Glimepiride 2mg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Glimepiride 3mg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9.8</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9.33</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10.25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8.66</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13</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lastRenderedPageBreak/>
              <w:t>Glimepiride 4mg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9.2</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Dapagliflozin 10mg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Glucagon 1mg/1ml</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Insulin Human Regular</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290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243</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347.5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180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380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Insulin Premixed (30/70)</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320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280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380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180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400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Isophane Human Insulin</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300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280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380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400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Vildagliptin 50mg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Simvastatin  20mg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3.8</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3.7</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3.8</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3.6</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Simvastatin  40mg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4.55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13</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4.1</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24.5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Atorvastatin 20mg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3.6</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9.2857</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3.5</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23.35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Atorvastatin 40mg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7.75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21.1</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26.5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Rosuvastatin 10mg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10.183</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10.1</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10.65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Rosuvastatin 20mg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17.2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18.425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15.5</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18.5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Losartan 50mg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9.8</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9.04</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10.89375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8.36</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11.8</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Enalapril 5mg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4.3</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Enalapril 10mg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Hydrochlorothiazide 25mg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Lisinopril 10mg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11</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11</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9.2</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13</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Lisinopril 20mg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13.75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13.5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14.2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13</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17</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ASA 81mg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3.5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ASA 100mg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Nifedipine 10mg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5.6</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6.25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5.2</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6.5</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Nifedipine 20mg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1.9</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0.5</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9.8</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Amlodipine 5mg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7.8</w:t>
            </w:r>
          </w:p>
        </w:tc>
      </w:tr>
      <w:tr w:rsidR="00B946F5" w:rsidRPr="00B946F5" w:rsidTr="00B946F5">
        <w:trPr>
          <w:trHeight w:val="312"/>
        </w:trPr>
        <w:tc>
          <w:tcPr>
            <w:tcW w:w="2972"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Amlodipine 10mg</w:t>
            </w:r>
          </w:p>
        </w:tc>
        <w:tc>
          <w:tcPr>
            <w:tcW w:w="1701"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2</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7.05</w:t>
            </w:r>
          </w:p>
        </w:tc>
        <w:tc>
          <w:tcPr>
            <w:tcW w:w="1134"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w:t>
            </w:r>
          </w:p>
        </w:tc>
        <w:tc>
          <w:tcPr>
            <w:tcW w:w="1275" w:type="dxa"/>
            <w:noWrap/>
            <w:hideMark/>
          </w:tcPr>
          <w:p w:rsidR="00B946F5" w:rsidRPr="00B946F5" w:rsidRDefault="00B946F5" w:rsidP="00B946F5">
            <w:pPr>
              <w:spacing w:after="160"/>
              <w:rPr>
                <w:rFonts w:ascii="Times New Roman" w:hAnsi="Times New Roman" w:cs="Times New Roman"/>
                <w:sz w:val="24"/>
                <w:szCs w:val="24"/>
              </w:rPr>
            </w:pPr>
            <w:r w:rsidRPr="00B946F5">
              <w:rPr>
                <w:rFonts w:ascii="Times New Roman" w:hAnsi="Times New Roman" w:cs="Times New Roman"/>
                <w:sz w:val="24"/>
                <w:szCs w:val="24"/>
              </w:rPr>
              <w:t>12.2</w:t>
            </w:r>
          </w:p>
        </w:tc>
      </w:tr>
    </w:tbl>
    <w:p w:rsidR="00343B66" w:rsidRDefault="00343B66" w:rsidP="00343B66">
      <w:pPr>
        <w:spacing w:line="240" w:lineRule="auto"/>
        <w:rPr>
          <w:rFonts w:ascii="Times New Roman" w:hAnsi="Times New Roman" w:cs="Times New Roman"/>
          <w:b/>
          <w:bCs/>
          <w:sz w:val="24"/>
          <w:szCs w:val="24"/>
        </w:rPr>
      </w:pPr>
    </w:p>
    <w:p w:rsidR="007B7D63" w:rsidRDefault="007B7D63" w:rsidP="00343B66">
      <w:pPr>
        <w:spacing w:line="240" w:lineRule="auto"/>
        <w:rPr>
          <w:rFonts w:ascii="Times New Roman" w:hAnsi="Times New Roman" w:cs="Times New Roman"/>
          <w:b/>
          <w:bCs/>
          <w:sz w:val="24"/>
          <w:szCs w:val="24"/>
        </w:rPr>
      </w:pPr>
    </w:p>
    <w:p w:rsidR="00B946F5" w:rsidRDefault="00B946F5" w:rsidP="00343B66">
      <w:pPr>
        <w:spacing w:line="240" w:lineRule="auto"/>
        <w:rPr>
          <w:rFonts w:ascii="Times New Roman" w:hAnsi="Times New Roman" w:cs="Times New Roman"/>
          <w:b/>
          <w:bCs/>
          <w:sz w:val="24"/>
          <w:szCs w:val="24"/>
        </w:rPr>
      </w:pPr>
    </w:p>
    <w:p w:rsidR="00343B66" w:rsidRDefault="00343B66" w:rsidP="00343B66">
      <w:pPr>
        <w:spacing w:line="240" w:lineRule="auto"/>
        <w:rPr>
          <w:rFonts w:ascii="Times New Roman" w:hAnsi="Times New Roman" w:cs="Times New Roman"/>
          <w:b/>
          <w:bCs/>
          <w:sz w:val="24"/>
          <w:szCs w:val="24"/>
        </w:rPr>
      </w:pPr>
    </w:p>
    <w:p w:rsidR="003A17E5" w:rsidRPr="00343B66" w:rsidRDefault="003A17E5" w:rsidP="00343B66">
      <w:pPr>
        <w:spacing w:line="240" w:lineRule="auto"/>
        <w:rPr>
          <w:rFonts w:ascii="Times New Roman" w:hAnsi="Times New Roman" w:cs="Times New Roman"/>
          <w:b/>
          <w:bCs/>
          <w:sz w:val="24"/>
        </w:rPr>
      </w:pPr>
      <w:r w:rsidRPr="003A17E5">
        <w:rPr>
          <w:rFonts w:ascii="Times New Roman" w:hAnsi="Times New Roman" w:cs="Times New Roman"/>
          <w:b/>
          <w:bCs/>
          <w:sz w:val="24"/>
          <w:szCs w:val="24"/>
        </w:rPr>
        <w:lastRenderedPageBreak/>
        <w:t xml:space="preserve">Annex VI </w:t>
      </w:r>
      <w:r w:rsidRPr="003A17E5">
        <w:rPr>
          <w:rFonts w:ascii="Times New Roman" w:eastAsia="Calibri" w:hAnsi="Times New Roman" w:cs="Times New Roman"/>
          <w:b/>
          <w:color w:val="000000" w:themeColor="text1"/>
          <w:sz w:val="24"/>
          <w:szCs w:val="24"/>
        </w:rPr>
        <w:t>RESEARCH METHODS, MATERIALS, AND PROCEDURES</w:t>
      </w:r>
      <w:bookmarkEnd w:id="15"/>
    </w:p>
    <w:p w:rsidR="003A17E5" w:rsidRPr="003A17E5" w:rsidRDefault="003A17E5" w:rsidP="003A17E5">
      <w:pPr>
        <w:keepNext/>
        <w:keepLines/>
        <w:spacing w:before="40" w:after="0" w:line="360" w:lineRule="auto"/>
        <w:jc w:val="both"/>
        <w:outlineLvl w:val="1"/>
        <w:rPr>
          <w:rFonts w:ascii="Times New Roman" w:eastAsia="Calibri" w:hAnsi="Times New Roman" w:cs="Times New Roman"/>
          <w:b/>
          <w:color w:val="000000" w:themeColor="text1"/>
          <w:sz w:val="24"/>
          <w:szCs w:val="24"/>
        </w:rPr>
      </w:pPr>
      <w:bookmarkStart w:id="18" w:name="_Toc116532454"/>
      <w:r w:rsidRPr="003A17E5">
        <w:rPr>
          <w:rFonts w:ascii="Times New Roman" w:eastAsia="Calibri" w:hAnsi="Times New Roman" w:cs="Times New Roman"/>
          <w:b/>
          <w:color w:val="000000" w:themeColor="text1"/>
          <w:sz w:val="24"/>
          <w:szCs w:val="24"/>
        </w:rPr>
        <w:t>Study area</w:t>
      </w:r>
      <w:bookmarkEnd w:id="18"/>
      <w:r w:rsidRPr="003A17E5">
        <w:rPr>
          <w:rFonts w:ascii="Times New Roman" w:eastAsia="Calibri" w:hAnsi="Times New Roman" w:cs="Times New Roman"/>
          <w:b/>
          <w:color w:val="000000" w:themeColor="text1"/>
          <w:sz w:val="24"/>
          <w:szCs w:val="24"/>
        </w:rPr>
        <w:t xml:space="preserve"> and period</w:t>
      </w:r>
    </w:p>
    <w:p w:rsidR="003A17E5" w:rsidRDefault="003A17E5" w:rsidP="003A17E5">
      <w:pPr>
        <w:spacing w:before="240" w:line="360" w:lineRule="auto"/>
        <w:jc w:val="both"/>
        <w:rPr>
          <w:rFonts w:ascii="Times New Roman" w:eastAsia="Calibri" w:hAnsi="Times New Roman" w:cs="Times New Roman"/>
          <w:sz w:val="24"/>
          <w:szCs w:val="24"/>
        </w:rPr>
      </w:pPr>
      <w:bookmarkStart w:id="19" w:name="_Hlk87349374"/>
      <w:bookmarkStart w:id="20" w:name="_Hlk80191555"/>
      <w:r>
        <w:rPr>
          <w:rFonts w:ascii="Times New Roman" w:hAnsi="Times New Roman" w:cs="Times New Roman"/>
          <w:sz w:val="24"/>
          <w:szCs w:val="24"/>
        </w:rPr>
        <w:t xml:space="preserve">The research was conducted </w:t>
      </w:r>
      <w:bookmarkEnd w:id="19"/>
      <w:r>
        <w:rPr>
          <w:rFonts w:ascii="Times New Roman" w:hAnsi="Times New Roman" w:cs="Times New Roman"/>
          <w:sz w:val="24"/>
          <w:szCs w:val="24"/>
        </w:rPr>
        <w:t xml:space="preserve">in public health facilities and private medicine outlets operating in central Ethiopia. Six districts in the central part of Ethiopia were selected as study areas. </w:t>
      </w:r>
      <w:bookmarkEnd w:id="20"/>
      <w:r>
        <w:rPr>
          <w:rFonts w:ascii="Times New Roman" w:hAnsi="Times New Roman" w:cs="Times New Roman"/>
          <w:sz w:val="24"/>
          <w:szCs w:val="24"/>
        </w:rPr>
        <w:t xml:space="preserve">15,655,214 people live in tropical, sub-tropical and temperate parts of the six study areas representing around 15% of the total population of Ethiopia (Ethiopian statics service, 2022). The study area covers about 5% of the country’s geographical area. Other parts of the country are excluded from the study because of limited resources and time. </w:t>
      </w:r>
      <w:r>
        <w:rPr>
          <w:rFonts w:ascii="Times New Roman" w:eastAsia="Calibri" w:hAnsi="Times New Roman" w:cs="Times New Roman"/>
          <w:sz w:val="24"/>
          <w:szCs w:val="24"/>
        </w:rPr>
        <w:t>The research was carried out from January 1, 2022 to February 30, 2022</w:t>
      </w:r>
    </w:p>
    <w:p w:rsidR="003A17E5" w:rsidRDefault="003A17E5" w:rsidP="003A17E5">
      <w:pPr>
        <w:keepNext/>
        <w:keepLines/>
        <w:spacing w:before="40" w:after="0" w:line="360" w:lineRule="auto"/>
        <w:outlineLvl w:val="1"/>
        <w:rPr>
          <w:rFonts w:ascii="Times New Roman" w:eastAsia="Calibri" w:hAnsi="Times New Roman" w:cs="Times New Roman"/>
          <w:b/>
          <w:color w:val="000000" w:themeColor="text1"/>
          <w:sz w:val="26"/>
          <w:szCs w:val="26"/>
        </w:rPr>
      </w:pPr>
      <w:bookmarkStart w:id="21" w:name="_bookmark17"/>
      <w:bookmarkStart w:id="22" w:name="_Toc116532455"/>
      <w:bookmarkEnd w:id="21"/>
      <w:r>
        <w:rPr>
          <w:rFonts w:ascii="Times New Roman" w:eastAsia="Calibri" w:hAnsi="Times New Roman" w:cs="Times New Roman"/>
          <w:b/>
          <w:color w:val="000000" w:themeColor="text1"/>
          <w:sz w:val="26"/>
          <w:szCs w:val="26"/>
        </w:rPr>
        <w:t xml:space="preserve">Study design </w:t>
      </w:r>
      <w:bookmarkEnd w:id="22"/>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An Institutional based cross-sectional study design was utilized to collect the required data from the study area.</w:t>
      </w:r>
    </w:p>
    <w:p w:rsidR="003A17E5" w:rsidRDefault="003A17E5" w:rsidP="003A17E5">
      <w:pPr>
        <w:keepNext/>
        <w:keepLines/>
        <w:spacing w:before="40" w:after="0" w:line="360" w:lineRule="auto"/>
        <w:outlineLvl w:val="1"/>
        <w:rPr>
          <w:rFonts w:ascii="Times New Roman" w:eastAsia="Calibri" w:hAnsi="Times New Roman" w:cs="Times New Roman"/>
          <w:b/>
          <w:color w:val="000000" w:themeColor="text1"/>
          <w:sz w:val="26"/>
          <w:szCs w:val="26"/>
        </w:rPr>
      </w:pPr>
      <w:bookmarkStart w:id="23" w:name="_Toc116532456"/>
      <w:r>
        <w:rPr>
          <w:rFonts w:ascii="Times New Roman" w:eastAsia="Calibri" w:hAnsi="Times New Roman" w:cs="Times New Roman"/>
          <w:b/>
          <w:color w:val="000000" w:themeColor="text1"/>
          <w:sz w:val="26"/>
          <w:szCs w:val="26"/>
        </w:rPr>
        <w:t>Source population</w:t>
      </w:r>
      <w:bookmarkEnd w:id="23"/>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study source population were all public health facilities, outpatient pharmacies and private medicine outlets found in central Ethiopia, the study area. </w:t>
      </w:r>
    </w:p>
    <w:p w:rsidR="003A17E5" w:rsidRDefault="003A17E5" w:rsidP="003A17E5">
      <w:pPr>
        <w:keepNext/>
        <w:keepLines/>
        <w:spacing w:before="40" w:after="0" w:line="360" w:lineRule="auto"/>
        <w:outlineLvl w:val="1"/>
        <w:rPr>
          <w:rFonts w:ascii="Times New Roman" w:eastAsia="Calibri" w:hAnsi="Times New Roman" w:cs="Times New Roman"/>
          <w:b/>
          <w:color w:val="000000" w:themeColor="text1"/>
          <w:sz w:val="26"/>
          <w:szCs w:val="26"/>
        </w:rPr>
      </w:pPr>
      <w:bookmarkStart w:id="24" w:name="_Toc116532457"/>
      <w:r>
        <w:rPr>
          <w:rFonts w:ascii="Times New Roman" w:eastAsia="Calibri" w:hAnsi="Times New Roman" w:cs="Times New Roman"/>
          <w:b/>
          <w:color w:val="000000" w:themeColor="text1"/>
          <w:sz w:val="26"/>
          <w:szCs w:val="26"/>
        </w:rPr>
        <w:t xml:space="preserve">Study </w:t>
      </w:r>
      <w:bookmarkEnd w:id="24"/>
      <w:r>
        <w:rPr>
          <w:rFonts w:ascii="Times New Roman" w:eastAsia="Calibri" w:hAnsi="Times New Roman" w:cs="Times New Roman"/>
          <w:b/>
          <w:color w:val="000000" w:themeColor="text1"/>
          <w:sz w:val="26"/>
          <w:szCs w:val="26"/>
        </w:rPr>
        <w:t>facilities</w:t>
      </w:r>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Selected public hospitals and health centers’ outpatient pharmacies from the public sector, and retail pharmacies and drug stores from the private sector found in the six study areas were identified and used as study participants according to standardized WHO/HAI methodology.</w:t>
      </w:r>
    </w:p>
    <w:p w:rsidR="003A17E5" w:rsidRDefault="003A17E5" w:rsidP="003A17E5">
      <w:pPr>
        <w:keepNext/>
        <w:keepLines/>
        <w:spacing w:before="40" w:after="0" w:line="360" w:lineRule="auto"/>
        <w:outlineLvl w:val="1"/>
        <w:rPr>
          <w:rFonts w:ascii="Times New Roman" w:eastAsiaTheme="majorEastAsia" w:hAnsi="Times New Roman" w:cs="Times New Roman"/>
          <w:b/>
          <w:color w:val="000000" w:themeColor="text1"/>
          <w:sz w:val="24"/>
          <w:szCs w:val="26"/>
        </w:rPr>
      </w:pPr>
      <w:bookmarkStart w:id="25" w:name="_Toc116532458"/>
      <w:r>
        <w:rPr>
          <w:rFonts w:ascii="Times New Roman" w:eastAsiaTheme="majorEastAsia" w:hAnsi="Times New Roman" w:cs="Times New Roman"/>
          <w:b/>
          <w:color w:val="000000" w:themeColor="text1"/>
          <w:sz w:val="26"/>
          <w:szCs w:val="26"/>
        </w:rPr>
        <w:t>Eligibility Criteria for medicine outlets</w:t>
      </w:r>
      <w:bookmarkEnd w:id="25"/>
      <w:r>
        <w:rPr>
          <w:rFonts w:ascii="Times New Roman" w:eastAsiaTheme="majorEastAsia" w:hAnsi="Times New Roman" w:cs="Times New Roman"/>
          <w:b/>
          <w:color w:val="000000" w:themeColor="text1"/>
          <w:sz w:val="24"/>
          <w:szCs w:val="26"/>
        </w:rPr>
        <w:t xml:space="preserve"> </w:t>
      </w:r>
    </w:p>
    <w:p w:rsidR="003A17E5" w:rsidRDefault="003A17E5" w:rsidP="003A17E5">
      <w:pPr>
        <w:keepNext/>
        <w:keepLines/>
        <w:spacing w:before="40" w:after="0" w:line="360" w:lineRule="auto"/>
        <w:outlineLvl w:val="2"/>
        <w:rPr>
          <w:rFonts w:ascii="Times New Roman" w:eastAsiaTheme="majorEastAsia" w:hAnsi="Times New Roman" w:cs="Times New Roman"/>
          <w:color w:val="000000" w:themeColor="text1"/>
          <w:sz w:val="24"/>
          <w:szCs w:val="24"/>
        </w:rPr>
      </w:pPr>
      <w:bookmarkStart w:id="26" w:name="_Toc116532459"/>
      <w:r>
        <w:rPr>
          <w:rFonts w:ascii="Times New Roman" w:eastAsiaTheme="majorEastAsia" w:hAnsi="Times New Roman" w:cs="Times New Roman"/>
          <w:color w:val="000000" w:themeColor="text1"/>
          <w:sz w:val="24"/>
          <w:szCs w:val="24"/>
        </w:rPr>
        <w:t>Inclusion criteria</w:t>
      </w:r>
      <w:bookmarkEnd w:id="26"/>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Public health facilities that have served for at least one year, and have begun basic NCD services and handle selected essential medicines for diabetes care were included in the study. Private drug outlets that are registered by </w:t>
      </w:r>
      <w:bookmarkStart w:id="27" w:name="_Hlk87169526"/>
      <w:r>
        <w:rPr>
          <w:rFonts w:ascii="Times New Roman" w:eastAsia="Calibri" w:hAnsi="Times New Roman" w:cs="Times New Roman"/>
          <w:sz w:val="24"/>
          <w:szCs w:val="24"/>
        </w:rPr>
        <w:t xml:space="preserve">the respective study area Food and Drug regulatory bodies (closer to selected public health facilities) that are expected to stock essential diabetes medicines were </w:t>
      </w:r>
      <w:bookmarkEnd w:id="27"/>
      <w:r>
        <w:rPr>
          <w:rFonts w:ascii="Times New Roman" w:eastAsia="Calibri" w:hAnsi="Times New Roman" w:cs="Times New Roman"/>
          <w:sz w:val="24"/>
          <w:szCs w:val="24"/>
        </w:rPr>
        <w:t>included in the selection of study participants.</w:t>
      </w:r>
    </w:p>
    <w:p w:rsidR="003A17E5" w:rsidRDefault="003A17E5" w:rsidP="003A17E5">
      <w:pPr>
        <w:keepNext/>
        <w:keepLines/>
        <w:spacing w:before="40" w:after="0" w:line="360" w:lineRule="auto"/>
        <w:outlineLvl w:val="2"/>
        <w:rPr>
          <w:rFonts w:ascii="Times New Roman" w:eastAsiaTheme="majorEastAsia" w:hAnsi="Times New Roman" w:cs="Times New Roman"/>
          <w:color w:val="000000" w:themeColor="text1"/>
          <w:sz w:val="24"/>
          <w:szCs w:val="24"/>
        </w:rPr>
      </w:pPr>
      <w:bookmarkStart w:id="28" w:name="_Toc116532460"/>
      <w:r>
        <w:rPr>
          <w:rFonts w:ascii="Times New Roman" w:eastAsiaTheme="majorEastAsia" w:hAnsi="Times New Roman" w:cs="Times New Roman"/>
          <w:color w:val="000000" w:themeColor="text1"/>
          <w:sz w:val="24"/>
          <w:szCs w:val="24"/>
        </w:rPr>
        <w:lastRenderedPageBreak/>
        <w:t>Exclusion Criteria</w:t>
      </w:r>
      <w:bookmarkEnd w:id="28"/>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Health posts, the lowest level in the public health system structure, were not included in the study as the number of populations to be served is limited and handling essential medicines is not permitted.</w:t>
      </w:r>
      <w:r>
        <w:rPr>
          <w:rFonts w:ascii="Times New Roman" w:hAnsi="Times New Roman" w:cs="Times New Roman"/>
        </w:rPr>
        <w:t xml:space="preserve"> </w:t>
      </w:r>
      <w:r>
        <w:rPr>
          <w:rFonts w:ascii="Times New Roman" w:eastAsia="Calibri" w:hAnsi="Times New Roman" w:cs="Times New Roman"/>
          <w:sz w:val="24"/>
          <w:szCs w:val="24"/>
        </w:rPr>
        <w:t>In addition, they did not have pharmacy professionals and physicians to manage the interest of patients with chronic diseases. Pharmacies operating in private hospitals or health facilities owned by private companies were excluded from the study as they are not entirely open for clients outside these facilities. Furthermore, rural drug vendors (shops) were excluded from the study as they did not keep and dispense a significant number of essential medicines surveyed.</w:t>
      </w:r>
    </w:p>
    <w:p w:rsidR="003A17E5" w:rsidRDefault="003A17E5" w:rsidP="003A17E5">
      <w:pPr>
        <w:keepNext/>
        <w:keepLines/>
        <w:spacing w:before="40" w:after="0" w:line="360" w:lineRule="auto"/>
        <w:outlineLvl w:val="1"/>
        <w:rPr>
          <w:rFonts w:ascii="Times New Roman" w:eastAsia="Calibri" w:hAnsi="Times New Roman" w:cs="Times New Roman"/>
          <w:b/>
          <w:color w:val="000000" w:themeColor="text1"/>
          <w:sz w:val="26"/>
          <w:szCs w:val="26"/>
        </w:rPr>
      </w:pPr>
      <w:bookmarkStart w:id="29" w:name="_Toc116532461"/>
      <w:r>
        <w:rPr>
          <w:rFonts w:ascii="Times New Roman" w:eastAsia="Calibri" w:hAnsi="Times New Roman" w:cs="Times New Roman"/>
          <w:b/>
          <w:color w:val="000000" w:themeColor="text1"/>
          <w:sz w:val="26"/>
          <w:szCs w:val="26"/>
        </w:rPr>
        <w:t>Sample size</w:t>
      </w:r>
      <w:bookmarkEnd w:id="29"/>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The sample size was determined based on the WHO/HAI manual on medicine price and availability survey methodology (WHO/HAI, 2008). Accordingly, 60 medicine outlets were included, 30 from public and 30 from private following WHO and HAI methodology recommendations for selecting representative health sectors. Ten facilities were selected on a quota basis from each six study areas; i.e. five public health facilities and five private sector medicine outlets.</w:t>
      </w:r>
    </w:p>
    <w:p w:rsidR="003A17E5" w:rsidRDefault="003A17E5" w:rsidP="003A17E5">
      <w:pPr>
        <w:keepNext/>
        <w:keepLines/>
        <w:spacing w:before="40" w:after="0" w:line="360" w:lineRule="auto"/>
        <w:outlineLvl w:val="1"/>
        <w:rPr>
          <w:rFonts w:ascii="Times New Roman" w:eastAsiaTheme="majorEastAsia" w:hAnsi="Times New Roman" w:cs="Times New Roman"/>
          <w:b/>
          <w:color w:val="000000" w:themeColor="text1"/>
          <w:sz w:val="26"/>
          <w:szCs w:val="26"/>
        </w:rPr>
      </w:pPr>
      <w:bookmarkStart w:id="30" w:name="_Toc116532462"/>
      <w:r>
        <w:rPr>
          <w:rFonts w:ascii="Times New Roman" w:eastAsiaTheme="majorEastAsia" w:hAnsi="Times New Roman" w:cs="Times New Roman"/>
          <w:b/>
          <w:color w:val="000000" w:themeColor="text1"/>
          <w:sz w:val="26"/>
          <w:szCs w:val="26"/>
        </w:rPr>
        <w:t>Sampling methods</w:t>
      </w:r>
      <w:bookmarkEnd w:id="30"/>
    </w:p>
    <w:p w:rsidR="003A17E5" w:rsidRDefault="003A17E5" w:rsidP="003A17E5">
      <w:pPr>
        <w:keepNext/>
        <w:keepLines/>
        <w:spacing w:before="40" w:after="0" w:line="360" w:lineRule="auto"/>
        <w:outlineLvl w:val="2"/>
        <w:rPr>
          <w:rFonts w:ascii="Times New Roman" w:eastAsiaTheme="majorEastAsia" w:hAnsi="Times New Roman" w:cs="Times New Roman"/>
          <w:color w:val="000000" w:themeColor="text1"/>
          <w:sz w:val="24"/>
          <w:szCs w:val="24"/>
        </w:rPr>
      </w:pPr>
      <w:bookmarkStart w:id="31" w:name="_Toc116532463"/>
      <w:r>
        <w:rPr>
          <w:rFonts w:ascii="Times New Roman" w:eastAsiaTheme="majorEastAsia" w:hAnsi="Times New Roman" w:cs="Times New Roman"/>
          <w:color w:val="000000" w:themeColor="text1"/>
          <w:sz w:val="24"/>
          <w:szCs w:val="24"/>
        </w:rPr>
        <w:t>Selection of facilities</w:t>
      </w:r>
      <w:bookmarkEnd w:id="31"/>
    </w:p>
    <w:p w:rsidR="003A17E5" w:rsidRDefault="003A17E5" w:rsidP="003A17E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medicine outlets were selected using the WHO/ HAI methodology (WHO/HAI, 2008), which has been validated to select a representative sample from different study areas. Accordingly, the main public hospital was purposely selected from each study area as an anchor.  The remaining public health facilities within three hours of travel from the main hospital were randomly selected. For public health facilities (2 public hospitals and 2 public health centers) within each geographical study areas were selected in addition to the main hospital. Five licensed and privately owned medicine outlets which were proximate to selected public health facilities in each study area were also chosen by simple random sampling.  </w:t>
      </w:r>
    </w:p>
    <w:p w:rsidR="003A17E5" w:rsidRDefault="003A17E5" w:rsidP="003A17E5">
      <w:pPr>
        <w:keepNext/>
        <w:keepLines/>
        <w:spacing w:before="40" w:after="0" w:line="360" w:lineRule="auto"/>
        <w:outlineLvl w:val="2"/>
        <w:rPr>
          <w:rFonts w:ascii="Times New Roman" w:eastAsiaTheme="majorEastAsia" w:hAnsi="Times New Roman" w:cs="Times New Roman"/>
          <w:color w:val="000000" w:themeColor="text1"/>
          <w:sz w:val="24"/>
          <w:szCs w:val="24"/>
        </w:rPr>
      </w:pPr>
      <w:bookmarkStart w:id="32" w:name="_Toc116532464"/>
      <w:r>
        <w:rPr>
          <w:rFonts w:ascii="Times New Roman" w:eastAsiaTheme="majorEastAsia" w:hAnsi="Times New Roman" w:cs="Times New Roman"/>
          <w:color w:val="000000" w:themeColor="text1"/>
          <w:sz w:val="24"/>
          <w:szCs w:val="24"/>
        </w:rPr>
        <w:t>Selection of medicines</w:t>
      </w:r>
      <w:bookmarkEnd w:id="32"/>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Thirty five essential medicines were identified and selected based on the WHO model list of essential medicines for adults 21</w:t>
      </w:r>
      <w:r>
        <w:rPr>
          <w:rFonts w:ascii="Times New Roman" w:eastAsia="Calibri" w:hAnsi="Times New Roman" w:cs="Times New Roman"/>
          <w:sz w:val="24"/>
          <w:szCs w:val="24"/>
          <w:vertAlign w:val="superscript"/>
        </w:rPr>
        <w:t>st</w:t>
      </w:r>
      <w:r>
        <w:rPr>
          <w:rFonts w:ascii="Times New Roman" w:eastAsia="Calibri" w:hAnsi="Times New Roman" w:cs="Times New Roman"/>
          <w:sz w:val="24"/>
          <w:szCs w:val="24"/>
        </w:rPr>
        <w:t xml:space="preserve"> list 2019, and medicines commonly used for prevention and treatment of diabetes mellitus and medicines for cardiovascular risk management that are listed in the current Ethiopian essential medicine list, and those medicines specified in the WHO core medicine list used for comparative </w:t>
      </w:r>
      <w:r>
        <w:rPr>
          <w:rFonts w:ascii="Times New Roman" w:eastAsia="Calibri" w:hAnsi="Times New Roman" w:cs="Times New Roman"/>
          <w:sz w:val="24"/>
          <w:szCs w:val="24"/>
        </w:rPr>
        <w:lastRenderedPageBreak/>
        <w:t>measurement of availability across the countries</w:t>
      </w:r>
      <w:r>
        <w:rPr>
          <w:rFonts w:ascii="Times New Roman" w:eastAsia="Calibri" w:hAnsi="Times New Roman" w:cs="Times New Roman"/>
          <w:sz w:val="24"/>
          <w:szCs w:val="24"/>
        </w:rPr>
        <w:fldChar w:fldCharType="begin" w:fldLock="1"/>
      </w:r>
      <w:r>
        <w:rPr>
          <w:rFonts w:ascii="Times New Roman" w:eastAsia="Calibri" w:hAnsi="Times New Roman" w:cs="Times New Roman"/>
          <w:sz w:val="24"/>
          <w:szCs w:val="24"/>
        </w:rPr>
        <w:instrText>ADDIN CSL_CITATION {"citationItems":[{"id":"ITEM-1","itemData":{"author":[{"dropping-particle":"","family":"World Health Organization","given":"","non-dropping-particle":"","parse-names":false,"suffix":""}],"id":"ITEM-1","issued":{"date-parts":[["2019"]]},"language":"en","publisher":"World Health Organization","publisher-place":"Geneva PP - Geneva","title":"World Health Organization model list of essential medicines: 21st list 2019","type":"report"},"uris":["http://www.mendeley.com/documents/?uuid=808eb226-e81a-4eb1-86fe-75835944bbe6"]},{"id":"ITEM-2","itemData":{"author":[{"dropping-particle":"","family":"Ethiopian Food and Drug Authority","given":"","non-dropping-particle":"","parse-names":false,"suffix":""}],"id":"ITEM-2","issued":{"date-parts":[["2020"]]},"note":"6. WHO Model List 21st edition (Adults) and 7th edition (Children) of 2019\n11. Ethiopian Pharmaceuticals Supply Agency (EPSA) Procurement lists (2018)\n12. Ethiopian Health Insurance Agency Medicine list(1st edition, 2016)","page":"46","title":"ETHIOPIAN ESSENTIAL MEDICINES LIST, sixth edition","type":"article-journal"},"uris":["http://www.mendeley.com/documents/?uuid=506299ba-cee0-47bd-9000-e6eebdcfe51b"]}],"mendeley":{"formattedCitation":"(World Health Organization, 2019; Ethiopian Food and Drug Authority, 2020)","plainTextFormattedCitation":"(World Health Organization, 2019; Ethiopian Food and Drug Authority, 2020)","previouslyFormattedCitation":"(World Health Organization, 2019; Ethiopian Food and Drug Authority, 2020)"},"properties":{"noteIndex":0},"schema":"https://github.com/citation-style-language/schema/raw/master/csl-citation.json"}</w:instrText>
      </w:r>
      <w:r>
        <w:rPr>
          <w:rFonts w:ascii="Times New Roman" w:eastAsia="Calibri" w:hAnsi="Times New Roman" w:cs="Times New Roman"/>
          <w:sz w:val="24"/>
          <w:szCs w:val="24"/>
        </w:rPr>
        <w:fldChar w:fldCharType="separate"/>
      </w:r>
      <w:r>
        <w:rPr>
          <w:rFonts w:ascii="Times New Roman" w:eastAsia="Calibri" w:hAnsi="Times New Roman" w:cs="Times New Roman"/>
          <w:noProof/>
          <w:sz w:val="24"/>
          <w:szCs w:val="24"/>
        </w:rPr>
        <w:t>(World Health Organization, 2019; Ethiopian Food and Drug Authority, 2020)</w:t>
      </w:r>
      <w:r>
        <w:rPr>
          <w:rFonts w:ascii="Times New Roman" w:eastAsia="Calibri" w:hAnsi="Times New Roman" w:cs="Times New Roman"/>
          <w:sz w:val="24"/>
          <w:szCs w:val="24"/>
        </w:rPr>
        <w:fldChar w:fldCharType="end"/>
      </w:r>
      <w:r>
        <w:rPr>
          <w:rFonts w:ascii="Times New Roman" w:eastAsia="Calibri" w:hAnsi="Times New Roman" w:cs="Times New Roman"/>
          <w:sz w:val="24"/>
          <w:szCs w:val="24"/>
        </w:rPr>
        <w:t>. One of the co-supervisors is a senior Endocrinologist and approved the selection of essential medicines. Two forms of products were selected and surveyed for each medicine; namely the originated brand (OB), more specifically the brand-name proprietary product, and the lowest-priced generic (LPG) product, the cheapest generic equivalent that was present at each pharmacy upon the time of the survey</w:t>
      </w:r>
      <w:sdt>
        <w:sdtPr>
          <w:rPr>
            <w:rFonts w:ascii="Times New Roman" w:eastAsia="Calibri" w:hAnsi="Times New Roman" w:cs="Times New Roman"/>
            <w:color w:val="000000"/>
            <w:sz w:val="24"/>
            <w:szCs w:val="24"/>
          </w:rPr>
          <w:tag w:val="MENDELEY_CITATION_v3_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"/>
          <w:id w:val="-607507008"/>
        </w:sdtPr>
        <w:sdtContent>
          <w:r>
            <w:rPr>
              <w:rFonts w:ascii="Times New Roman" w:eastAsia="Calibri" w:hAnsi="Times New Roman" w:cs="Times New Roman"/>
              <w:color w:val="000000"/>
              <w:sz w:val="24"/>
              <w:szCs w:val="24"/>
            </w:rPr>
            <w:t xml:space="preserve"> (World Health Organization; Health Action International., 2008)</w:t>
          </w:r>
        </w:sdtContent>
      </w:sdt>
      <w:r>
        <w:rPr>
          <w:rFonts w:ascii="Times New Roman" w:eastAsia="Calibri" w:hAnsi="Times New Roman" w:cs="Times New Roman"/>
          <w:sz w:val="24"/>
          <w:szCs w:val="24"/>
        </w:rPr>
        <w:t>.</w:t>
      </w:r>
    </w:p>
    <w:p w:rsidR="003A17E5" w:rsidRDefault="003A17E5" w:rsidP="003A17E5">
      <w:pPr>
        <w:keepNext/>
        <w:keepLines/>
        <w:spacing w:before="40" w:after="0" w:line="360" w:lineRule="auto"/>
        <w:outlineLvl w:val="1"/>
        <w:rPr>
          <w:rFonts w:ascii="Times New Roman" w:eastAsiaTheme="majorEastAsia" w:hAnsi="Times New Roman" w:cs="Times New Roman"/>
          <w:b/>
          <w:color w:val="000000" w:themeColor="text1"/>
          <w:sz w:val="26"/>
          <w:szCs w:val="26"/>
        </w:rPr>
      </w:pPr>
      <w:bookmarkStart w:id="33" w:name="_Toc116532465"/>
      <w:r>
        <w:rPr>
          <w:rFonts w:ascii="Times New Roman" w:eastAsia="Calibri" w:hAnsi="Times New Roman" w:cs="Times New Roman"/>
          <w:b/>
          <w:color w:val="000000" w:themeColor="text1"/>
          <w:sz w:val="26"/>
          <w:szCs w:val="26"/>
        </w:rPr>
        <w:t>Data collection</w:t>
      </w:r>
      <w:r>
        <w:rPr>
          <w:rFonts w:ascii="Times New Roman" w:eastAsia="Calibri" w:hAnsi="Times New Roman" w:cs="Times New Roman"/>
          <w:b/>
          <w:color w:val="000000" w:themeColor="text1"/>
          <w:sz w:val="24"/>
          <w:szCs w:val="24"/>
        </w:rPr>
        <w:t xml:space="preserve"> tool, procedures and data collectors</w:t>
      </w:r>
      <w:bookmarkEnd w:id="33"/>
    </w:p>
    <w:p w:rsidR="003A17E5" w:rsidRDefault="003A17E5" w:rsidP="003A17E5">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The study employed a quantitative data collection method which was adapted from WHO/HAI standardized methodology on measuring medicine availability, prices, and affordability. Three experienced pharmacists were appointed and trained as data collectors for this study.</w:t>
      </w:r>
      <w:r>
        <w:rPr>
          <w:rFonts w:ascii="Times New Roman" w:hAnsi="Times New Roman" w:cs="Times New Roman"/>
        </w:rPr>
        <w:t xml:space="preserve"> </w:t>
      </w:r>
      <w:r>
        <w:rPr>
          <w:rFonts w:ascii="Times New Roman" w:eastAsia="Calibri" w:hAnsi="Times New Roman" w:cs="Times New Roman"/>
          <w:sz w:val="24"/>
          <w:szCs w:val="24"/>
        </w:rPr>
        <w:t>They received one-day training on the study’s purpose, the different names, strengths, and dosage forms of selected medicines, how to complete the data collecting form, and how to compute unit costs. Data on availability of essential medicines was determined by direct observation: a medicine was considered available if it was on the shelf and ready to be dispensed at the time of the visit.</w:t>
      </w:r>
      <w:r>
        <w:rPr>
          <w:rFonts w:ascii="Times New Roman" w:hAnsi="Times New Roman" w:cs="Times New Roman"/>
        </w:rPr>
        <w:t xml:space="preserve"> </w:t>
      </w:r>
      <w:r>
        <w:rPr>
          <w:rFonts w:ascii="Times New Roman" w:eastAsia="Calibri" w:hAnsi="Times New Roman" w:cs="Times New Roman"/>
          <w:sz w:val="24"/>
          <w:szCs w:val="24"/>
        </w:rPr>
        <w:t>Price data (selling prices of medicines for end users) was recorded for medicine in stock.</w:t>
      </w:r>
      <w:r>
        <w:rPr>
          <w:rFonts w:ascii="Times New Roman" w:hAnsi="Times New Roman" w:cs="Times New Roman"/>
        </w:rPr>
        <w:t xml:space="preserve"> </w:t>
      </w:r>
      <w:r>
        <w:rPr>
          <w:rFonts w:ascii="Times New Roman" w:eastAsia="Calibri" w:hAnsi="Times New Roman" w:cs="Times New Roman"/>
          <w:sz w:val="24"/>
          <w:szCs w:val="24"/>
        </w:rPr>
        <w:t xml:space="preserve">Public-sector procurement prices were gathered from the procurement unit of EPSA during the last two years. The unit prices of the medicines were defined as price per capsule/tablet or price per vial. Data collectors computed these unit prices by using the equation shown here.       </w:t>
      </w:r>
      <w:r>
        <w:rPr>
          <w:rFonts w:ascii="Times New Roman" w:eastAsia="Calibri" w:hAnsi="Times New Roman" w:cs="Times New Roman"/>
          <w:szCs w:val="24"/>
        </w:rPr>
        <w:t xml:space="preserve">  </w:t>
      </w:r>
      <m:oMath>
        <m:r>
          <m:rPr>
            <m:sty m:val="bi"/>
          </m:rPr>
          <w:rPr>
            <w:rFonts w:ascii="Cambria Math" w:eastAsia="Calibri" w:hAnsi="Cambria Math" w:cs="Times New Roman"/>
            <w:sz w:val="24"/>
            <w:szCs w:val="24"/>
          </w:rPr>
          <m:t>Unit Price=</m:t>
        </m:r>
        <m:f>
          <m:fPr>
            <m:ctrlPr>
              <w:rPr>
                <w:rFonts w:ascii="Cambria Math" w:eastAsia="Calibri" w:hAnsi="Cambria Math" w:cs="Times New Roman"/>
                <w:b/>
                <w:i/>
                <w:sz w:val="24"/>
                <w:szCs w:val="24"/>
              </w:rPr>
            </m:ctrlPr>
          </m:fPr>
          <m:num>
            <m:r>
              <m:rPr>
                <m:sty m:val="b"/>
              </m:rPr>
              <w:rPr>
                <w:rFonts w:ascii="Cambria Math" w:hAnsi="Cambria Math" w:cs="Times New Roman"/>
                <w:sz w:val="24"/>
                <w:szCs w:val="24"/>
                <w:u w:val="thick"/>
              </w:rPr>
              <m:t>Price of Package of Medicine Found</m:t>
            </m:r>
          </m:num>
          <m:den>
            <m:r>
              <m:rPr>
                <m:sty m:val="b"/>
              </m:rPr>
              <w:rPr>
                <w:rFonts w:ascii="Cambria Math" w:hAnsi="Cambria Math" w:cs="Times New Roman"/>
                <w:sz w:val="24"/>
                <w:szCs w:val="24"/>
              </w:rPr>
              <m:t>Pack Size of Medicine Found</m:t>
            </m:r>
          </m:den>
        </m:f>
      </m:oMath>
    </w:p>
    <w:p w:rsidR="003A17E5" w:rsidRDefault="003A17E5" w:rsidP="003A17E5">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Both price lists and prices on the pack of medicine were used to fill the data for each surveyed medicine physically found in each sampled facility. The prices were converted to US dollars using the buying exchange rate, i.e.,</w:t>
      </w:r>
      <w:r>
        <w:rPr>
          <w:rFonts w:ascii="Times New Roman" w:hAnsi="Times New Roman" w:cs="Times New Roman"/>
        </w:rPr>
        <w:t xml:space="preserve"> </w:t>
      </w:r>
      <w:r>
        <w:rPr>
          <w:rFonts w:ascii="Times New Roman" w:eastAsia="Calibri" w:hAnsi="Times New Roman" w:cs="Times New Roman"/>
          <w:sz w:val="24"/>
          <w:szCs w:val="24"/>
        </w:rPr>
        <w:t>1USD = 49.1482 ETB that was taken from Ethiopian national bank website on January 1</w:t>
      </w:r>
      <w:r>
        <w:rPr>
          <w:rFonts w:ascii="Times New Roman" w:eastAsia="Calibri" w:hAnsi="Times New Roman" w:cs="Times New Roman"/>
          <w:sz w:val="24"/>
          <w:szCs w:val="24"/>
          <w:vertAlign w:val="superscript"/>
        </w:rPr>
        <w:t>st</w:t>
      </w:r>
      <w:r>
        <w:rPr>
          <w:rFonts w:ascii="Times New Roman" w:eastAsia="Calibri" w:hAnsi="Times New Roman" w:cs="Times New Roman"/>
          <w:sz w:val="24"/>
          <w:szCs w:val="24"/>
        </w:rPr>
        <w:t xml:space="preserve"> 2022, the first day of data collection (National Bank of Ethiopia, 2022). </w:t>
      </w:r>
    </w:p>
    <w:p w:rsidR="003A17E5" w:rsidRDefault="003A17E5" w:rsidP="003A17E5">
      <w:pPr>
        <w:keepNext/>
        <w:keepLines/>
        <w:spacing w:before="40" w:after="0" w:line="360" w:lineRule="auto"/>
        <w:outlineLvl w:val="1"/>
        <w:rPr>
          <w:rFonts w:ascii="Times New Roman" w:eastAsia="Calibri" w:hAnsi="Times New Roman" w:cs="Times New Roman"/>
          <w:b/>
          <w:color w:val="000000" w:themeColor="text1"/>
          <w:sz w:val="26"/>
          <w:szCs w:val="26"/>
        </w:rPr>
      </w:pPr>
      <w:r>
        <w:rPr>
          <w:rFonts w:ascii="Times New Roman" w:eastAsia="Calibri" w:hAnsi="Times New Roman" w:cs="Times New Roman"/>
          <w:b/>
          <w:color w:val="000000" w:themeColor="text1"/>
          <w:sz w:val="26"/>
          <w:szCs w:val="26"/>
        </w:rPr>
        <w:t>Data quality assurance</w:t>
      </w:r>
    </w:p>
    <w:p w:rsidR="003A17E5" w:rsidRDefault="003A17E5" w:rsidP="003A17E5">
      <w:pPr>
        <w:spacing w:before="240" w:line="360" w:lineRule="auto"/>
        <w:jc w:val="both"/>
        <w:rPr>
          <w:rFonts w:ascii="Times New Roman" w:hAnsi="Times New Roman" w:cs="Times New Roman"/>
          <w:sz w:val="28"/>
          <w:szCs w:val="28"/>
        </w:rPr>
      </w:pPr>
      <w:r>
        <w:rPr>
          <w:rFonts w:ascii="Times New Roman" w:hAnsi="Times New Roman" w:cs="Times New Roman"/>
          <w:sz w:val="24"/>
          <w:szCs w:val="24"/>
        </w:rPr>
        <w:t xml:space="preserve">To maintain the quality of information in this study, experienced and trained pharmacists collected data. </w:t>
      </w:r>
      <w:r>
        <w:rPr>
          <w:rFonts w:ascii="Times New Roman" w:eastAsia="Calibri" w:hAnsi="Times New Roman" w:cs="Times New Roman"/>
          <w:sz w:val="24"/>
          <w:szCs w:val="24"/>
        </w:rPr>
        <w:t>The availability of essential medicines was checked with the help of the dispenser by physically verifying the medicines on the shelves.</w:t>
      </w:r>
      <w:r>
        <w:rPr>
          <w:rFonts w:ascii="Times New Roman" w:hAnsi="Times New Roman" w:cs="Times New Roman"/>
          <w:sz w:val="24"/>
          <w:szCs w:val="24"/>
        </w:rPr>
        <w:t xml:space="preserve"> A pilot study was carried out in six (10%) drug outlets included from both public and private sectors (Annex F and H). These retail outlets were finally excluded from sampling facilities and data was not included in analysis. The list of medicines, strength and dosage forms were </w:t>
      </w:r>
      <w:r>
        <w:rPr>
          <w:rFonts w:ascii="Times New Roman" w:hAnsi="Times New Roman" w:cs="Times New Roman"/>
          <w:sz w:val="24"/>
          <w:szCs w:val="24"/>
        </w:rPr>
        <w:lastRenderedPageBreak/>
        <w:t>reviewed following the pilot test. Furthermore, during the actual data collection, the questionnaires were revised for completeness of the forms and accuracy of unit prices each day after the field work completion.</w:t>
      </w:r>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Data completeness and accuracy were checked for before leaving the facility and as such, no data was missed. The principal investigator closely supervised the data collection process. Information on the medicine price data collection forms have been checked again for legibility and consistency prior to the initiation of data entry. Double data entry has been done to identify any discrepancies in data. Descriptive statistics were also used to clean the raw data.</w:t>
      </w:r>
    </w:p>
    <w:p w:rsidR="003A17E5" w:rsidRDefault="003A17E5" w:rsidP="003A17E5">
      <w:pPr>
        <w:keepNext/>
        <w:keepLines/>
        <w:spacing w:before="40" w:after="0" w:line="360" w:lineRule="auto"/>
        <w:outlineLvl w:val="1"/>
        <w:rPr>
          <w:rFonts w:ascii="Times New Roman" w:eastAsia="Calibri" w:hAnsi="Times New Roman" w:cs="Times New Roman"/>
          <w:b/>
          <w:color w:val="000000" w:themeColor="text1"/>
          <w:sz w:val="26"/>
          <w:szCs w:val="26"/>
        </w:rPr>
      </w:pPr>
      <w:r>
        <w:rPr>
          <w:rFonts w:ascii="Times New Roman" w:eastAsia="Calibri" w:hAnsi="Times New Roman" w:cs="Times New Roman"/>
          <w:b/>
          <w:color w:val="000000" w:themeColor="text1"/>
          <w:sz w:val="26"/>
          <w:szCs w:val="26"/>
        </w:rPr>
        <w:t>Data entry and Analysis</w:t>
      </w:r>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Data were entered and analyzed using the recent version of the pre-programmed MS Excel workbook I developed by WHO/HAI methodology</w:t>
      </w:r>
      <w:r>
        <w:rPr>
          <w:rFonts w:ascii="Times New Roman" w:eastAsia="Calibri" w:hAnsi="Times New Roman" w:cs="Times New Roman"/>
          <w:sz w:val="24"/>
          <w:szCs w:val="24"/>
        </w:rPr>
        <w:fldChar w:fldCharType="begin" w:fldLock="1"/>
      </w:r>
      <w:r>
        <w:rPr>
          <w:rFonts w:ascii="Times New Roman" w:eastAsia="Calibri" w:hAnsi="Times New Roman" w:cs="Times New Roman"/>
          <w:sz w:val="24"/>
          <w:szCs w:val="24"/>
        </w:rPr>
        <w:instrText>ADDIN CSL_CITATION {"citationItems":[{"id":"ITEM-1","itemData":{"author":[{"dropping-particle":"","family":"World Health Organization; Health Action International.","given":"","non-dropping-particle":"","parse-names":false,"suffix":""}],"edition":"2nd","id":"ITEM-1","issued":{"date-parts":[["2008"]]},"publisher":"WHO","publisher-place":"Geneva, Switzerland","title":"Measuring Medicine prices, availability, affordability and price components.","type":"book"},"uris":["http://www.mendeley.com/documents/?uuid=97532832-64d0-40b9-9e5b-73d0d46fcb76"]}],"mendeley":{"formattedCitation":"(World Health Organization; Health Action International., 2008)","plainTextFormattedCitation":"(World Health Organization; Health Action International., 2008)","previouslyFormattedCitation":"(World Health Organization; Health Action International., 2008)"},"properties":{"noteIndex":0},"schema":"https://github.com/citation-style-language/schema/raw/master/csl-citation.json"}</w:instrText>
      </w:r>
      <w:r>
        <w:rPr>
          <w:rFonts w:ascii="Times New Roman" w:eastAsia="Calibri" w:hAnsi="Times New Roman" w:cs="Times New Roman"/>
          <w:sz w:val="24"/>
          <w:szCs w:val="24"/>
        </w:rPr>
        <w:fldChar w:fldCharType="separate"/>
      </w:r>
      <w:r>
        <w:rPr>
          <w:rFonts w:ascii="Times New Roman" w:eastAsia="Calibri" w:hAnsi="Times New Roman" w:cs="Times New Roman"/>
          <w:noProof/>
          <w:sz w:val="24"/>
          <w:szCs w:val="24"/>
        </w:rPr>
        <w:t>(World Health Organization; Health Action International., 2008)</w:t>
      </w:r>
      <w:r>
        <w:rPr>
          <w:rFonts w:ascii="Times New Roman" w:eastAsia="Calibri" w:hAnsi="Times New Roman" w:cs="Times New Roman"/>
          <w:sz w:val="24"/>
          <w:szCs w:val="24"/>
        </w:rPr>
        <w:fldChar w:fldCharType="end"/>
      </w:r>
      <w:r>
        <w:rPr>
          <w:rFonts w:ascii="Times New Roman" w:eastAsia="Calibri" w:hAnsi="Times New Roman" w:cs="Times New Roman"/>
          <w:sz w:val="24"/>
          <w:szCs w:val="24"/>
        </w:rPr>
        <w:t xml:space="preserve">. Data were entered two times to guarantee the quality of data and to prevent any errors through software double entry and data checker functions. Codes were used to identify public health facilities and private retail outlets instead of using actual names to maintain their anonymity. The data analysis was done at a univariate level to show percentages, means, standard deviation, and proportion. Tables, graphs, and charts were built for ease of understanding of the results. The study used the following definitions to measure the outcomes: Medicines availability, price and affordability. </w:t>
      </w:r>
      <w:bookmarkStart w:id="34" w:name="_Hlk86960122"/>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Availability evaluation and criteria</w:t>
      </w:r>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In the present study, availability of medicines was defined as the presence of surveyed medicines in selected retail outlets by their specified strength and dosage form on the day of data collection (on survey date). Availability was determined as mean percentage (%) availability of individual medicines, availability across groups of medicines, variations between product types such as (LPGs vs OBs) and of individual medicines between sectors.</w:t>
      </w:r>
      <w:bookmarkEnd w:id="34"/>
      <w:r>
        <w:rPr>
          <w:rFonts w:ascii="Times New Roman" w:eastAsia="Calibri" w:hAnsi="Times New Roman" w:cs="Times New Roman"/>
          <w:sz w:val="24"/>
          <w:szCs w:val="24"/>
        </w:rPr>
        <w:t xml:space="preserve"> The following criteria were used to describe the extent of availability of medicine for diabetes care</w:t>
      </w:r>
      <w:sdt>
        <w:sdtPr>
          <w:rPr>
            <w:rFonts w:ascii="Times New Roman" w:eastAsia="Calibri" w:hAnsi="Times New Roman" w:cs="Times New Roman"/>
            <w:color w:val="000000"/>
            <w:sz w:val="24"/>
            <w:szCs w:val="24"/>
          </w:rPr>
          <w:tag w:val="MENDELEY_CITATION_v3_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"/>
          <w:id w:val="466488934"/>
        </w:sdtPr>
        <w:sdtContent>
          <w:r>
            <w:rPr>
              <w:rFonts w:ascii="Times New Roman" w:eastAsia="Calibri" w:hAnsi="Times New Roman" w:cs="Times New Roman"/>
              <w:color w:val="000000"/>
              <w:sz w:val="24"/>
              <w:szCs w:val="24"/>
            </w:rPr>
            <w:t xml:space="preserve"> </w:t>
          </w:r>
          <w:r>
            <w:rPr>
              <w:rFonts w:ascii="Times New Roman" w:eastAsia="Times New Roman" w:hAnsi="Times New Roman" w:cs="Times New Roman"/>
            </w:rPr>
            <w:t xml:space="preserve">(Gelders </w:t>
          </w:r>
          <w:r>
            <w:rPr>
              <w:rFonts w:ascii="Times New Roman" w:eastAsia="Times New Roman" w:hAnsi="Times New Roman" w:cs="Times New Roman"/>
              <w:i/>
              <w:iCs/>
            </w:rPr>
            <w:t>et al.</w:t>
          </w:r>
          <w:r>
            <w:rPr>
              <w:rFonts w:ascii="Times New Roman" w:eastAsia="Times New Roman" w:hAnsi="Times New Roman" w:cs="Times New Roman"/>
            </w:rPr>
            <w:t xml:space="preserve">, 2006; Gong </w:t>
          </w:r>
          <w:r>
            <w:rPr>
              <w:rFonts w:ascii="Times New Roman" w:eastAsia="Times New Roman" w:hAnsi="Times New Roman" w:cs="Times New Roman"/>
              <w:i/>
              <w:iCs/>
            </w:rPr>
            <w:t>et al.</w:t>
          </w:r>
          <w:r>
            <w:rPr>
              <w:rFonts w:ascii="Times New Roman" w:eastAsia="Times New Roman" w:hAnsi="Times New Roman" w:cs="Times New Roman"/>
            </w:rPr>
            <w:t>, 2018)</w:t>
          </w:r>
        </w:sdtContent>
      </w:sdt>
      <w:r>
        <w:rPr>
          <w:rFonts w:ascii="Times New Roman" w:eastAsia="Calibri" w:hAnsi="Times New Roman" w:cs="Times New Roman"/>
          <w:sz w:val="24"/>
          <w:szCs w:val="24"/>
        </w:rPr>
        <w:t>.</w:t>
      </w:r>
    </w:p>
    <w:p w:rsidR="003A17E5" w:rsidRDefault="003A17E5" w:rsidP="003A17E5">
      <w:pPr>
        <w:pStyle w:val="ListParagraph"/>
        <w:numPr>
          <w:ilvl w:val="0"/>
          <w:numId w:val="3"/>
        </w:num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Absent (0% </w:t>
      </w:r>
      <w:bookmarkStart w:id="35" w:name="_Hlk106395723"/>
      <w:r>
        <w:rPr>
          <w:rFonts w:ascii="Times New Roman" w:eastAsia="Calibri" w:hAnsi="Times New Roman" w:cs="Times New Roman"/>
          <w:sz w:val="24"/>
          <w:szCs w:val="24"/>
        </w:rPr>
        <w:t>retail outlets</w:t>
      </w:r>
      <w:bookmarkEnd w:id="35"/>
      <w:r>
        <w:rPr>
          <w:rFonts w:ascii="Times New Roman" w:eastAsia="Calibri" w:hAnsi="Times New Roman" w:cs="Times New Roman"/>
          <w:sz w:val="24"/>
          <w:szCs w:val="24"/>
        </w:rPr>
        <w:t xml:space="preserve">): not found in any retail outlet surveyed </w:t>
      </w:r>
    </w:p>
    <w:p w:rsidR="003A17E5" w:rsidRDefault="003A17E5" w:rsidP="003A17E5">
      <w:pPr>
        <w:pStyle w:val="ListParagraph"/>
        <w:numPr>
          <w:ilvl w:val="0"/>
          <w:numId w:val="3"/>
        </w:num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Very low (&lt; 30% retail outlets): very difficult to find </w:t>
      </w:r>
    </w:p>
    <w:p w:rsidR="003A17E5" w:rsidRDefault="003A17E5" w:rsidP="003A17E5">
      <w:pPr>
        <w:pStyle w:val="ListParagraph"/>
        <w:numPr>
          <w:ilvl w:val="0"/>
          <w:numId w:val="3"/>
        </w:num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Low (30–49% of retail outlets): somewhat difficult to find </w:t>
      </w:r>
    </w:p>
    <w:p w:rsidR="003A17E5" w:rsidRDefault="003A17E5" w:rsidP="003A17E5">
      <w:pPr>
        <w:pStyle w:val="ListParagraph"/>
        <w:numPr>
          <w:ilvl w:val="0"/>
          <w:numId w:val="3"/>
        </w:num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Fairly high (50–80% of retail outlets): available in some retail outlet</w:t>
      </w:r>
    </w:p>
    <w:p w:rsidR="003A17E5" w:rsidRDefault="003A17E5" w:rsidP="003A17E5">
      <w:pPr>
        <w:pStyle w:val="ListParagraph"/>
        <w:numPr>
          <w:ilvl w:val="0"/>
          <w:numId w:val="3"/>
        </w:num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Very high (&gt;80% of retail outlets): good availability</w:t>
      </w:r>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Price evaluation</w:t>
      </w:r>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In analysis of price data both lowest priced generics and originator brand medicines were analyzed separately. Median value of retail price, interquartile prices ranges and minimum and maximum prices were used to describe individual medicines price data in local currency (ETB). Price data of medicines that were found in less than four medicine retail outlets were not included in price analysis.</w:t>
      </w:r>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Affordability assessment</w:t>
      </w:r>
    </w:p>
    <w:p w:rsidR="003A17E5" w:rsidRDefault="003A17E5" w:rsidP="003A17E5">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assess affordability standard treatment for each medicine was used on the basis of their defined daily dose (DDD). The expected average maintenance dose per day for a medicine used for its main indication in adults is referred to as the defined daily dose (DDD). As a standard dose unit of measurement, it utilized DDD. The WHO DDD index web page was used to obtain the DDD of each medicine in the study</w:t>
      </w:r>
      <w:sdt>
        <w:sdtPr>
          <w:rPr>
            <w:rFonts w:ascii="Times New Roman" w:eastAsia="Calibri" w:hAnsi="Times New Roman" w:cs="Times New Roman"/>
            <w:color w:val="000000"/>
            <w:sz w:val="24"/>
            <w:szCs w:val="24"/>
          </w:rPr>
          <w:tag w:val="MENDELEY_CITATION_v3_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"/>
          <w:id w:val="1031155885"/>
        </w:sdtPr>
        <w:sdtContent>
          <w:r>
            <w:rPr>
              <w:rFonts w:ascii="Times New Roman" w:eastAsia="Calibri" w:hAnsi="Times New Roman" w:cs="Times New Roman"/>
              <w:color w:val="000000"/>
              <w:sz w:val="24"/>
              <w:szCs w:val="24"/>
            </w:rPr>
            <w:t xml:space="preserve"> (WHO Collaborating Center for Drug statistics Methodology, 2022)</w:t>
          </w:r>
        </w:sdtContent>
      </w:sdt>
      <w:r>
        <w:rPr>
          <w:rFonts w:ascii="Times New Roman" w:eastAsia="Calibri" w:hAnsi="Times New Roman" w:cs="Times New Roman"/>
          <w:sz w:val="24"/>
          <w:szCs w:val="24"/>
        </w:rPr>
        <w:t>. According to the WHO/HAI criteria, drug affordability is defined as the ability to pay for a course of treatment based on the lowest-paid unskilled government worker's daily salary.</w:t>
      </w:r>
      <w:r>
        <w:rPr>
          <w:rFonts w:ascii="Times New Roman" w:hAnsi="Times New Roman" w:cs="Times New Roman"/>
        </w:rPr>
        <w:t xml:space="preserve"> </w:t>
      </w:r>
      <w:r>
        <w:rPr>
          <w:rFonts w:ascii="Times New Roman" w:eastAsia="Calibri" w:hAnsi="Times New Roman" w:cs="Times New Roman"/>
          <w:sz w:val="24"/>
          <w:szCs w:val="24"/>
        </w:rPr>
        <w:t>If the cost of a course of treatment of an antidiabetic drug is no more than one day’s wage or income, it is considered affordable. The treatment courses that cost more than one-day wage was classified as unaffordable.</w:t>
      </w:r>
    </w:p>
    <w:p w:rsidR="003A17E5" w:rsidRDefault="003A17E5" w:rsidP="003A17E5">
      <w:pPr>
        <w:spacing w:before="240" w:line="360" w:lineRule="auto"/>
        <w:jc w:val="both"/>
        <w:rPr>
          <w:rFonts w:ascii="Times New Roman" w:eastAsia="Calibri" w:hAnsi="Times New Roman" w:cs="Times New Roman"/>
          <w:sz w:val="24"/>
          <w:szCs w:val="24"/>
        </w:rPr>
      </w:pPr>
      <w:r>
        <w:rPr>
          <w:noProof/>
          <w:lang w:val="en-GB" w:eastAsia="en-GB"/>
        </w:rPr>
        <mc:AlternateContent>
          <mc:Choice Requires="wps">
            <w:drawing>
              <wp:anchor distT="0" distB="0" distL="114300" distR="114300" simplePos="0" relativeHeight="251658240" behindDoc="0" locked="0" layoutInCell="1" allowOverlap="1">
                <wp:simplePos x="0" y="0"/>
                <wp:positionH relativeFrom="column">
                  <wp:posOffset>1868805</wp:posOffset>
                </wp:positionH>
                <wp:positionV relativeFrom="paragraph">
                  <wp:posOffset>-207010</wp:posOffset>
                </wp:positionV>
                <wp:extent cx="3895725" cy="675005"/>
                <wp:effectExtent l="0" t="0" r="28575" b="10795"/>
                <wp:wrapNone/>
                <wp:docPr id="12" name="Text Box 12"/>
                <wp:cNvGraphicFramePr/>
                <a:graphic xmlns:a="http://schemas.openxmlformats.org/drawingml/2006/main">
                  <a:graphicData uri="http://schemas.microsoft.com/office/word/2010/wordprocessingShape">
                    <wps:wsp>
                      <wps:cNvSpPr txBox="1"/>
                      <wps:spPr>
                        <a:xfrm>
                          <a:off x="0" y="0"/>
                          <a:ext cx="3895725" cy="675005"/>
                        </a:xfrm>
                        <a:prstGeom prst="rect">
                          <a:avLst/>
                        </a:prstGeom>
                        <a:solidFill>
                          <a:sysClr val="window" lastClr="FFFFFF"/>
                        </a:solidFill>
                        <a:ln w="19050">
                          <a:solidFill>
                            <a:sysClr val="windowText" lastClr="000000"/>
                          </a:solidFill>
                        </a:ln>
                      </wps:spPr>
                      <wps:txbx>
                        <w:txbxContent>
                          <w:p w:rsidR="00B946F5" w:rsidRDefault="00B946F5" w:rsidP="003A17E5">
                            <w:r>
                              <w:rPr>
                                <w:rFonts w:ascii="Times New Roman" w:eastAsia="Calibri" w:hAnsi="Times New Roman" w:cs="Times New Roman"/>
                                <w:sz w:val="24"/>
                                <w:szCs w:val="24"/>
                              </w:rPr>
                              <w:t>Number of unit dose required for Defined daily dose of medicine × Median unit price of medicine × Days of a treatment course (30 days)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147.15pt;margin-top:-16.3pt;width:306.75pt;height:5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" fillcolor="window" strokecolor="windowText" strokeweight="1.5pt">
                <v:textbox>
                  <w:txbxContent>
                    <w:p w:rsidR="00B946F5" w:rsidRDefault="00B946F5" w:rsidP="003A17E5">
                      <w:r>
                        <w:rPr>
                          <w:rFonts w:ascii="Times New Roman" w:eastAsia="Calibri" w:hAnsi="Times New Roman" w:cs="Times New Roman"/>
                          <w:sz w:val="24"/>
                          <w:szCs w:val="24"/>
                        </w:rPr>
                        <w:t>Number of unit dose required for Defined daily dose of medicine × Median unit price of medicine × Days of a treatment course (30 days)</w:t>
                      </w:r>
                    </w:p>
                  </w:txbxContent>
                </v:textbox>
              </v:shape>
            </w:pict>
          </mc:Fallback>
        </mc:AlternateContent>
      </w:r>
      <w:r>
        <w:rPr>
          <w:rFonts w:ascii="Times New Roman" w:eastAsia="Calibri" w:hAnsi="Times New Roman" w:cs="Times New Roman"/>
          <w:sz w:val="24"/>
          <w:szCs w:val="24"/>
        </w:rPr>
        <w:t>Cost of a treatment course =</w:t>
      </w:r>
    </w:p>
    <w:p w:rsidR="00696D3F" w:rsidRDefault="003A17E5" w:rsidP="00696D3F">
      <w:pPr>
        <w:spacing w:before="24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Thus, Days wages used to express affordability was calculated as division of cost of treatment course by</w:t>
      </w:r>
      <w:r>
        <w:rPr>
          <w:rFonts w:ascii="Times New Roman" w:hAnsi="Times New Roman" w:cs="Times New Roman"/>
        </w:rPr>
        <w:t xml:space="preserve"> </w:t>
      </w:r>
      <w:r>
        <w:rPr>
          <w:rFonts w:ascii="Times New Roman" w:eastAsia="Calibri" w:hAnsi="Times New Roman" w:cs="Times New Roman"/>
          <w:sz w:val="24"/>
          <w:szCs w:val="24"/>
        </w:rPr>
        <w:t xml:space="preserve">daily wage of lowest paid unskilled government worker. As of January 2022, Ethiopian Civil Service Authority pays 1409 birr/month, or 28.67$/month to the lowest paid unskilled government worker. As a result, the daily wage was calculated by dividing the net salary for the previous 30 days, which was ETB 46.97/day (USD 0.96/day).  </w:t>
      </w: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696D3F" w:rsidRDefault="00696D3F" w:rsidP="00696D3F">
      <w:pPr>
        <w:spacing w:before="240" w:line="360" w:lineRule="auto"/>
        <w:jc w:val="both"/>
        <w:rPr>
          <w:rFonts w:ascii="Times New Roman" w:eastAsia="Calibri" w:hAnsi="Times New Roman" w:cs="Times New Roman"/>
          <w:b/>
          <w:bCs/>
          <w:sz w:val="28"/>
          <w:szCs w:val="28"/>
        </w:rPr>
      </w:pPr>
    </w:p>
    <w:p w:rsidR="009C76CC" w:rsidRPr="00696D3F" w:rsidRDefault="00696D3F" w:rsidP="00696D3F">
      <w:pPr>
        <w:spacing w:before="240" w:line="360" w:lineRule="auto"/>
        <w:jc w:val="both"/>
        <w:rPr>
          <w:rFonts w:ascii="Times New Roman" w:eastAsia="Calibri" w:hAnsi="Times New Roman" w:cs="Times New Roman"/>
          <w:b/>
          <w:bCs/>
          <w:sz w:val="28"/>
          <w:szCs w:val="28"/>
        </w:rPr>
      </w:pPr>
      <w:r w:rsidRPr="00696D3F">
        <w:rPr>
          <w:rFonts w:ascii="Times New Roman" w:eastAsia="Calibri" w:hAnsi="Times New Roman" w:cs="Times New Roman"/>
          <w:b/>
          <w:bCs/>
          <w:sz w:val="28"/>
          <w:szCs w:val="28"/>
        </w:rPr>
        <w:t>Annex V</w:t>
      </w:r>
      <w:r w:rsidR="002329A4">
        <w:rPr>
          <w:rFonts w:ascii="Times New Roman" w:eastAsia="Calibri" w:hAnsi="Times New Roman" w:cs="Times New Roman"/>
          <w:b/>
          <w:bCs/>
          <w:sz w:val="28"/>
          <w:szCs w:val="28"/>
        </w:rPr>
        <w:t>II</w:t>
      </w:r>
      <w:r w:rsidRPr="00696D3F">
        <w:rPr>
          <w:rFonts w:ascii="Times New Roman" w:eastAsia="Calibri" w:hAnsi="Times New Roman" w:cs="Times New Roman"/>
          <w:b/>
          <w:bCs/>
          <w:sz w:val="28"/>
          <w:szCs w:val="28"/>
        </w:rPr>
        <w:t xml:space="preserve">: </w:t>
      </w:r>
      <w:r w:rsidR="009C76CC" w:rsidRPr="00696D3F">
        <w:rPr>
          <w:rFonts w:ascii="Times New Roman" w:eastAsia="Calibri" w:hAnsi="Times New Roman" w:cs="Times New Roman"/>
          <w:b/>
          <w:bCs/>
          <w:color w:val="000000" w:themeColor="text1"/>
          <w:sz w:val="28"/>
          <w:szCs w:val="28"/>
        </w:rPr>
        <w:t>Operational definitions</w:t>
      </w:r>
      <w:bookmarkEnd w:id="6"/>
    </w:p>
    <w:p w:rsidR="00BD4A23" w:rsidRPr="00573D98" w:rsidRDefault="00BD4A23" w:rsidP="00BD4A23">
      <w:pPr>
        <w:spacing w:line="480" w:lineRule="auto"/>
        <w:rPr>
          <w:rFonts w:ascii="Times New Roman" w:hAnsi="Times New Roman" w:cs="Times New Roman"/>
          <w:b/>
          <w:bCs/>
          <w:sz w:val="24"/>
          <w:szCs w:val="24"/>
        </w:rPr>
      </w:pPr>
      <w:r w:rsidRPr="00EC57BF">
        <w:rPr>
          <w:rFonts w:ascii="Times New Roman" w:hAnsi="Times New Roman" w:cs="Times New Roman"/>
          <w:b/>
          <w:bCs/>
          <w:sz w:val="24"/>
          <w:szCs w:val="24"/>
        </w:rPr>
        <w:t>Access</w:t>
      </w:r>
      <w:r>
        <w:rPr>
          <w:rFonts w:ascii="Times New Roman" w:hAnsi="Times New Roman" w:cs="Times New Roman"/>
          <w:b/>
          <w:bCs/>
          <w:sz w:val="24"/>
          <w:szCs w:val="24"/>
        </w:rPr>
        <w:t>—</w:t>
      </w:r>
      <w:r w:rsidRPr="00EC57BF">
        <w:rPr>
          <w:rFonts w:ascii="Times New Roman" w:hAnsi="Times New Roman" w:cs="Times New Roman"/>
          <w:sz w:val="24"/>
          <w:szCs w:val="24"/>
        </w:rPr>
        <w:t xml:space="preserve">is physical and economical accessibility of essential medicine/EM/ in </w:t>
      </w:r>
      <w:r w:rsidR="00281932">
        <w:rPr>
          <w:rFonts w:ascii="Times New Roman" w:hAnsi="Times New Roman" w:cs="Times New Roman"/>
          <w:sz w:val="24"/>
          <w:szCs w:val="24"/>
        </w:rPr>
        <w:t>the studied</w:t>
      </w:r>
      <w:r w:rsidRPr="00EC57BF">
        <w:rPr>
          <w:rFonts w:ascii="Times New Roman" w:hAnsi="Times New Roman" w:cs="Times New Roman"/>
          <w:sz w:val="24"/>
          <w:szCs w:val="24"/>
        </w:rPr>
        <w:t xml:space="preserve"> public and private health facilities during the period of study.</w:t>
      </w:r>
    </w:p>
    <w:p w:rsidR="00BD4A23" w:rsidRPr="00573D98" w:rsidRDefault="00BD4A23" w:rsidP="00BD4A23">
      <w:pPr>
        <w:spacing w:line="480" w:lineRule="auto"/>
        <w:rPr>
          <w:rFonts w:ascii="Times New Roman" w:hAnsi="Times New Roman" w:cs="Times New Roman"/>
          <w:b/>
          <w:bCs/>
          <w:sz w:val="24"/>
          <w:szCs w:val="24"/>
        </w:rPr>
      </w:pPr>
      <w:r w:rsidRPr="00EC57BF">
        <w:rPr>
          <w:rFonts w:ascii="Times New Roman" w:hAnsi="Times New Roman" w:cs="Times New Roman"/>
          <w:b/>
          <w:bCs/>
          <w:sz w:val="24"/>
          <w:szCs w:val="24"/>
        </w:rPr>
        <w:t>Affordability</w:t>
      </w:r>
      <w:r>
        <w:rPr>
          <w:rFonts w:ascii="Times New Roman" w:hAnsi="Times New Roman" w:cs="Times New Roman"/>
          <w:b/>
          <w:bCs/>
          <w:sz w:val="24"/>
          <w:szCs w:val="24"/>
        </w:rPr>
        <w:t>—</w:t>
      </w:r>
      <w:r w:rsidRPr="00EC57BF">
        <w:rPr>
          <w:rFonts w:ascii="Times New Roman" w:hAnsi="Times New Roman" w:cs="Times New Roman"/>
          <w:sz w:val="24"/>
          <w:szCs w:val="24"/>
        </w:rPr>
        <w:t>refers to the economical accessibility of EM in SNNPR selected health facilities in the period of study in relation to the daily wage of the lowest-paid unskilled national government worker.</w:t>
      </w:r>
    </w:p>
    <w:p w:rsidR="00BD4A23" w:rsidRDefault="00BD4A23" w:rsidP="00BD4A23">
      <w:pPr>
        <w:spacing w:line="480" w:lineRule="auto"/>
        <w:rPr>
          <w:rFonts w:ascii="Times New Roman" w:hAnsi="Times New Roman" w:cs="Times New Roman"/>
          <w:sz w:val="24"/>
          <w:szCs w:val="24"/>
        </w:rPr>
      </w:pPr>
      <w:r w:rsidRPr="00EC57BF">
        <w:rPr>
          <w:rFonts w:ascii="Times New Roman" w:hAnsi="Times New Roman" w:cs="Times New Roman"/>
          <w:b/>
          <w:bCs/>
          <w:sz w:val="24"/>
          <w:szCs w:val="24"/>
        </w:rPr>
        <w:lastRenderedPageBreak/>
        <w:t>Availability</w:t>
      </w:r>
      <w:r>
        <w:rPr>
          <w:rFonts w:ascii="Times New Roman" w:hAnsi="Times New Roman" w:cs="Times New Roman"/>
          <w:b/>
          <w:bCs/>
          <w:sz w:val="24"/>
          <w:szCs w:val="24"/>
        </w:rPr>
        <w:t>—</w:t>
      </w:r>
      <w:r w:rsidRPr="00EC57BF">
        <w:rPr>
          <w:rFonts w:ascii="Times New Roman" w:hAnsi="Times New Roman" w:cs="Times New Roman"/>
          <w:sz w:val="24"/>
          <w:szCs w:val="24"/>
        </w:rPr>
        <w:t>refers to physical accessibility of a single dose of medicine/ tab</w:t>
      </w:r>
      <w:r w:rsidR="001429B6">
        <w:rPr>
          <w:rFonts w:ascii="Times New Roman" w:hAnsi="Times New Roman" w:cs="Times New Roman"/>
          <w:sz w:val="24"/>
          <w:szCs w:val="24"/>
        </w:rPr>
        <w:t>let</w:t>
      </w:r>
      <w:r w:rsidRPr="00EC57BF">
        <w:rPr>
          <w:rFonts w:ascii="Times New Roman" w:hAnsi="Times New Roman" w:cs="Times New Roman"/>
          <w:sz w:val="24"/>
          <w:szCs w:val="24"/>
        </w:rPr>
        <w:t xml:space="preserve">, </w:t>
      </w:r>
      <w:proofErr w:type="spellStart"/>
      <w:r w:rsidRPr="00EC57BF">
        <w:rPr>
          <w:rFonts w:ascii="Times New Roman" w:hAnsi="Times New Roman" w:cs="Times New Roman"/>
          <w:sz w:val="24"/>
          <w:szCs w:val="24"/>
        </w:rPr>
        <w:t>cap</w:t>
      </w:r>
      <w:r w:rsidR="001429B6">
        <w:rPr>
          <w:rFonts w:ascii="Times New Roman" w:hAnsi="Times New Roman" w:cs="Times New Roman"/>
          <w:sz w:val="24"/>
          <w:szCs w:val="24"/>
        </w:rPr>
        <w:t>sul</w:t>
      </w:r>
      <w:proofErr w:type="spellEnd"/>
      <w:r w:rsidRPr="00EC57BF">
        <w:rPr>
          <w:rFonts w:ascii="Times New Roman" w:hAnsi="Times New Roman" w:cs="Times New Roman"/>
          <w:sz w:val="24"/>
          <w:szCs w:val="24"/>
        </w:rPr>
        <w:t xml:space="preserve">, ml… / in </w:t>
      </w:r>
      <w:r w:rsidR="00D22BC6">
        <w:rPr>
          <w:rFonts w:ascii="Times New Roman" w:hAnsi="Times New Roman" w:cs="Times New Roman"/>
          <w:sz w:val="24"/>
          <w:szCs w:val="24"/>
        </w:rPr>
        <w:t>the studied areas’</w:t>
      </w:r>
      <w:r w:rsidRPr="00EC57BF">
        <w:rPr>
          <w:rFonts w:ascii="Times New Roman" w:hAnsi="Times New Roman" w:cs="Times New Roman"/>
          <w:sz w:val="24"/>
          <w:szCs w:val="24"/>
        </w:rPr>
        <w:t xml:space="preserve"> health facilities/ private and public/ on the day of visit with the specified strength and dosage forms.</w:t>
      </w:r>
    </w:p>
    <w:p w:rsidR="0017342F" w:rsidRDefault="0017342F" w:rsidP="0017342F">
      <w:pPr>
        <w:spacing w:line="480" w:lineRule="auto"/>
        <w:jc w:val="both"/>
        <w:rPr>
          <w:rFonts w:ascii="Times New Roman" w:hAnsi="Times New Roman" w:cs="Times New Roman"/>
          <w:sz w:val="24"/>
          <w:szCs w:val="24"/>
        </w:rPr>
      </w:pPr>
      <w:r w:rsidRPr="00B80D45">
        <w:rPr>
          <w:rFonts w:ascii="Times New Roman" w:hAnsi="Times New Roman" w:cs="Times New Roman"/>
          <w:b/>
          <w:sz w:val="24"/>
          <w:szCs w:val="24"/>
        </w:rPr>
        <w:t>Essential Medicine for Diabetes care</w:t>
      </w:r>
      <w:r w:rsidRPr="00B80D45">
        <w:rPr>
          <w:rFonts w:ascii="Times New Roman" w:hAnsi="Times New Roman" w:cs="Times New Roman"/>
          <w:sz w:val="24"/>
          <w:szCs w:val="24"/>
        </w:rPr>
        <w:t>: Essential medicines included in this survey are those medicines recommended for comprehensive management of diabetes mellitus and prevention of diabetes related cardiovascular complications; namely, glucose lowering, antihypertensive, antilipemic and antiplatelet agents.</w:t>
      </w:r>
    </w:p>
    <w:p w:rsidR="00BD4A23" w:rsidRPr="00573D98" w:rsidRDefault="00BD4A23" w:rsidP="00BD4A23">
      <w:pPr>
        <w:spacing w:line="480" w:lineRule="auto"/>
        <w:rPr>
          <w:rFonts w:ascii="Times New Roman" w:hAnsi="Times New Roman" w:cs="Times New Roman"/>
          <w:b/>
          <w:bCs/>
          <w:sz w:val="24"/>
          <w:szCs w:val="24"/>
        </w:rPr>
      </w:pPr>
      <w:r w:rsidRPr="00EC57BF">
        <w:rPr>
          <w:rFonts w:ascii="Times New Roman" w:hAnsi="Times New Roman" w:cs="Times New Roman"/>
          <w:b/>
          <w:bCs/>
          <w:sz w:val="24"/>
          <w:szCs w:val="24"/>
        </w:rPr>
        <w:t>Health facilities</w:t>
      </w:r>
      <w:r>
        <w:rPr>
          <w:rFonts w:ascii="Times New Roman" w:hAnsi="Times New Roman" w:cs="Times New Roman"/>
          <w:b/>
          <w:bCs/>
          <w:sz w:val="24"/>
          <w:szCs w:val="24"/>
        </w:rPr>
        <w:t>—</w:t>
      </w:r>
      <w:r w:rsidRPr="00EC57BF">
        <w:rPr>
          <w:rFonts w:ascii="Times New Roman" w:hAnsi="Times New Roman" w:cs="Times New Roman"/>
          <w:sz w:val="24"/>
          <w:szCs w:val="24"/>
        </w:rPr>
        <w:t>includes Hospitals and Health centers having own outpatients dispensing area and licensed private medicine outlets.</w:t>
      </w:r>
    </w:p>
    <w:p w:rsidR="00BD4A23" w:rsidRPr="00573D98" w:rsidRDefault="00BD4A23" w:rsidP="00221D04">
      <w:pPr>
        <w:spacing w:before="100" w:beforeAutospacing="1" w:after="100" w:afterAutospacing="1" w:line="480" w:lineRule="auto"/>
        <w:jc w:val="both"/>
        <w:rPr>
          <w:rFonts w:ascii="Times New Roman" w:hAnsi="Times New Roman" w:cs="Times New Roman"/>
          <w:b/>
          <w:sz w:val="24"/>
          <w:szCs w:val="24"/>
        </w:rPr>
      </w:pPr>
      <w:r w:rsidRPr="00EC57BF">
        <w:rPr>
          <w:rFonts w:ascii="Times New Roman" w:hAnsi="Times New Roman" w:cs="Times New Roman"/>
          <w:b/>
          <w:sz w:val="24"/>
          <w:szCs w:val="24"/>
        </w:rPr>
        <w:t>Lowest priced</w:t>
      </w:r>
      <w:r>
        <w:rPr>
          <w:rFonts w:ascii="Times New Roman" w:hAnsi="Times New Roman" w:cs="Times New Roman"/>
          <w:b/>
          <w:sz w:val="24"/>
          <w:szCs w:val="24"/>
        </w:rPr>
        <w:t>—</w:t>
      </w:r>
      <w:r>
        <w:rPr>
          <w:rFonts w:ascii="Times New Roman" w:hAnsi="Times New Roman" w:cs="Times New Roman"/>
          <w:sz w:val="24"/>
          <w:lang w:val="en-GB"/>
        </w:rPr>
        <w:t>are medicines with the lowest</w:t>
      </w:r>
      <w:r w:rsidRPr="00BC0D1F">
        <w:rPr>
          <w:rFonts w:ascii="Times New Roman" w:hAnsi="Times New Roman" w:cs="Times New Roman"/>
          <w:sz w:val="24"/>
          <w:lang w:val="en-GB"/>
        </w:rPr>
        <w:t xml:space="preserve"> unit price available at each </w:t>
      </w:r>
      <w:r>
        <w:rPr>
          <w:rFonts w:ascii="Times New Roman" w:hAnsi="Times New Roman" w:cs="Times New Roman"/>
          <w:sz w:val="24"/>
          <w:lang w:val="en-GB"/>
        </w:rPr>
        <w:t>medicine outlet</w:t>
      </w:r>
      <w:r w:rsidRPr="00BC0D1F">
        <w:rPr>
          <w:rFonts w:ascii="Times New Roman" w:hAnsi="Times New Roman" w:cs="Times New Roman"/>
          <w:sz w:val="24"/>
          <w:lang w:val="en-GB"/>
        </w:rPr>
        <w:t xml:space="preserve"> on the day of the surv</w:t>
      </w:r>
      <w:r>
        <w:rPr>
          <w:rFonts w:ascii="Times New Roman" w:hAnsi="Times New Roman" w:cs="Times New Roman"/>
          <w:sz w:val="24"/>
          <w:lang w:val="en-GB"/>
        </w:rPr>
        <w:t xml:space="preserve">ey and </w:t>
      </w:r>
      <w:r w:rsidRPr="00BC0D1F">
        <w:rPr>
          <w:rFonts w:ascii="Times New Roman" w:hAnsi="Times New Roman" w:cs="Times New Roman"/>
          <w:sz w:val="24"/>
          <w:lang w:val="en-GB"/>
        </w:rPr>
        <w:t>identified at individual facilities.</w:t>
      </w:r>
      <w:r>
        <w:rPr>
          <w:rFonts w:ascii="Times New Roman" w:hAnsi="Times New Roman" w:cs="Times New Roman"/>
          <w:sz w:val="24"/>
          <w:lang w:val="en-GB"/>
        </w:rPr>
        <w:t xml:space="preserve"> I</w:t>
      </w:r>
      <w:r w:rsidRPr="00EC57BF">
        <w:rPr>
          <w:rFonts w:ascii="Times New Roman" w:hAnsi="Times New Roman" w:cs="Times New Roman"/>
          <w:sz w:val="24"/>
          <w:szCs w:val="24"/>
        </w:rPr>
        <w:t xml:space="preserve">f only one type of medicine is found in </w:t>
      </w:r>
      <w:r>
        <w:rPr>
          <w:rFonts w:ascii="Times New Roman" w:hAnsi="Times New Roman" w:cs="Times New Roman"/>
          <w:sz w:val="24"/>
          <w:lang w:val="en-GB"/>
        </w:rPr>
        <w:t>medicine outlet</w:t>
      </w:r>
      <w:r w:rsidRPr="00BC0D1F">
        <w:rPr>
          <w:rFonts w:ascii="Times New Roman" w:hAnsi="Times New Roman" w:cs="Times New Roman"/>
          <w:sz w:val="24"/>
          <w:lang w:val="en-GB"/>
        </w:rPr>
        <w:t xml:space="preserve"> </w:t>
      </w:r>
      <w:r w:rsidRPr="00EC57BF">
        <w:rPr>
          <w:rFonts w:ascii="Times New Roman" w:hAnsi="Times New Roman" w:cs="Times New Roman"/>
          <w:sz w:val="24"/>
          <w:szCs w:val="24"/>
        </w:rPr>
        <w:t xml:space="preserve">on the day of visit in the health facilities of </w:t>
      </w:r>
      <w:r w:rsidR="00221D04">
        <w:rPr>
          <w:rFonts w:ascii="Times New Roman" w:hAnsi="Times New Roman" w:cs="Times New Roman"/>
          <w:sz w:val="24"/>
          <w:szCs w:val="24"/>
        </w:rPr>
        <w:t>the studied area</w:t>
      </w:r>
      <w:r>
        <w:rPr>
          <w:rFonts w:ascii="Times New Roman" w:hAnsi="Times New Roman" w:cs="Times New Roman"/>
          <w:sz w:val="24"/>
          <w:szCs w:val="24"/>
        </w:rPr>
        <w:t xml:space="preserve">, it will be </w:t>
      </w:r>
      <w:r w:rsidR="00221D04">
        <w:rPr>
          <w:rFonts w:ascii="Times New Roman" w:hAnsi="Times New Roman" w:cs="Times New Roman"/>
          <w:sz w:val="24"/>
          <w:szCs w:val="24"/>
        </w:rPr>
        <w:t>considered</w:t>
      </w:r>
      <w:r>
        <w:rPr>
          <w:rFonts w:ascii="Times New Roman" w:hAnsi="Times New Roman" w:cs="Times New Roman"/>
          <w:sz w:val="24"/>
          <w:szCs w:val="24"/>
        </w:rPr>
        <w:t xml:space="preserve"> as lowest priced medicine. </w:t>
      </w:r>
    </w:p>
    <w:p w:rsidR="00BD4A23" w:rsidRPr="00573D98" w:rsidRDefault="00BD4A23" w:rsidP="00BD4A23">
      <w:pPr>
        <w:spacing w:line="480" w:lineRule="auto"/>
        <w:rPr>
          <w:rFonts w:ascii="Times New Roman" w:hAnsi="Times New Roman" w:cs="Times New Roman"/>
          <w:b/>
          <w:bCs/>
          <w:sz w:val="24"/>
          <w:szCs w:val="24"/>
        </w:rPr>
      </w:pPr>
      <w:r w:rsidRPr="00EC57BF">
        <w:rPr>
          <w:rFonts w:ascii="Times New Roman" w:hAnsi="Times New Roman" w:cs="Times New Roman"/>
          <w:b/>
          <w:bCs/>
          <w:sz w:val="24"/>
          <w:szCs w:val="24"/>
        </w:rPr>
        <w:t>Mark up cost</w:t>
      </w:r>
      <w:r>
        <w:rPr>
          <w:rFonts w:ascii="Times New Roman" w:hAnsi="Times New Roman" w:cs="Times New Roman"/>
          <w:b/>
          <w:bCs/>
          <w:sz w:val="24"/>
          <w:szCs w:val="24"/>
        </w:rPr>
        <w:t>—</w:t>
      </w:r>
      <w:r w:rsidRPr="00EC57BF">
        <w:rPr>
          <w:rFonts w:ascii="Times New Roman" w:hAnsi="Times New Roman" w:cs="Times New Roman"/>
          <w:sz w:val="24"/>
          <w:szCs w:val="24"/>
        </w:rPr>
        <w:t xml:space="preserve">refers to the amount of profit margin added on procurement price by public and private health facilities in </w:t>
      </w:r>
      <w:r w:rsidR="0023343E">
        <w:rPr>
          <w:rFonts w:ascii="Times New Roman" w:hAnsi="Times New Roman" w:cs="Times New Roman"/>
          <w:sz w:val="24"/>
          <w:szCs w:val="24"/>
        </w:rPr>
        <w:t>the studied area</w:t>
      </w:r>
      <w:r w:rsidRPr="00EC57BF">
        <w:rPr>
          <w:rFonts w:ascii="Times New Roman" w:hAnsi="Times New Roman" w:cs="Times New Roman"/>
          <w:sz w:val="24"/>
          <w:szCs w:val="24"/>
        </w:rPr>
        <w:t>.</w:t>
      </w:r>
    </w:p>
    <w:p w:rsidR="00BD4A23" w:rsidRPr="00573D98" w:rsidRDefault="00BD4A23" w:rsidP="00BD4A23">
      <w:pPr>
        <w:spacing w:line="480" w:lineRule="auto"/>
        <w:rPr>
          <w:rFonts w:ascii="Times New Roman" w:hAnsi="Times New Roman" w:cs="Times New Roman"/>
          <w:b/>
          <w:bCs/>
          <w:sz w:val="24"/>
          <w:szCs w:val="24"/>
        </w:rPr>
      </w:pPr>
      <w:r w:rsidRPr="00EC57BF">
        <w:rPr>
          <w:rFonts w:ascii="Times New Roman" w:hAnsi="Times New Roman" w:cs="Times New Roman"/>
          <w:b/>
          <w:bCs/>
          <w:sz w:val="24"/>
          <w:szCs w:val="24"/>
        </w:rPr>
        <w:t>Percentile</w:t>
      </w:r>
      <w:r>
        <w:rPr>
          <w:rFonts w:ascii="Times New Roman" w:hAnsi="Times New Roman" w:cs="Times New Roman"/>
          <w:b/>
          <w:bCs/>
          <w:sz w:val="24"/>
          <w:szCs w:val="24"/>
        </w:rPr>
        <w:t>—</w:t>
      </w:r>
      <w:r w:rsidRPr="00EC57BF">
        <w:rPr>
          <w:rFonts w:ascii="Times New Roman" w:hAnsi="Times New Roman" w:cs="Times New Roman"/>
          <w:sz w:val="24"/>
          <w:szCs w:val="24"/>
        </w:rPr>
        <w:t>the range of values containing the central half of the observations: that is, the range between the 25th and 75th percentiles (the range including the values that are up to 25% higher or down to 25% lower than the median) is called the inter- quartile range.</w:t>
      </w:r>
    </w:p>
    <w:sectPr w:rsidR="00BD4A23" w:rsidRPr="00573D98" w:rsidSect="00D6717A">
      <w:footerReference w:type="default" r:id="rId11"/>
      <w:pgSz w:w="12240" w:h="15840"/>
      <w:pgMar w:top="1440" w:right="1183" w:bottom="144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1FA5" w:rsidRDefault="00101FA5" w:rsidP="00987E1D">
      <w:pPr>
        <w:spacing w:after="0" w:line="240" w:lineRule="auto"/>
      </w:pPr>
      <w:r>
        <w:separator/>
      </w:r>
    </w:p>
  </w:endnote>
  <w:endnote w:type="continuationSeparator" w:id="0">
    <w:p w:rsidR="00101FA5" w:rsidRDefault="00101FA5" w:rsidP="00987E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4597041"/>
      <w:docPartObj>
        <w:docPartGallery w:val="Page Numbers (Bottom of Page)"/>
        <w:docPartUnique/>
      </w:docPartObj>
    </w:sdtPr>
    <w:sdtEndPr>
      <w:rPr>
        <w:noProof/>
      </w:rPr>
    </w:sdtEndPr>
    <w:sdtContent>
      <w:p w:rsidR="00B946F5" w:rsidRDefault="00B946F5">
        <w:pPr>
          <w:pStyle w:val="Footer"/>
          <w:jc w:val="center"/>
        </w:pPr>
        <w:r>
          <w:fldChar w:fldCharType="begin"/>
        </w:r>
        <w:r>
          <w:instrText xml:space="preserve"> PAGE   \* MERGEFORMAT </w:instrText>
        </w:r>
        <w:r>
          <w:fldChar w:fldCharType="separate"/>
        </w:r>
        <w:r w:rsidR="00AF7846">
          <w:rPr>
            <w:noProof/>
          </w:rPr>
          <w:t>17</w:t>
        </w:r>
        <w:r>
          <w:rPr>
            <w:noProof/>
          </w:rPr>
          <w:fldChar w:fldCharType="end"/>
        </w:r>
      </w:p>
    </w:sdtContent>
  </w:sdt>
  <w:p w:rsidR="00B946F5" w:rsidRDefault="00B946F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1FA5" w:rsidRDefault="00101FA5" w:rsidP="00987E1D">
      <w:pPr>
        <w:spacing w:after="0" w:line="240" w:lineRule="auto"/>
      </w:pPr>
      <w:r>
        <w:separator/>
      </w:r>
    </w:p>
  </w:footnote>
  <w:footnote w:type="continuationSeparator" w:id="0">
    <w:p w:rsidR="00101FA5" w:rsidRDefault="00101FA5" w:rsidP="00987E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B549C9"/>
    <w:multiLevelType w:val="multilevel"/>
    <w:tmpl w:val="34B549C9"/>
    <w:lvl w:ilvl="0">
      <w:start w:val="1"/>
      <w:numFmt w:val="upperLetter"/>
      <w:lvlText w:val="%1."/>
      <w:lvlJc w:val="left"/>
      <w:pPr>
        <w:ind w:left="720" w:hanging="360"/>
      </w:pPr>
      <w:rPr>
        <w:rFonts w:cs="Times New Roman"/>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1" w15:restartNumberingAfterBreak="0">
    <w:nsid w:val="383C1B6C"/>
    <w:multiLevelType w:val="hybridMultilevel"/>
    <w:tmpl w:val="4F6EB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2142C2E"/>
    <w:multiLevelType w:val="multilevel"/>
    <w:tmpl w:val="72142C2E"/>
    <w:lvl w:ilvl="0">
      <w:start w:val="1"/>
      <w:numFmt w:val="bullet"/>
      <w:lvlText w:val="o"/>
      <w:lvlJc w:val="left"/>
      <w:pPr>
        <w:ind w:left="360" w:hanging="360"/>
      </w:pPr>
      <w:rPr>
        <w:rFonts w:ascii="Courier New" w:eastAsia="SimSun" w:hAnsi="Courier New"/>
      </w:rPr>
    </w:lvl>
    <w:lvl w:ilvl="1" w:tentative="1">
      <w:start w:val="1"/>
      <w:numFmt w:val="bullet"/>
      <w:lvlText w:val="o"/>
      <w:lvlJc w:val="left"/>
      <w:pPr>
        <w:ind w:left="1080" w:hanging="360"/>
      </w:pPr>
      <w:rPr>
        <w:rFonts w:ascii="Courier New" w:eastAsia="SimSun" w:hAnsi="Courier New"/>
      </w:rPr>
    </w:lvl>
    <w:lvl w:ilvl="2" w:tentative="1">
      <w:start w:val="1"/>
      <w:numFmt w:val="bullet"/>
      <w:lvlText w:val=""/>
      <w:lvlJc w:val="left"/>
      <w:pPr>
        <w:ind w:left="1800" w:hanging="360"/>
      </w:pPr>
      <w:rPr>
        <w:rFonts w:ascii="Wingdings" w:eastAsia="SimSun" w:hAnsi="Wingdings"/>
      </w:rPr>
    </w:lvl>
    <w:lvl w:ilvl="3" w:tentative="1">
      <w:start w:val="1"/>
      <w:numFmt w:val="bullet"/>
      <w:lvlText w:val=""/>
      <w:lvlJc w:val="left"/>
      <w:pPr>
        <w:ind w:left="2520" w:hanging="360"/>
      </w:pPr>
      <w:rPr>
        <w:rFonts w:ascii="Symbol" w:eastAsia="SimSun" w:hAnsi="Symbol"/>
      </w:rPr>
    </w:lvl>
    <w:lvl w:ilvl="4" w:tentative="1">
      <w:start w:val="1"/>
      <w:numFmt w:val="bullet"/>
      <w:lvlText w:val="o"/>
      <w:lvlJc w:val="left"/>
      <w:pPr>
        <w:ind w:left="3240" w:hanging="360"/>
      </w:pPr>
      <w:rPr>
        <w:rFonts w:ascii="Courier New" w:eastAsia="SimSun" w:hAnsi="Courier New"/>
      </w:rPr>
    </w:lvl>
    <w:lvl w:ilvl="5" w:tentative="1">
      <w:start w:val="1"/>
      <w:numFmt w:val="bullet"/>
      <w:lvlText w:val=""/>
      <w:lvlJc w:val="left"/>
      <w:pPr>
        <w:ind w:left="3960" w:hanging="360"/>
      </w:pPr>
      <w:rPr>
        <w:rFonts w:ascii="Wingdings" w:eastAsia="SimSun" w:hAnsi="Wingdings"/>
      </w:rPr>
    </w:lvl>
    <w:lvl w:ilvl="6" w:tentative="1">
      <w:start w:val="1"/>
      <w:numFmt w:val="bullet"/>
      <w:lvlText w:val=""/>
      <w:lvlJc w:val="left"/>
      <w:pPr>
        <w:ind w:left="4680" w:hanging="360"/>
      </w:pPr>
      <w:rPr>
        <w:rFonts w:ascii="Symbol" w:eastAsia="SimSun" w:hAnsi="Symbol"/>
      </w:rPr>
    </w:lvl>
    <w:lvl w:ilvl="7" w:tentative="1">
      <w:start w:val="1"/>
      <w:numFmt w:val="bullet"/>
      <w:lvlText w:val="o"/>
      <w:lvlJc w:val="left"/>
      <w:pPr>
        <w:ind w:left="5400" w:hanging="360"/>
      </w:pPr>
      <w:rPr>
        <w:rFonts w:ascii="Courier New" w:eastAsia="SimSun" w:hAnsi="Courier New"/>
      </w:rPr>
    </w:lvl>
    <w:lvl w:ilvl="8" w:tentative="1">
      <w:start w:val="1"/>
      <w:numFmt w:val="bullet"/>
      <w:lvlText w:val=""/>
      <w:lvlJc w:val="left"/>
      <w:pPr>
        <w:ind w:left="6120" w:hanging="360"/>
      </w:pPr>
      <w:rPr>
        <w:rFonts w:ascii="Wingdings" w:eastAsia="SimSun"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LAwtDQ1tDAwNDMzMzVQ0lEKTi0uzszPAykwqgUAbWZdgiwAAAA="/>
  </w:docVars>
  <w:rsids>
    <w:rsidRoot w:val="00EF40B4"/>
    <w:rsid w:val="000579C3"/>
    <w:rsid w:val="00093F8D"/>
    <w:rsid w:val="000C6B96"/>
    <w:rsid w:val="00101FA5"/>
    <w:rsid w:val="001220AE"/>
    <w:rsid w:val="001429B6"/>
    <w:rsid w:val="00147C15"/>
    <w:rsid w:val="0017342F"/>
    <w:rsid w:val="00190418"/>
    <w:rsid w:val="001A6490"/>
    <w:rsid w:val="001C7049"/>
    <w:rsid w:val="001E67D4"/>
    <w:rsid w:val="00221D04"/>
    <w:rsid w:val="00225B66"/>
    <w:rsid w:val="002329A4"/>
    <w:rsid w:val="0023343E"/>
    <w:rsid w:val="00235517"/>
    <w:rsid w:val="00281932"/>
    <w:rsid w:val="00314C2F"/>
    <w:rsid w:val="00342245"/>
    <w:rsid w:val="00343B66"/>
    <w:rsid w:val="00397790"/>
    <w:rsid w:val="003A17E5"/>
    <w:rsid w:val="003E0308"/>
    <w:rsid w:val="004635BF"/>
    <w:rsid w:val="004647FE"/>
    <w:rsid w:val="004A3CAA"/>
    <w:rsid w:val="005D129A"/>
    <w:rsid w:val="005D5FDF"/>
    <w:rsid w:val="0063522D"/>
    <w:rsid w:val="00640AA1"/>
    <w:rsid w:val="00696D3F"/>
    <w:rsid w:val="006A08F4"/>
    <w:rsid w:val="006A2636"/>
    <w:rsid w:val="006B03A9"/>
    <w:rsid w:val="006B7ECE"/>
    <w:rsid w:val="00780EAF"/>
    <w:rsid w:val="007831D4"/>
    <w:rsid w:val="007B7D63"/>
    <w:rsid w:val="007F4D9D"/>
    <w:rsid w:val="00814B40"/>
    <w:rsid w:val="00824F59"/>
    <w:rsid w:val="00842859"/>
    <w:rsid w:val="00855803"/>
    <w:rsid w:val="008E06ED"/>
    <w:rsid w:val="00944251"/>
    <w:rsid w:val="00987E1D"/>
    <w:rsid w:val="009C76CC"/>
    <w:rsid w:val="009F63B8"/>
    <w:rsid w:val="00A765AC"/>
    <w:rsid w:val="00AC1730"/>
    <w:rsid w:val="00AF0F96"/>
    <w:rsid w:val="00AF425D"/>
    <w:rsid w:val="00AF7846"/>
    <w:rsid w:val="00B946F5"/>
    <w:rsid w:val="00BD4A23"/>
    <w:rsid w:val="00C1791A"/>
    <w:rsid w:val="00CA1CB1"/>
    <w:rsid w:val="00D22BC6"/>
    <w:rsid w:val="00D43F3B"/>
    <w:rsid w:val="00D44E4B"/>
    <w:rsid w:val="00D6717A"/>
    <w:rsid w:val="00DD0504"/>
    <w:rsid w:val="00E0057D"/>
    <w:rsid w:val="00E46F85"/>
    <w:rsid w:val="00EA180C"/>
    <w:rsid w:val="00EA6301"/>
    <w:rsid w:val="00EF40B4"/>
    <w:rsid w:val="00F202BA"/>
    <w:rsid w:val="00F31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0A8EB"/>
  <w15:chartTrackingRefBased/>
  <w15:docId w15:val="{AB095EB5-8C4B-416C-9B4E-8463151DF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14C2F"/>
    <w:pPr>
      <w:keepNext/>
      <w:keepLines/>
      <w:spacing w:before="240" w:after="60" w:line="240" w:lineRule="auto"/>
      <w:jc w:val="both"/>
      <w:outlineLvl w:val="0"/>
    </w:pPr>
    <w:rPr>
      <w:rFonts w:ascii="Arial" w:eastAsia="SimSun" w:hAnsi="Arial" w:cs="Arial"/>
      <w:b/>
      <w:bCs/>
      <w:kern w:val="44"/>
      <w:sz w:val="32"/>
      <w:szCs w:val="32"/>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D4A23"/>
    <w:pPr>
      <w:spacing w:after="200" w:line="240" w:lineRule="auto"/>
      <w:jc w:val="both"/>
    </w:pPr>
    <w:rPr>
      <w:rFonts w:ascii="Calibri" w:eastAsia="SimSun" w:hAnsi="Calibri" w:cs="Calibri"/>
      <w:b/>
      <w:bCs/>
      <w:color w:val="5B9BD5"/>
      <w:kern w:val="0"/>
      <w:sz w:val="18"/>
      <w:szCs w:val="18"/>
      <w14:ligatures w14:val="none"/>
    </w:rPr>
  </w:style>
  <w:style w:type="character" w:customStyle="1" w:styleId="Heading1Char">
    <w:name w:val="Heading 1 Char"/>
    <w:basedOn w:val="DefaultParagraphFont"/>
    <w:link w:val="Heading1"/>
    <w:uiPriority w:val="9"/>
    <w:rsid w:val="00314C2F"/>
    <w:rPr>
      <w:rFonts w:ascii="Arial" w:eastAsia="SimSun" w:hAnsi="Arial" w:cs="Arial"/>
      <w:b/>
      <w:bCs/>
      <w:kern w:val="44"/>
      <w:sz w:val="32"/>
      <w:szCs w:val="32"/>
      <w14:ligatures w14:val="none"/>
    </w:rPr>
  </w:style>
  <w:style w:type="character" w:styleId="Hyperlink">
    <w:name w:val="Hyperlink"/>
    <w:basedOn w:val="DefaultParagraphFont"/>
    <w:uiPriority w:val="99"/>
    <w:unhideWhenUsed/>
    <w:qFormat/>
    <w:rsid w:val="00314C2F"/>
    <w:rPr>
      <w:rFonts w:cs="Times New Roman"/>
      <w:color w:val="0000FF"/>
      <w:u w:val="single"/>
    </w:rPr>
  </w:style>
  <w:style w:type="character" w:customStyle="1" w:styleId="UnresolvedMention">
    <w:name w:val="Unresolved Mention"/>
    <w:basedOn w:val="DefaultParagraphFont"/>
    <w:uiPriority w:val="99"/>
    <w:semiHidden/>
    <w:unhideWhenUsed/>
    <w:rsid w:val="00F202BA"/>
    <w:rPr>
      <w:color w:val="605E5C"/>
      <w:shd w:val="clear" w:color="auto" w:fill="E1DFDD"/>
    </w:rPr>
  </w:style>
  <w:style w:type="table" w:styleId="MediumShading2">
    <w:name w:val="Medium Shading 2"/>
    <w:basedOn w:val="TableNormal"/>
    <w:uiPriority w:val="64"/>
    <w:rsid w:val="00225B66"/>
    <w:pPr>
      <w:spacing w:after="0" w:line="240" w:lineRule="auto"/>
    </w:pPr>
    <w:rPr>
      <w:kern w:val="0"/>
      <w:lang w:val="en-GB"/>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ListParagraph">
    <w:name w:val="List Paragraph"/>
    <w:basedOn w:val="Normal"/>
    <w:uiPriority w:val="1"/>
    <w:qFormat/>
    <w:rsid w:val="003A17E5"/>
    <w:pPr>
      <w:spacing w:line="300" w:lineRule="auto"/>
      <w:ind w:left="720"/>
      <w:contextualSpacing/>
    </w:pPr>
    <w:rPr>
      <w:rFonts w:eastAsiaTheme="minorEastAsia"/>
      <w:kern w:val="0"/>
      <w:sz w:val="21"/>
      <w:szCs w:val="21"/>
      <w14:ligatures w14:val="none"/>
    </w:rPr>
  </w:style>
  <w:style w:type="paragraph" w:styleId="Header">
    <w:name w:val="header"/>
    <w:basedOn w:val="Normal"/>
    <w:link w:val="HeaderChar"/>
    <w:uiPriority w:val="99"/>
    <w:unhideWhenUsed/>
    <w:rsid w:val="00987E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7E1D"/>
  </w:style>
  <w:style w:type="paragraph" w:styleId="Footer">
    <w:name w:val="footer"/>
    <w:basedOn w:val="Normal"/>
    <w:link w:val="FooterChar"/>
    <w:uiPriority w:val="99"/>
    <w:unhideWhenUsed/>
    <w:rsid w:val="00987E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7E1D"/>
  </w:style>
  <w:style w:type="table" w:styleId="PlainTable1">
    <w:name w:val="Plain Table 1"/>
    <w:basedOn w:val="TableNormal"/>
    <w:uiPriority w:val="41"/>
    <w:rsid w:val="00D6717A"/>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B946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8525184">
      <w:bodyDiv w:val="1"/>
      <w:marLeft w:val="0"/>
      <w:marRight w:val="0"/>
      <w:marTop w:val="0"/>
      <w:marBottom w:val="0"/>
      <w:divBdr>
        <w:top w:val="none" w:sz="0" w:space="0" w:color="auto"/>
        <w:left w:val="none" w:sz="0" w:space="0" w:color="auto"/>
        <w:bottom w:val="none" w:sz="0" w:space="0" w:color="auto"/>
        <w:right w:val="none" w:sz="0" w:space="0" w:color="auto"/>
      </w:divBdr>
    </w:div>
    <w:div w:id="1323191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ch&#8230;..@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bruck.messele@aau.edu.et" TargetMode="External"/><Relationship Id="rId4" Type="http://schemas.openxmlformats.org/officeDocument/2006/relationships/webSettings" Target="webSettings.xml"/><Relationship Id="rId9" Type="http://schemas.openxmlformats.org/officeDocument/2006/relationships/hyperlink" Target="mailto:harohab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17</Pages>
  <Words>3862</Words>
  <Characters>22015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Habtamu Abuye</dc:creator>
  <cp:keywords/>
  <dc:description/>
  <cp:lastModifiedBy>OIC</cp:lastModifiedBy>
  <cp:revision>69</cp:revision>
  <dcterms:created xsi:type="dcterms:W3CDTF">2023-01-22T00:05:00Z</dcterms:created>
  <dcterms:modified xsi:type="dcterms:W3CDTF">2023-01-29T09:49:00Z</dcterms:modified>
</cp:coreProperties>
</file>