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A5E8FD" w14:textId="47382EF6" w:rsidR="00171603" w:rsidRDefault="008663C8" w:rsidP="00634688">
      <w:pPr>
        <w:spacing w:line="480" w:lineRule="auto"/>
        <w:jc w:val="center"/>
        <w:rPr>
          <w:b/>
          <w:bCs/>
        </w:rPr>
      </w:pPr>
      <w:r>
        <w:rPr>
          <w:b/>
          <w:bCs/>
        </w:rPr>
        <w:t>S</w:t>
      </w:r>
      <w:r w:rsidR="00634688" w:rsidRPr="00634688">
        <w:rPr>
          <w:b/>
          <w:bCs/>
        </w:rPr>
        <w:t>UPPLEMENTAL FIGURE 1</w:t>
      </w:r>
    </w:p>
    <w:p w14:paraId="22C9DCDB" w14:textId="5DCB74FD" w:rsidR="00634688" w:rsidRPr="00634688" w:rsidRDefault="00634688" w:rsidP="00634688">
      <w:pPr>
        <w:spacing w:line="480" w:lineRule="auto"/>
        <w:jc w:val="center"/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5C6EC364" wp14:editId="745436E9">
            <wp:extent cx="5938520" cy="4173855"/>
            <wp:effectExtent l="0" t="0" r="508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8520" cy="4173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DE270D" w14:textId="50D32AB0" w:rsidR="004313F3" w:rsidRPr="004313F3" w:rsidRDefault="004313F3" w:rsidP="00865737">
      <w:pPr>
        <w:widowControl w:val="0"/>
        <w:spacing w:after="0" w:line="240" w:lineRule="auto"/>
        <w:rPr>
          <w:rFonts w:ascii="Calibri" w:eastAsia="Times New Roman" w:hAnsi="Calibri" w:cs="Calibri"/>
          <w:color w:val="000000"/>
          <w:kern w:val="28"/>
          <w:sz w:val="20"/>
          <w:szCs w:val="20"/>
          <w14:cntxtAlts/>
        </w:rPr>
      </w:pPr>
      <w:r w:rsidRPr="004313F3">
        <w:rPr>
          <w:rFonts w:ascii="Calibri" w:eastAsia="Times New Roman" w:hAnsi="Calibri" w:cs="Calibri"/>
          <w:b/>
          <w:bCs/>
          <w:color w:val="000000"/>
          <w:kern w:val="24"/>
          <w:lang w:val="en-GB"/>
          <w14:cntxtAlts/>
        </w:rPr>
        <w:t xml:space="preserve">Kinetic profile and thermal stability of </w:t>
      </w:r>
      <w:r w:rsidR="000D610E">
        <w:rPr>
          <w:rFonts w:ascii="Calibri" w:eastAsia="Times New Roman" w:hAnsi="Calibri" w:cs="Calibri"/>
          <w:b/>
          <w:bCs/>
          <w:color w:val="000000"/>
          <w:kern w:val="24"/>
          <w:lang w:val="en-GB"/>
          <w14:cntxtAlts/>
        </w:rPr>
        <w:t>a genetically engineered</w:t>
      </w:r>
      <w:r w:rsidRPr="004313F3">
        <w:rPr>
          <w:rFonts w:ascii="Calibri" w:eastAsia="Times New Roman" w:hAnsi="Calibri" w:cs="Calibri"/>
          <w:b/>
          <w:bCs/>
          <w:color w:val="000000"/>
          <w:kern w:val="24"/>
          <w:lang w:val="en-GB"/>
          <w14:cntxtAlts/>
        </w:rPr>
        <w:t xml:space="preserve"> anti-TRBC2 antibody.</w:t>
      </w:r>
      <w:r w:rsidRPr="004313F3">
        <w:rPr>
          <w:rFonts w:ascii="Calibri" w:eastAsia="Times New Roman" w:hAnsi="Calibri" w:cs="Calibri"/>
          <w:b/>
          <w:bCs/>
          <w:color w:val="000000"/>
          <w:kern w:val="28"/>
          <w14:cntxtAlts/>
        </w:rPr>
        <w:t xml:space="preserve"> </w:t>
      </w:r>
      <w:r w:rsidRPr="004313F3">
        <w:rPr>
          <w:rFonts w:ascii="Calibri" w:eastAsia="Times New Roman" w:hAnsi="Calibri" w:cs="Calibri"/>
          <w:b/>
          <w:bCs/>
          <w:color w:val="000000"/>
          <w:kern w:val="24"/>
          <w14:cntxtAlts/>
        </w:rPr>
        <w:t>A.</w:t>
      </w:r>
      <w:r w:rsidRPr="004313F3">
        <w:rPr>
          <w:rFonts w:ascii="Calibri" w:eastAsia="Times New Roman" w:hAnsi="Calibri" w:cs="Calibri"/>
          <w:b/>
          <w:bCs/>
          <w:color w:val="000000"/>
          <w:kern w:val="24"/>
          <w:lang w:val="en-GB"/>
          <w14:cntxtAlts/>
        </w:rPr>
        <w:t xml:space="preserve"> </w:t>
      </w:r>
      <w:r w:rsidRPr="004313F3">
        <w:rPr>
          <w:rFonts w:ascii="Calibri" w:eastAsia="Times New Roman" w:hAnsi="Calibri" w:cs="Calibri"/>
          <w:color w:val="000000"/>
          <w:kern w:val="24"/>
          <w:lang w:val="en-GB"/>
          <w14:cntxtAlts/>
        </w:rPr>
        <w:t>Kinetic profile of anti-TRBC2 antibody measured via Biacore T200</w:t>
      </w:r>
      <w:r w:rsidR="00865737">
        <w:rPr>
          <w:rFonts w:ascii="Calibri" w:eastAsia="Times New Roman" w:hAnsi="Calibri" w:cs="Calibri"/>
          <w:color w:val="000000"/>
          <w:kern w:val="24"/>
          <w:lang w:val="en-GB"/>
          <w14:cntxtAlts/>
        </w:rPr>
        <w:t xml:space="preserve"> surface plasmon resonance system (Cytiva, Marlkborough, MA)</w:t>
      </w:r>
      <w:r w:rsidRPr="004313F3">
        <w:rPr>
          <w:rFonts w:ascii="Calibri" w:eastAsia="Times New Roman" w:hAnsi="Calibri" w:cs="Calibri"/>
          <w:color w:val="000000"/>
          <w:kern w:val="24"/>
          <w:lang w:val="en-GB"/>
          <w14:cntxtAlts/>
        </w:rPr>
        <w:t xml:space="preserve">, against soluble TCRs carrying TRBC1 or TRBC2. Affinity for TRBC1 was measured at 348 nM, while affinity for TRBC2 was measured at 89 nM using a Langmuir 1:1 binding model. </w:t>
      </w:r>
      <w:r w:rsidRPr="004313F3">
        <w:rPr>
          <w:rFonts w:ascii="Calibri" w:eastAsia="Times New Roman" w:hAnsi="Calibri" w:cs="Calibri"/>
          <w:b/>
          <w:bCs/>
          <w:color w:val="000000"/>
          <w:kern w:val="24"/>
          <w:lang w:val="en-GB"/>
          <w14:cntxtAlts/>
        </w:rPr>
        <w:t xml:space="preserve">B. </w:t>
      </w:r>
      <w:r w:rsidRPr="004313F3">
        <w:rPr>
          <w:rFonts w:ascii="Calibri" w:eastAsia="Times New Roman" w:hAnsi="Calibri" w:cs="Calibri"/>
          <w:color w:val="000000"/>
          <w:kern w:val="24"/>
          <w:lang w:val="en-GB"/>
          <w14:cntxtAlts/>
        </w:rPr>
        <w:t>Thermal stability analysis of anti-TRBC2 AF647 conjugated antibody assessed via Prometheus NT.48 nanoDSF</w:t>
      </w:r>
      <w:r w:rsidR="00865737">
        <w:rPr>
          <w:rFonts w:ascii="Calibri" w:eastAsia="Times New Roman" w:hAnsi="Calibri" w:cs="Calibri"/>
          <w:color w:val="000000"/>
          <w:kern w:val="24"/>
          <w:lang w:val="en-GB"/>
          <w14:cntxtAlts/>
        </w:rPr>
        <w:t xml:space="preserve"> differential scanner fluorimeter (NanoTemper, M</w:t>
      </w:r>
      <w:r w:rsidR="00865737">
        <w:t>ü</w:t>
      </w:r>
      <w:r w:rsidR="00865737">
        <w:rPr>
          <w:rFonts w:ascii="Calibri" w:eastAsia="Times New Roman" w:hAnsi="Calibri" w:cs="Calibri"/>
          <w:color w:val="000000"/>
          <w:kern w:val="24"/>
          <w:lang w:val="en-GB"/>
          <w14:cntxtAlts/>
        </w:rPr>
        <w:t>nchen, Germany)</w:t>
      </w:r>
      <w:r w:rsidRPr="004313F3">
        <w:rPr>
          <w:rFonts w:ascii="Calibri" w:eastAsia="Times New Roman" w:hAnsi="Calibri" w:cs="Calibri"/>
          <w:color w:val="000000"/>
          <w:kern w:val="24"/>
          <w:lang w:val="en-GB"/>
          <w14:cntxtAlts/>
        </w:rPr>
        <w:t xml:space="preserve">. </w:t>
      </w:r>
      <w:r w:rsidR="00865737">
        <w:rPr>
          <w:rFonts w:ascii="Calibri" w:eastAsia="Times New Roman" w:hAnsi="Calibri" w:cs="Calibri"/>
          <w:color w:val="000000"/>
          <w:kern w:val="24"/>
          <w:lang w:val="en-GB"/>
          <w14:cntxtAlts/>
        </w:rPr>
        <w:t>The a</w:t>
      </w:r>
      <w:r w:rsidRPr="004313F3">
        <w:rPr>
          <w:rFonts w:ascii="Calibri" w:eastAsia="Times New Roman" w:hAnsi="Calibri" w:cs="Calibri"/>
          <w:color w:val="000000"/>
          <w:kern w:val="24"/>
          <w:lang w:val="en-GB"/>
          <w14:cntxtAlts/>
        </w:rPr>
        <w:t xml:space="preserve">ntibody was subjected to up to 7 days incubation at 40°C or 4°C. No significant shift of Tm was detected across the tested conditions. </w:t>
      </w:r>
      <w:r w:rsidR="00865737">
        <w:rPr>
          <w:rFonts w:ascii="Calibri" w:eastAsia="Times New Roman" w:hAnsi="Calibri" w:cs="Calibri"/>
          <w:color w:val="000000"/>
          <w:kern w:val="24"/>
          <w:lang w:val="en-GB"/>
          <w14:cntxtAlts/>
        </w:rPr>
        <w:t>A</w:t>
      </w:r>
      <w:r w:rsidRPr="004313F3">
        <w:rPr>
          <w:rFonts w:ascii="Calibri" w:eastAsia="Times New Roman" w:hAnsi="Calibri" w:cs="Calibri"/>
          <w:color w:val="000000"/>
          <w:kern w:val="24"/>
          <w:lang w:val="en-GB"/>
          <w14:cntxtAlts/>
        </w:rPr>
        <w:t>nti-TRBC2 antibody, carrying murine IgG2a Fc, or unconjugated Jovi.1, carrying human IgG1 Fc, was included in the assay.</w:t>
      </w:r>
    </w:p>
    <w:p w14:paraId="4C06A498" w14:textId="4F2C3310" w:rsidR="00634688" w:rsidRDefault="00634688">
      <w:pPr>
        <w:rPr>
          <w:color w:val="4472C4" w:themeColor="accent1"/>
        </w:rPr>
      </w:pPr>
      <w:r>
        <w:rPr>
          <w:color w:val="4472C4" w:themeColor="accent1"/>
        </w:rPr>
        <w:br w:type="page"/>
      </w:r>
    </w:p>
    <w:p w14:paraId="60E762B8" w14:textId="0D147ED1" w:rsidR="00C139FE" w:rsidRDefault="00E60F8C" w:rsidP="00E60F8C">
      <w:pPr>
        <w:jc w:val="center"/>
        <w:rPr>
          <w:rFonts w:cstheme="minorHAnsi"/>
          <w:b/>
          <w:bCs/>
        </w:rPr>
      </w:pPr>
      <w:r>
        <w:rPr>
          <w:rFonts w:cstheme="minorHAnsi"/>
          <w:b/>
          <w:bCs/>
        </w:rPr>
        <w:lastRenderedPageBreak/>
        <w:t xml:space="preserve">SUPPLEMENTAL FIGURE </w:t>
      </w:r>
      <w:r w:rsidR="00DA657E">
        <w:rPr>
          <w:rFonts w:cstheme="minorHAnsi"/>
          <w:b/>
          <w:bCs/>
        </w:rPr>
        <w:t>2</w:t>
      </w:r>
    </w:p>
    <w:p w14:paraId="4D62EBDD" w14:textId="77777777" w:rsidR="00DE5FCE" w:rsidRDefault="00DE5FCE">
      <w:pPr>
        <w:rPr>
          <w:rFonts w:cstheme="minorHAnsi"/>
          <w:b/>
          <w:bCs/>
        </w:rPr>
      </w:pPr>
      <w:r>
        <w:rPr>
          <w:rFonts w:cstheme="minorHAnsi"/>
          <w:b/>
          <w:bCs/>
          <w:noProof/>
        </w:rPr>
        <w:drawing>
          <wp:inline distT="0" distB="0" distL="0" distR="0" wp14:anchorId="58509EB1" wp14:editId="27A1EB1F">
            <wp:extent cx="5943600" cy="326136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261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26FB2F" w14:textId="3BD6414B" w:rsidR="00C139FE" w:rsidRDefault="00DE5FCE" w:rsidP="00DE5FCE">
      <w:pPr>
        <w:rPr>
          <w:rFonts w:cstheme="minorHAnsi"/>
          <w:b/>
          <w:bCs/>
        </w:rPr>
      </w:pPr>
      <w:r w:rsidRPr="00DE5FCE">
        <w:rPr>
          <w:rFonts w:cstheme="minorHAnsi"/>
          <w:b/>
          <w:bCs/>
        </w:rPr>
        <w:t xml:space="preserve">Similar levels of CD3/TCR expression on TRBC1+ and TRBC2+ JURKAT cell lines. </w:t>
      </w:r>
      <w:r w:rsidRPr="00DE5FCE">
        <w:rPr>
          <w:rFonts w:cstheme="minorHAnsi"/>
        </w:rPr>
        <w:t>Cells were stained by flow cytometry using anti‐CD3 PECy7</w:t>
      </w:r>
      <w:r w:rsidR="00EF27C7">
        <w:rPr>
          <w:rFonts w:cstheme="minorHAnsi"/>
        </w:rPr>
        <w:t xml:space="preserve"> (Biolegend, San Diego, CA)</w:t>
      </w:r>
      <w:r w:rsidRPr="00DE5FCE">
        <w:rPr>
          <w:rFonts w:cstheme="minorHAnsi"/>
        </w:rPr>
        <w:t xml:space="preserve">. </w:t>
      </w:r>
      <w:r w:rsidRPr="00DE5FCE">
        <w:rPr>
          <w:rFonts w:cstheme="minorHAnsi"/>
          <w:i/>
          <w:iCs/>
        </w:rPr>
        <w:t>Left:</w:t>
      </w:r>
      <w:r w:rsidRPr="00DE5FCE">
        <w:rPr>
          <w:rFonts w:cstheme="minorHAnsi"/>
        </w:rPr>
        <w:t xml:space="preserve"> Representative flow cytometry dot plots and histograms on 3 batches of thawed cell line vials (n1, n2 and n3). </w:t>
      </w:r>
      <w:r w:rsidRPr="00DE5FCE">
        <w:rPr>
          <w:rFonts w:cstheme="minorHAnsi"/>
          <w:i/>
          <w:iCs/>
        </w:rPr>
        <w:t>Right:</w:t>
      </w:r>
      <w:r w:rsidRPr="00DE5FCE">
        <w:rPr>
          <w:rFonts w:cstheme="minorHAnsi"/>
        </w:rPr>
        <w:t xml:space="preserve"> Overlayed dot plot and histogram comparing first batches only. Also shown are results of a Jurkat cell line where the CD3/TCR had been knocked out (Jurkat TCR KO).</w:t>
      </w:r>
      <w:r w:rsidR="00C139FE">
        <w:rPr>
          <w:rFonts w:cstheme="minorHAnsi"/>
          <w:b/>
          <w:bCs/>
        </w:rPr>
        <w:br w:type="page"/>
      </w:r>
    </w:p>
    <w:p w14:paraId="048D0713" w14:textId="45A0304D" w:rsidR="00492D52" w:rsidRDefault="00492D52" w:rsidP="00492D52">
      <w:pPr>
        <w:jc w:val="center"/>
        <w:rPr>
          <w:rFonts w:cstheme="minorHAnsi"/>
          <w:b/>
          <w:bCs/>
        </w:rPr>
      </w:pPr>
      <w:r>
        <w:rPr>
          <w:rFonts w:cstheme="minorHAnsi"/>
          <w:b/>
          <w:bCs/>
        </w:rPr>
        <w:lastRenderedPageBreak/>
        <w:t>SUPPLEMENTAL FIGURE 3</w:t>
      </w:r>
    </w:p>
    <w:p w14:paraId="31550698" w14:textId="77777777" w:rsidR="00492D52" w:rsidRDefault="00492D52" w:rsidP="00492D52">
      <w:pPr>
        <w:jc w:val="center"/>
        <w:rPr>
          <w:rFonts w:cstheme="minorHAnsi"/>
          <w:b/>
          <w:bCs/>
        </w:rPr>
      </w:pPr>
    </w:p>
    <w:p w14:paraId="25EAD2E2" w14:textId="77777777" w:rsidR="00492D52" w:rsidRDefault="00492D52" w:rsidP="00492D52">
      <w:pPr>
        <w:jc w:val="center"/>
        <w:rPr>
          <w:rFonts w:cstheme="minorHAnsi"/>
          <w:b/>
          <w:bCs/>
        </w:rPr>
      </w:pPr>
      <w:r>
        <w:rPr>
          <w:rFonts w:cstheme="minorHAnsi"/>
          <w:b/>
          <w:bCs/>
          <w:noProof/>
        </w:rPr>
        <w:drawing>
          <wp:inline distT="0" distB="0" distL="0" distR="0" wp14:anchorId="0B17F93D" wp14:editId="31C14AC4">
            <wp:extent cx="6098567" cy="4077049"/>
            <wp:effectExtent l="0" t="0" r="0" b="0"/>
            <wp:docPr id="1288959767" name="Picture 1" descr="A screenshot of a math tes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8959767" name="Picture 1" descr="A screenshot of a math test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452" t="13865" r="11575" b="45846"/>
                    <a:stretch/>
                  </pic:blipFill>
                  <pic:spPr bwMode="auto">
                    <a:xfrm>
                      <a:off x="0" y="0"/>
                      <a:ext cx="6107324" cy="40829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CA8DD87" w14:textId="77777777" w:rsidR="00492D52" w:rsidRDefault="00492D52" w:rsidP="00492D52">
      <w:pPr>
        <w:jc w:val="center"/>
        <w:rPr>
          <w:rFonts w:cstheme="minorHAnsi"/>
          <w:b/>
          <w:bCs/>
        </w:rPr>
      </w:pPr>
    </w:p>
    <w:p w14:paraId="35474B13" w14:textId="77777777" w:rsidR="00492D52" w:rsidRDefault="00492D52" w:rsidP="00492D52">
      <w:pPr>
        <w:rPr>
          <w:rFonts w:cstheme="minorHAnsi"/>
          <w:b/>
          <w:bCs/>
        </w:rPr>
      </w:pPr>
      <w:r>
        <w:rPr>
          <w:rFonts w:cstheme="minorHAnsi"/>
          <w:b/>
          <w:bCs/>
        </w:rPr>
        <w:t xml:space="preserve">Receiver operating curve analysis of TRBC-restriction thresholds for the diagnosis of T-cell neoplasia. </w:t>
      </w:r>
      <w:r w:rsidRPr="00397CE6">
        <w:rPr>
          <w:rFonts w:cstheme="minorHAnsi"/>
        </w:rPr>
        <w:t xml:space="preserve">The </w:t>
      </w:r>
      <w:r>
        <w:rPr>
          <w:rFonts w:cstheme="minorHAnsi"/>
        </w:rPr>
        <w:t>maximum of %TRBC1</w:t>
      </w:r>
      <w:r w:rsidRPr="00397CE6">
        <w:rPr>
          <w:rFonts w:cstheme="minorHAnsi"/>
          <w:vertAlign w:val="superscript"/>
        </w:rPr>
        <w:t>+</w:t>
      </w:r>
      <w:r>
        <w:rPr>
          <w:rFonts w:cstheme="minorHAnsi"/>
        </w:rPr>
        <w:t xml:space="preserve"> and %TRBC2</w:t>
      </w:r>
      <w:r w:rsidRPr="00397CE6">
        <w:rPr>
          <w:rFonts w:cstheme="minorHAnsi"/>
          <w:vertAlign w:val="superscript"/>
        </w:rPr>
        <w:t>+</w:t>
      </w:r>
      <w:r>
        <w:rPr>
          <w:rFonts w:cstheme="minorHAnsi"/>
          <w:b/>
          <w:bCs/>
        </w:rPr>
        <w:t xml:space="preserve"> </w:t>
      </w:r>
      <w:r>
        <w:rPr>
          <w:rFonts w:cstheme="minorHAnsi"/>
        </w:rPr>
        <w:t xml:space="preserve">was studied as a single value to evaluate test performance. Gated tumor cells from 45 malignant cases (5 cases lacking intracellular TRBC expression excluded) were compared to gated </w:t>
      </w:r>
      <w:r>
        <w:t>CD4</w:t>
      </w:r>
      <w:r w:rsidRPr="00E45476">
        <w:rPr>
          <w:vertAlign w:val="superscript"/>
        </w:rPr>
        <w:t>+</w:t>
      </w:r>
      <w:r>
        <w:t>/CD8</w:t>
      </w:r>
      <w:r w:rsidRPr="00E45476">
        <w:rPr>
          <w:vertAlign w:val="superscript"/>
        </w:rPr>
        <w:t>-</w:t>
      </w:r>
      <w:r>
        <w:t>, CD8</w:t>
      </w:r>
      <w:r w:rsidRPr="00E45476">
        <w:rPr>
          <w:vertAlign w:val="superscript"/>
        </w:rPr>
        <w:t>+</w:t>
      </w:r>
      <w:r>
        <w:t>/CD4</w:t>
      </w:r>
      <w:r w:rsidRPr="00E45476">
        <w:rPr>
          <w:vertAlign w:val="superscript"/>
        </w:rPr>
        <w:t>-</w:t>
      </w:r>
      <w:r>
        <w:t>, CD4</w:t>
      </w:r>
      <w:r w:rsidRPr="00E45476">
        <w:rPr>
          <w:vertAlign w:val="superscript"/>
        </w:rPr>
        <w:t>+</w:t>
      </w:r>
      <w:r>
        <w:t>/CD8</w:t>
      </w:r>
      <w:r w:rsidRPr="00E45476">
        <w:rPr>
          <w:vertAlign w:val="superscript"/>
        </w:rPr>
        <w:t>+</w:t>
      </w:r>
      <w:r>
        <w:t xml:space="preserve"> and CD4</w:t>
      </w:r>
      <w:r w:rsidRPr="00E45476">
        <w:rPr>
          <w:vertAlign w:val="superscript"/>
        </w:rPr>
        <w:t>-</w:t>
      </w:r>
      <w:r>
        <w:t>/CD8</w:t>
      </w:r>
      <w:r w:rsidRPr="00E45476">
        <w:rPr>
          <w:vertAlign w:val="superscript"/>
        </w:rPr>
        <w:t>-</w:t>
      </w:r>
      <w:r>
        <w:t xml:space="preserve"> TCR</w:t>
      </w:r>
      <w:r>
        <w:rPr>
          <w:rFonts w:cs="Calibri"/>
        </w:rPr>
        <w:t>αβ T-cell subsets (&gt;200 events) from 109 samples without T-cell neoplasia</w:t>
      </w:r>
      <w:r w:rsidRPr="001F19AF">
        <w:rPr>
          <w:rFonts w:cs="Calibri"/>
        </w:rPr>
        <w:t xml:space="preserve"> </w:t>
      </w:r>
      <w:r>
        <w:rPr>
          <w:rFonts w:cs="Calibri"/>
        </w:rPr>
        <w:t xml:space="preserve">(donors and benign samples studied with the T-cell panel). </w:t>
      </w:r>
      <w:r w:rsidRPr="00341E07">
        <w:rPr>
          <w:rFonts w:cs="Calibri"/>
          <w:b/>
          <w:bCs/>
        </w:rPr>
        <w:t>A.</w:t>
      </w:r>
      <w:r>
        <w:rPr>
          <w:rFonts w:cs="Calibri"/>
        </w:rPr>
        <w:t xml:space="preserve"> As expected, the median values were much higher for neoplastic (99.24%) compared to benign (60.75%) subsets. </w:t>
      </w:r>
      <w:r w:rsidRPr="00D12E97">
        <w:rPr>
          <w:rFonts w:cs="Calibri"/>
          <w:b/>
          <w:bCs/>
        </w:rPr>
        <w:t>B.</w:t>
      </w:r>
      <w:r>
        <w:rPr>
          <w:rFonts w:cs="Calibri"/>
        </w:rPr>
        <w:t xml:space="preserve"> Receiver operator curve showing optimal performance, with an area under the curve of 0.999 (95% confidence interval: 0.9973 to 1.0), and a P significant of 0.0001. </w:t>
      </w:r>
      <w:r w:rsidRPr="006C768E">
        <w:rPr>
          <w:rFonts w:cs="Calibri"/>
          <w:b/>
          <w:bCs/>
        </w:rPr>
        <w:t>C.</w:t>
      </w:r>
      <w:r>
        <w:rPr>
          <w:rFonts w:cs="Calibri"/>
        </w:rPr>
        <w:t xml:space="preserve"> Sensitivity and specificity estimates for various thresholds, showing optimal performance for thresholds between 85% and 90%. The findings are consistent with our arbitrarily defined threshold of 85% based on extensive practice experience.</w:t>
      </w:r>
    </w:p>
    <w:p w14:paraId="33EAB897" w14:textId="77777777" w:rsidR="00492D52" w:rsidRDefault="00492D52">
      <w:pPr>
        <w:rPr>
          <w:rFonts w:cstheme="minorHAnsi"/>
          <w:b/>
          <w:bCs/>
        </w:rPr>
      </w:pPr>
      <w:r>
        <w:rPr>
          <w:rFonts w:cstheme="minorHAnsi"/>
          <w:b/>
          <w:bCs/>
        </w:rPr>
        <w:br w:type="page"/>
      </w:r>
    </w:p>
    <w:p w14:paraId="57F92F1A" w14:textId="0D246C8D" w:rsidR="00F0265F" w:rsidRDefault="00F0265F" w:rsidP="00F0265F">
      <w:pPr>
        <w:jc w:val="center"/>
        <w:rPr>
          <w:rFonts w:cstheme="minorHAnsi"/>
          <w:b/>
          <w:bCs/>
        </w:rPr>
      </w:pPr>
      <w:r>
        <w:rPr>
          <w:rFonts w:cstheme="minorHAnsi"/>
          <w:b/>
          <w:bCs/>
        </w:rPr>
        <w:lastRenderedPageBreak/>
        <w:t xml:space="preserve">SUPPLEMENTAL FIGURE </w:t>
      </w:r>
      <w:r w:rsidR="00492D52">
        <w:rPr>
          <w:rFonts w:cstheme="minorHAnsi"/>
          <w:b/>
          <w:bCs/>
        </w:rPr>
        <w:t>4</w:t>
      </w:r>
    </w:p>
    <w:p w14:paraId="2AC291D0" w14:textId="77777777" w:rsidR="00E60F8C" w:rsidRDefault="00E60F8C" w:rsidP="00E60F8C">
      <w:pPr>
        <w:jc w:val="center"/>
        <w:rPr>
          <w:rFonts w:cstheme="minorHAnsi"/>
          <w:b/>
          <w:bCs/>
        </w:rPr>
      </w:pPr>
    </w:p>
    <w:p w14:paraId="7F93BCDD" w14:textId="568C4BCD" w:rsidR="00E60F8C" w:rsidRDefault="00E60F8C" w:rsidP="00E60F8C">
      <w:pPr>
        <w:jc w:val="center"/>
        <w:rPr>
          <w:rFonts w:cstheme="minorHAnsi"/>
          <w:b/>
          <w:bCs/>
        </w:rPr>
      </w:pPr>
      <w:r>
        <w:rPr>
          <w:rFonts w:cstheme="minorHAnsi"/>
          <w:b/>
          <w:bCs/>
          <w:noProof/>
        </w:rPr>
        <w:drawing>
          <wp:inline distT="0" distB="0" distL="0" distR="0" wp14:anchorId="62DAC186" wp14:editId="24244237">
            <wp:extent cx="4067289" cy="4276579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291" t="37458" r="6536"/>
                    <a:stretch/>
                  </pic:blipFill>
                  <pic:spPr bwMode="auto">
                    <a:xfrm>
                      <a:off x="0" y="0"/>
                      <a:ext cx="4077595" cy="4287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F44DB20" w14:textId="4AEF4F43" w:rsidR="00E60F8C" w:rsidRDefault="000D610E">
      <w:pPr>
        <w:rPr>
          <w:rFonts w:cstheme="minorHAnsi"/>
          <w:b/>
          <w:bCs/>
        </w:rPr>
      </w:pPr>
      <w:r>
        <w:rPr>
          <w:b/>
          <w:bCs/>
        </w:rPr>
        <w:t>Analysis of TRBC1 and TRBC2 expression on TCR-V</w:t>
      </w:r>
      <w:r>
        <w:rPr>
          <w:rFonts w:cstheme="minorHAnsi"/>
          <w:b/>
          <w:bCs/>
        </w:rPr>
        <w:t>β</w:t>
      </w:r>
      <w:r>
        <w:rPr>
          <w:b/>
          <w:bCs/>
        </w:rPr>
        <w:t xml:space="preserve"> subsets from healthy donors. </w:t>
      </w:r>
      <w:r w:rsidR="00DA657E">
        <w:t>F</w:t>
      </w:r>
      <w:r>
        <w:t>low cytometric analysis on a</w:t>
      </w:r>
      <w:r w:rsidR="005B2A75">
        <w:t>n outlier</w:t>
      </w:r>
      <w:r>
        <w:t xml:space="preserve"> patient with a small TRBC2-restricted </w:t>
      </w:r>
      <w:r>
        <w:rPr>
          <w:rFonts w:cstheme="minorHAnsi"/>
        </w:rPr>
        <w:t>Vβ7.2 subset</w:t>
      </w:r>
      <w:r w:rsidR="00DA657E">
        <w:rPr>
          <w:rFonts w:cstheme="minorHAnsi"/>
        </w:rPr>
        <w:t xml:space="preserve"> (see Figure 2D)</w:t>
      </w:r>
      <w:r>
        <w:rPr>
          <w:rFonts w:cstheme="minorHAnsi"/>
        </w:rPr>
        <w:t xml:space="preserve">. </w:t>
      </w:r>
      <w:r w:rsidR="00134DAB">
        <w:rPr>
          <w:rFonts w:cstheme="minorHAnsi"/>
        </w:rPr>
        <w:t>No T-cell clonality was identified by Vβ analysis (</w:t>
      </w:r>
      <w:r w:rsidR="00134DAB" w:rsidRPr="00134DAB">
        <w:rPr>
          <w:rFonts w:cstheme="minorHAnsi"/>
          <w:i/>
          <w:iCs/>
        </w:rPr>
        <w:t>top</w:t>
      </w:r>
      <w:r w:rsidR="00134DAB">
        <w:rPr>
          <w:rFonts w:cstheme="minorHAnsi"/>
        </w:rPr>
        <w:t>) or TRBC staining (</w:t>
      </w:r>
      <w:r w:rsidR="00134DAB" w:rsidRPr="00134DAB">
        <w:rPr>
          <w:rFonts w:cstheme="minorHAnsi"/>
          <w:i/>
          <w:iCs/>
        </w:rPr>
        <w:t>middle</w:t>
      </w:r>
      <w:r w:rsidR="00134DAB">
        <w:rPr>
          <w:rFonts w:cstheme="minorHAnsi"/>
        </w:rPr>
        <w:t xml:space="preserve">) alone. However, combined analysis </w:t>
      </w:r>
      <w:r w:rsidR="003F1710">
        <w:rPr>
          <w:rFonts w:cstheme="minorHAnsi"/>
        </w:rPr>
        <w:t>(</w:t>
      </w:r>
      <w:r w:rsidR="003F1710" w:rsidRPr="003F1710">
        <w:rPr>
          <w:rFonts w:cstheme="minorHAnsi"/>
          <w:i/>
          <w:iCs/>
        </w:rPr>
        <w:t>bottom</w:t>
      </w:r>
      <w:r w:rsidR="003F1710">
        <w:rPr>
          <w:rFonts w:cstheme="minorHAnsi"/>
        </w:rPr>
        <w:t xml:space="preserve">) </w:t>
      </w:r>
      <w:r w:rsidR="00134DAB">
        <w:rPr>
          <w:rFonts w:cstheme="minorHAnsi"/>
        </w:rPr>
        <w:t>reveal</w:t>
      </w:r>
      <w:r w:rsidR="003F1710">
        <w:rPr>
          <w:rFonts w:cstheme="minorHAnsi"/>
        </w:rPr>
        <w:t>ed</w:t>
      </w:r>
      <w:r w:rsidR="00134DAB">
        <w:rPr>
          <w:rFonts w:cstheme="minorHAnsi"/>
        </w:rPr>
        <w:t xml:space="preserve"> TRBC2-restriction on Vβ7.2-positive T-cells (bottom), corresponding to a small </w:t>
      </w:r>
      <w:r>
        <w:rPr>
          <w:rFonts w:cstheme="minorHAnsi"/>
        </w:rPr>
        <w:t xml:space="preserve">CD8-positive </w:t>
      </w:r>
      <w:r w:rsidR="00134DAB">
        <w:rPr>
          <w:rFonts w:cstheme="minorHAnsi"/>
        </w:rPr>
        <w:t xml:space="preserve">T-cell clone </w:t>
      </w:r>
      <w:r w:rsidR="003F1710">
        <w:rPr>
          <w:rFonts w:cstheme="minorHAnsi"/>
        </w:rPr>
        <w:t>of uncertain significance (4.1% of lymphocytes).</w:t>
      </w:r>
    </w:p>
    <w:sectPr w:rsidR="00E60F8C" w:rsidSect="00436540">
      <w:footerReference w:type="defaul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C60AF9" w14:textId="77777777" w:rsidR="00285A65" w:rsidRDefault="00285A65" w:rsidP="00103675">
      <w:pPr>
        <w:spacing w:after="0" w:line="240" w:lineRule="auto"/>
      </w:pPr>
      <w:r>
        <w:separator/>
      </w:r>
    </w:p>
  </w:endnote>
  <w:endnote w:type="continuationSeparator" w:id="0">
    <w:p w14:paraId="081D2BED" w14:textId="77777777" w:rsidR="00285A65" w:rsidRDefault="00285A65" w:rsidP="001036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08306243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B6747FC" w14:textId="409128DD" w:rsidR="00E72499" w:rsidRDefault="00E72499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F5F4474" w14:textId="77777777" w:rsidR="00E72499" w:rsidRDefault="00E7249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3AFF1C" w14:textId="77777777" w:rsidR="00285A65" w:rsidRDefault="00285A65" w:rsidP="00103675">
      <w:pPr>
        <w:spacing w:after="0" w:line="240" w:lineRule="auto"/>
      </w:pPr>
      <w:r>
        <w:separator/>
      </w:r>
    </w:p>
  </w:footnote>
  <w:footnote w:type="continuationSeparator" w:id="0">
    <w:p w14:paraId="13187744" w14:textId="77777777" w:rsidR="00285A65" w:rsidRDefault="00285A65" w:rsidP="0010367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3619B2"/>
    <w:multiLevelType w:val="hybridMultilevel"/>
    <w:tmpl w:val="CFD6FFD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DF62C69"/>
    <w:multiLevelType w:val="hybridMultilevel"/>
    <w:tmpl w:val="D47E6A3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2375090A"/>
    <w:multiLevelType w:val="hybridMultilevel"/>
    <w:tmpl w:val="C9E0553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28882828"/>
    <w:multiLevelType w:val="hybridMultilevel"/>
    <w:tmpl w:val="9FE2264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31CC104E"/>
    <w:multiLevelType w:val="hybridMultilevel"/>
    <w:tmpl w:val="8B1AC4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311556E"/>
    <w:multiLevelType w:val="hybridMultilevel"/>
    <w:tmpl w:val="BEEA95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B6E3ADA"/>
    <w:multiLevelType w:val="hybridMultilevel"/>
    <w:tmpl w:val="AF6654E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3B9F0EC1"/>
    <w:multiLevelType w:val="hybridMultilevel"/>
    <w:tmpl w:val="9F560FEC"/>
    <w:lvl w:ilvl="0" w:tplc="61B0F35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49EB7B60"/>
    <w:multiLevelType w:val="hybridMultilevel"/>
    <w:tmpl w:val="C84A3D4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5C991933"/>
    <w:multiLevelType w:val="hybridMultilevel"/>
    <w:tmpl w:val="FADC84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16116D9"/>
    <w:multiLevelType w:val="hybridMultilevel"/>
    <w:tmpl w:val="36BC32AE"/>
    <w:lvl w:ilvl="0" w:tplc="4038252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3CD7A65"/>
    <w:multiLevelType w:val="hybridMultilevel"/>
    <w:tmpl w:val="7D94307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6BDD431D"/>
    <w:multiLevelType w:val="hybridMultilevel"/>
    <w:tmpl w:val="998038B8"/>
    <w:lvl w:ilvl="0" w:tplc="0766455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AF258AB"/>
    <w:multiLevelType w:val="hybridMultilevel"/>
    <w:tmpl w:val="37528D5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309359542">
    <w:abstractNumId w:val="10"/>
  </w:num>
  <w:num w:numId="2" w16cid:durableId="1075935814">
    <w:abstractNumId w:val="7"/>
  </w:num>
  <w:num w:numId="3" w16cid:durableId="2075929992">
    <w:abstractNumId w:val="12"/>
  </w:num>
  <w:num w:numId="4" w16cid:durableId="849218275">
    <w:abstractNumId w:val="5"/>
  </w:num>
  <w:num w:numId="5" w16cid:durableId="1598751010">
    <w:abstractNumId w:val="13"/>
  </w:num>
  <w:num w:numId="6" w16cid:durableId="409354038">
    <w:abstractNumId w:val="4"/>
  </w:num>
  <w:num w:numId="7" w16cid:durableId="1664813346">
    <w:abstractNumId w:val="2"/>
  </w:num>
  <w:num w:numId="8" w16cid:durableId="1649287937">
    <w:abstractNumId w:val="8"/>
  </w:num>
  <w:num w:numId="9" w16cid:durableId="1923953894">
    <w:abstractNumId w:val="3"/>
  </w:num>
  <w:num w:numId="10" w16cid:durableId="1218397125">
    <w:abstractNumId w:val="1"/>
  </w:num>
  <w:num w:numId="11" w16cid:durableId="585303489">
    <w:abstractNumId w:val="9"/>
  </w:num>
  <w:num w:numId="12" w16cid:durableId="1870752135">
    <w:abstractNumId w:val="6"/>
  </w:num>
  <w:num w:numId="13" w16cid:durableId="1888686706">
    <w:abstractNumId w:val="11"/>
  </w:num>
  <w:num w:numId="14" w16cid:durableId="170139116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Blood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tt2tewsevwp9sheetrmpzfs9z5af00fsfate&quot;&gt;TRBC2 antibody&lt;record-ids&gt;&lt;item&gt;1&lt;/item&gt;&lt;item&gt;2&lt;/item&gt;&lt;item&gt;3&lt;/item&gt;&lt;item&gt;6&lt;/item&gt;&lt;item&gt;8&lt;/item&gt;&lt;item&gt;16&lt;/item&gt;&lt;item&gt;17&lt;/item&gt;&lt;item&gt;18&lt;/item&gt;&lt;item&gt;19&lt;/item&gt;&lt;item&gt;21&lt;/item&gt;&lt;item&gt;86&lt;/item&gt;&lt;item&gt;88&lt;/item&gt;&lt;item&gt;90&lt;/item&gt;&lt;item&gt;91&lt;/item&gt;&lt;item&gt;100&lt;/item&gt;&lt;item&gt;101&lt;/item&gt;&lt;/record-ids&gt;&lt;/item&gt;&lt;/Libraries&gt;"/>
  </w:docVars>
  <w:rsids>
    <w:rsidRoot w:val="0077797D"/>
    <w:rsid w:val="000004C0"/>
    <w:rsid w:val="00003370"/>
    <w:rsid w:val="0000415D"/>
    <w:rsid w:val="00005C8A"/>
    <w:rsid w:val="0001031C"/>
    <w:rsid w:val="000130A4"/>
    <w:rsid w:val="0001374A"/>
    <w:rsid w:val="00013B44"/>
    <w:rsid w:val="00013EEE"/>
    <w:rsid w:val="00017435"/>
    <w:rsid w:val="00025889"/>
    <w:rsid w:val="00027CAA"/>
    <w:rsid w:val="00036FCF"/>
    <w:rsid w:val="00036FD0"/>
    <w:rsid w:val="00040F72"/>
    <w:rsid w:val="00047506"/>
    <w:rsid w:val="00047D37"/>
    <w:rsid w:val="00047FA1"/>
    <w:rsid w:val="000573B2"/>
    <w:rsid w:val="000646A0"/>
    <w:rsid w:val="00064C4C"/>
    <w:rsid w:val="0007593E"/>
    <w:rsid w:val="00077AAC"/>
    <w:rsid w:val="00077CE5"/>
    <w:rsid w:val="00080CD3"/>
    <w:rsid w:val="00084A26"/>
    <w:rsid w:val="00092614"/>
    <w:rsid w:val="00092A95"/>
    <w:rsid w:val="00094967"/>
    <w:rsid w:val="00094B76"/>
    <w:rsid w:val="000A069A"/>
    <w:rsid w:val="000A1DDD"/>
    <w:rsid w:val="000A42AF"/>
    <w:rsid w:val="000A4B41"/>
    <w:rsid w:val="000A638E"/>
    <w:rsid w:val="000B05AB"/>
    <w:rsid w:val="000B3D84"/>
    <w:rsid w:val="000B501F"/>
    <w:rsid w:val="000B59CD"/>
    <w:rsid w:val="000B64DE"/>
    <w:rsid w:val="000C0282"/>
    <w:rsid w:val="000C38B6"/>
    <w:rsid w:val="000C5580"/>
    <w:rsid w:val="000C69DE"/>
    <w:rsid w:val="000D1317"/>
    <w:rsid w:val="000D1D24"/>
    <w:rsid w:val="000D2E7A"/>
    <w:rsid w:val="000D610E"/>
    <w:rsid w:val="000D7AE6"/>
    <w:rsid w:val="000E27DC"/>
    <w:rsid w:val="000E2EA9"/>
    <w:rsid w:val="000E40D0"/>
    <w:rsid w:val="000E4303"/>
    <w:rsid w:val="000E6D1D"/>
    <w:rsid w:val="000F09E1"/>
    <w:rsid w:val="000F307B"/>
    <w:rsid w:val="000F6717"/>
    <w:rsid w:val="000F6E9A"/>
    <w:rsid w:val="000F7C08"/>
    <w:rsid w:val="00103675"/>
    <w:rsid w:val="00104DD1"/>
    <w:rsid w:val="0011066D"/>
    <w:rsid w:val="001208BF"/>
    <w:rsid w:val="00121C99"/>
    <w:rsid w:val="00123A61"/>
    <w:rsid w:val="0012745A"/>
    <w:rsid w:val="00132331"/>
    <w:rsid w:val="00133BFF"/>
    <w:rsid w:val="00134DAB"/>
    <w:rsid w:val="00135F1E"/>
    <w:rsid w:val="0014198C"/>
    <w:rsid w:val="001510A0"/>
    <w:rsid w:val="00160861"/>
    <w:rsid w:val="0016345E"/>
    <w:rsid w:val="00170C4D"/>
    <w:rsid w:val="001711CF"/>
    <w:rsid w:val="00171603"/>
    <w:rsid w:val="001740B1"/>
    <w:rsid w:val="001762EF"/>
    <w:rsid w:val="00177D7C"/>
    <w:rsid w:val="00181882"/>
    <w:rsid w:val="00182086"/>
    <w:rsid w:val="00182C8B"/>
    <w:rsid w:val="00183F7D"/>
    <w:rsid w:val="001937D8"/>
    <w:rsid w:val="0019755F"/>
    <w:rsid w:val="001A7C65"/>
    <w:rsid w:val="001B2067"/>
    <w:rsid w:val="001B7175"/>
    <w:rsid w:val="001B7C32"/>
    <w:rsid w:val="001C0893"/>
    <w:rsid w:val="001C3954"/>
    <w:rsid w:val="001C59F5"/>
    <w:rsid w:val="001C6EB5"/>
    <w:rsid w:val="001C7EB3"/>
    <w:rsid w:val="001D57BB"/>
    <w:rsid w:val="001E30CD"/>
    <w:rsid w:val="001E5BEB"/>
    <w:rsid w:val="001F016D"/>
    <w:rsid w:val="001F42A8"/>
    <w:rsid w:val="002009F8"/>
    <w:rsid w:val="00201466"/>
    <w:rsid w:val="00201A08"/>
    <w:rsid w:val="0020296F"/>
    <w:rsid w:val="00204B6B"/>
    <w:rsid w:val="00207AC0"/>
    <w:rsid w:val="002109AC"/>
    <w:rsid w:val="0021217D"/>
    <w:rsid w:val="0022022E"/>
    <w:rsid w:val="00221B16"/>
    <w:rsid w:val="00225D1F"/>
    <w:rsid w:val="002315C0"/>
    <w:rsid w:val="002322C3"/>
    <w:rsid w:val="00234BE5"/>
    <w:rsid w:val="00240BFC"/>
    <w:rsid w:val="002434B9"/>
    <w:rsid w:val="00246075"/>
    <w:rsid w:val="00256D4D"/>
    <w:rsid w:val="002571F8"/>
    <w:rsid w:val="00260450"/>
    <w:rsid w:val="002614E6"/>
    <w:rsid w:val="002677DE"/>
    <w:rsid w:val="00283504"/>
    <w:rsid w:val="00283884"/>
    <w:rsid w:val="002849FE"/>
    <w:rsid w:val="00285A65"/>
    <w:rsid w:val="00291187"/>
    <w:rsid w:val="002926C5"/>
    <w:rsid w:val="0029567D"/>
    <w:rsid w:val="0029582E"/>
    <w:rsid w:val="00297282"/>
    <w:rsid w:val="002A5ADB"/>
    <w:rsid w:val="002B19AC"/>
    <w:rsid w:val="002B503A"/>
    <w:rsid w:val="002B7F57"/>
    <w:rsid w:val="002D06FC"/>
    <w:rsid w:val="002D46D8"/>
    <w:rsid w:val="002E0038"/>
    <w:rsid w:val="002E2DE9"/>
    <w:rsid w:val="002E777F"/>
    <w:rsid w:val="002F46DB"/>
    <w:rsid w:val="002F4E0F"/>
    <w:rsid w:val="002F4F38"/>
    <w:rsid w:val="002F58B9"/>
    <w:rsid w:val="002F73A6"/>
    <w:rsid w:val="003069E2"/>
    <w:rsid w:val="00306B17"/>
    <w:rsid w:val="00306C8F"/>
    <w:rsid w:val="003108FC"/>
    <w:rsid w:val="0031096A"/>
    <w:rsid w:val="00313384"/>
    <w:rsid w:val="00313F3E"/>
    <w:rsid w:val="003143F2"/>
    <w:rsid w:val="00314E46"/>
    <w:rsid w:val="00317FE9"/>
    <w:rsid w:val="00320D9C"/>
    <w:rsid w:val="003247DB"/>
    <w:rsid w:val="0033216D"/>
    <w:rsid w:val="00340D22"/>
    <w:rsid w:val="00341E07"/>
    <w:rsid w:val="00342270"/>
    <w:rsid w:val="00342853"/>
    <w:rsid w:val="00344126"/>
    <w:rsid w:val="0035008C"/>
    <w:rsid w:val="00351B52"/>
    <w:rsid w:val="0035225A"/>
    <w:rsid w:val="00355FBB"/>
    <w:rsid w:val="00364343"/>
    <w:rsid w:val="00365B04"/>
    <w:rsid w:val="00370D57"/>
    <w:rsid w:val="003718CF"/>
    <w:rsid w:val="00372321"/>
    <w:rsid w:val="003736D8"/>
    <w:rsid w:val="003750A9"/>
    <w:rsid w:val="00376021"/>
    <w:rsid w:val="003768A2"/>
    <w:rsid w:val="00376C42"/>
    <w:rsid w:val="003777B7"/>
    <w:rsid w:val="00380FFB"/>
    <w:rsid w:val="00381640"/>
    <w:rsid w:val="00381D66"/>
    <w:rsid w:val="00382242"/>
    <w:rsid w:val="00384DAF"/>
    <w:rsid w:val="0038594D"/>
    <w:rsid w:val="003900B6"/>
    <w:rsid w:val="003903B1"/>
    <w:rsid w:val="00393503"/>
    <w:rsid w:val="00396A60"/>
    <w:rsid w:val="00397CE6"/>
    <w:rsid w:val="003A12B8"/>
    <w:rsid w:val="003A4C0E"/>
    <w:rsid w:val="003A5D59"/>
    <w:rsid w:val="003B0FFE"/>
    <w:rsid w:val="003B48D9"/>
    <w:rsid w:val="003B6AAA"/>
    <w:rsid w:val="003C1F68"/>
    <w:rsid w:val="003C20B5"/>
    <w:rsid w:val="003C29F3"/>
    <w:rsid w:val="003C32EB"/>
    <w:rsid w:val="003C3AA5"/>
    <w:rsid w:val="003C55F3"/>
    <w:rsid w:val="003D0127"/>
    <w:rsid w:val="003D1391"/>
    <w:rsid w:val="003D3573"/>
    <w:rsid w:val="003D4A3B"/>
    <w:rsid w:val="003E2804"/>
    <w:rsid w:val="003E7796"/>
    <w:rsid w:val="003E7FF3"/>
    <w:rsid w:val="003F1710"/>
    <w:rsid w:val="003F2CEC"/>
    <w:rsid w:val="00400463"/>
    <w:rsid w:val="004010F2"/>
    <w:rsid w:val="004124BB"/>
    <w:rsid w:val="00416588"/>
    <w:rsid w:val="00420FE6"/>
    <w:rsid w:val="00425CCF"/>
    <w:rsid w:val="004313F3"/>
    <w:rsid w:val="0043383D"/>
    <w:rsid w:val="00436540"/>
    <w:rsid w:val="004378EB"/>
    <w:rsid w:val="00454AC9"/>
    <w:rsid w:val="00456EEE"/>
    <w:rsid w:val="004631BC"/>
    <w:rsid w:val="00466905"/>
    <w:rsid w:val="00473BEC"/>
    <w:rsid w:val="004817A9"/>
    <w:rsid w:val="00484246"/>
    <w:rsid w:val="00485E5C"/>
    <w:rsid w:val="00490686"/>
    <w:rsid w:val="00492D52"/>
    <w:rsid w:val="00493E55"/>
    <w:rsid w:val="004A0A75"/>
    <w:rsid w:val="004A0A97"/>
    <w:rsid w:val="004A39C9"/>
    <w:rsid w:val="004A6996"/>
    <w:rsid w:val="004B0A0A"/>
    <w:rsid w:val="004B2800"/>
    <w:rsid w:val="004C1AA2"/>
    <w:rsid w:val="004D1C07"/>
    <w:rsid w:val="004D20E9"/>
    <w:rsid w:val="004D40C7"/>
    <w:rsid w:val="004D4C73"/>
    <w:rsid w:val="004D4E57"/>
    <w:rsid w:val="004D506D"/>
    <w:rsid w:val="004E1C39"/>
    <w:rsid w:val="004E2E3D"/>
    <w:rsid w:val="00502FFE"/>
    <w:rsid w:val="00503F11"/>
    <w:rsid w:val="005074D4"/>
    <w:rsid w:val="005118E4"/>
    <w:rsid w:val="005168A2"/>
    <w:rsid w:val="00516BC6"/>
    <w:rsid w:val="00521E27"/>
    <w:rsid w:val="00525650"/>
    <w:rsid w:val="005263F6"/>
    <w:rsid w:val="00541BAB"/>
    <w:rsid w:val="00542CE2"/>
    <w:rsid w:val="00544C67"/>
    <w:rsid w:val="00545866"/>
    <w:rsid w:val="00546BE4"/>
    <w:rsid w:val="005476D2"/>
    <w:rsid w:val="00550D82"/>
    <w:rsid w:val="00555E33"/>
    <w:rsid w:val="005601CA"/>
    <w:rsid w:val="00563A6B"/>
    <w:rsid w:val="00563D04"/>
    <w:rsid w:val="00565731"/>
    <w:rsid w:val="00573776"/>
    <w:rsid w:val="00573F10"/>
    <w:rsid w:val="00583999"/>
    <w:rsid w:val="00590F92"/>
    <w:rsid w:val="00592DA5"/>
    <w:rsid w:val="00593848"/>
    <w:rsid w:val="00597E41"/>
    <w:rsid w:val="005A043C"/>
    <w:rsid w:val="005A05F7"/>
    <w:rsid w:val="005A5AFE"/>
    <w:rsid w:val="005B0D0D"/>
    <w:rsid w:val="005B1CC8"/>
    <w:rsid w:val="005B2A75"/>
    <w:rsid w:val="005B557D"/>
    <w:rsid w:val="005B6F29"/>
    <w:rsid w:val="005B7FD1"/>
    <w:rsid w:val="005C2229"/>
    <w:rsid w:val="005C3DD8"/>
    <w:rsid w:val="005D21DD"/>
    <w:rsid w:val="005D32D5"/>
    <w:rsid w:val="005D4597"/>
    <w:rsid w:val="005D487E"/>
    <w:rsid w:val="005D6482"/>
    <w:rsid w:val="005D6C57"/>
    <w:rsid w:val="005D75E4"/>
    <w:rsid w:val="005E0076"/>
    <w:rsid w:val="005E2CFE"/>
    <w:rsid w:val="005E4E65"/>
    <w:rsid w:val="005F2368"/>
    <w:rsid w:val="00600387"/>
    <w:rsid w:val="00600997"/>
    <w:rsid w:val="0060399E"/>
    <w:rsid w:val="00603CDE"/>
    <w:rsid w:val="00604B80"/>
    <w:rsid w:val="00606753"/>
    <w:rsid w:val="0061154B"/>
    <w:rsid w:val="006146F6"/>
    <w:rsid w:val="006234DA"/>
    <w:rsid w:val="00623A61"/>
    <w:rsid w:val="00625439"/>
    <w:rsid w:val="00634688"/>
    <w:rsid w:val="00634941"/>
    <w:rsid w:val="00656DF5"/>
    <w:rsid w:val="00657B7C"/>
    <w:rsid w:val="0066208B"/>
    <w:rsid w:val="006711FD"/>
    <w:rsid w:val="00672E43"/>
    <w:rsid w:val="006745E4"/>
    <w:rsid w:val="00675C11"/>
    <w:rsid w:val="00676B4D"/>
    <w:rsid w:val="0068498B"/>
    <w:rsid w:val="006A2674"/>
    <w:rsid w:val="006A65D3"/>
    <w:rsid w:val="006B4226"/>
    <w:rsid w:val="006B429E"/>
    <w:rsid w:val="006C37CE"/>
    <w:rsid w:val="006C3974"/>
    <w:rsid w:val="006C768E"/>
    <w:rsid w:val="006D0480"/>
    <w:rsid w:val="006D7DD9"/>
    <w:rsid w:val="006D7E25"/>
    <w:rsid w:val="006E3E8E"/>
    <w:rsid w:val="006F6069"/>
    <w:rsid w:val="006F64C5"/>
    <w:rsid w:val="00700EAE"/>
    <w:rsid w:val="007018F3"/>
    <w:rsid w:val="0070298D"/>
    <w:rsid w:val="00705A87"/>
    <w:rsid w:val="00711D1D"/>
    <w:rsid w:val="00714132"/>
    <w:rsid w:val="0071555D"/>
    <w:rsid w:val="007157B4"/>
    <w:rsid w:val="0072068F"/>
    <w:rsid w:val="00730249"/>
    <w:rsid w:val="007325C2"/>
    <w:rsid w:val="00740C41"/>
    <w:rsid w:val="00742377"/>
    <w:rsid w:val="00742AA5"/>
    <w:rsid w:val="007451C0"/>
    <w:rsid w:val="00745855"/>
    <w:rsid w:val="0074610E"/>
    <w:rsid w:val="007500C2"/>
    <w:rsid w:val="00750B8E"/>
    <w:rsid w:val="00755741"/>
    <w:rsid w:val="00762E7D"/>
    <w:rsid w:val="007642B6"/>
    <w:rsid w:val="0076675E"/>
    <w:rsid w:val="007720EB"/>
    <w:rsid w:val="00772510"/>
    <w:rsid w:val="00772A15"/>
    <w:rsid w:val="00773B96"/>
    <w:rsid w:val="007752D7"/>
    <w:rsid w:val="0077797D"/>
    <w:rsid w:val="00781810"/>
    <w:rsid w:val="00785E49"/>
    <w:rsid w:val="00786A11"/>
    <w:rsid w:val="0079061C"/>
    <w:rsid w:val="00793013"/>
    <w:rsid w:val="007936AF"/>
    <w:rsid w:val="007941CD"/>
    <w:rsid w:val="007954AD"/>
    <w:rsid w:val="007A0752"/>
    <w:rsid w:val="007A326D"/>
    <w:rsid w:val="007A5A7A"/>
    <w:rsid w:val="007B092E"/>
    <w:rsid w:val="007C1350"/>
    <w:rsid w:val="007C2CA5"/>
    <w:rsid w:val="007C310C"/>
    <w:rsid w:val="007C4DE7"/>
    <w:rsid w:val="007E0973"/>
    <w:rsid w:val="007E7C0E"/>
    <w:rsid w:val="007F3B76"/>
    <w:rsid w:val="007F62AC"/>
    <w:rsid w:val="007F7359"/>
    <w:rsid w:val="00803103"/>
    <w:rsid w:val="0080389D"/>
    <w:rsid w:val="0081280D"/>
    <w:rsid w:val="008165F2"/>
    <w:rsid w:val="00817F54"/>
    <w:rsid w:val="00817FB1"/>
    <w:rsid w:val="00824F47"/>
    <w:rsid w:val="00826AC9"/>
    <w:rsid w:val="00835715"/>
    <w:rsid w:val="00843F5A"/>
    <w:rsid w:val="008460F2"/>
    <w:rsid w:val="00846284"/>
    <w:rsid w:val="008475D9"/>
    <w:rsid w:val="0085101E"/>
    <w:rsid w:val="00855750"/>
    <w:rsid w:val="00855CFE"/>
    <w:rsid w:val="00865737"/>
    <w:rsid w:val="008663C8"/>
    <w:rsid w:val="00871197"/>
    <w:rsid w:val="0087701E"/>
    <w:rsid w:val="008817DF"/>
    <w:rsid w:val="00895082"/>
    <w:rsid w:val="008B2A7F"/>
    <w:rsid w:val="008B4592"/>
    <w:rsid w:val="008C098C"/>
    <w:rsid w:val="008C1AEA"/>
    <w:rsid w:val="008C2C87"/>
    <w:rsid w:val="008C37CC"/>
    <w:rsid w:val="008C3FDA"/>
    <w:rsid w:val="008C4264"/>
    <w:rsid w:val="008C6E61"/>
    <w:rsid w:val="008D2BA2"/>
    <w:rsid w:val="008D3081"/>
    <w:rsid w:val="008D49EA"/>
    <w:rsid w:val="008E27E6"/>
    <w:rsid w:val="008E4E51"/>
    <w:rsid w:val="008E593D"/>
    <w:rsid w:val="008E5DD6"/>
    <w:rsid w:val="008F0FE7"/>
    <w:rsid w:val="008F3704"/>
    <w:rsid w:val="00900CF9"/>
    <w:rsid w:val="00900D85"/>
    <w:rsid w:val="00905A5F"/>
    <w:rsid w:val="00906748"/>
    <w:rsid w:val="00906AAD"/>
    <w:rsid w:val="00907CCE"/>
    <w:rsid w:val="009103AC"/>
    <w:rsid w:val="00924DE0"/>
    <w:rsid w:val="00942507"/>
    <w:rsid w:val="00943539"/>
    <w:rsid w:val="00944952"/>
    <w:rsid w:val="00945265"/>
    <w:rsid w:val="009472DF"/>
    <w:rsid w:val="00951D03"/>
    <w:rsid w:val="00955645"/>
    <w:rsid w:val="00960388"/>
    <w:rsid w:val="009633F5"/>
    <w:rsid w:val="00965274"/>
    <w:rsid w:val="00966F1B"/>
    <w:rsid w:val="00970138"/>
    <w:rsid w:val="00970828"/>
    <w:rsid w:val="00971CA3"/>
    <w:rsid w:val="00972A8D"/>
    <w:rsid w:val="00973BDD"/>
    <w:rsid w:val="00973F4C"/>
    <w:rsid w:val="00974211"/>
    <w:rsid w:val="00975546"/>
    <w:rsid w:val="0097579F"/>
    <w:rsid w:val="00983D90"/>
    <w:rsid w:val="00985687"/>
    <w:rsid w:val="009869C9"/>
    <w:rsid w:val="009957F4"/>
    <w:rsid w:val="009A12DD"/>
    <w:rsid w:val="009A4356"/>
    <w:rsid w:val="009A5046"/>
    <w:rsid w:val="009B0258"/>
    <w:rsid w:val="009C2DB2"/>
    <w:rsid w:val="009D0FF6"/>
    <w:rsid w:val="009D2DB4"/>
    <w:rsid w:val="009D61ED"/>
    <w:rsid w:val="009E508F"/>
    <w:rsid w:val="009F2D6C"/>
    <w:rsid w:val="009F329A"/>
    <w:rsid w:val="00A01C01"/>
    <w:rsid w:val="00A045CD"/>
    <w:rsid w:val="00A053DD"/>
    <w:rsid w:val="00A05B75"/>
    <w:rsid w:val="00A06E99"/>
    <w:rsid w:val="00A07306"/>
    <w:rsid w:val="00A121C8"/>
    <w:rsid w:val="00A12EAB"/>
    <w:rsid w:val="00A130BA"/>
    <w:rsid w:val="00A16A5F"/>
    <w:rsid w:val="00A20941"/>
    <w:rsid w:val="00A228D7"/>
    <w:rsid w:val="00A27307"/>
    <w:rsid w:val="00A35104"/>
    <w:rsid w:val="00A35A84"/>
    <w:rsid w:val="00A422AD"/>
    <w:rsid w:val="00A4696A"/>
    <w:rsid w:val="00A472C6"/>
    <w:rsid w:val="00A554E9"/>
    <w:rsid w:val="00A55B56"/>
    <w:rsid w:val="00A564CB"/>
    <w:rsid w:val="00A63939"/>
    <w:rsid w:val="00A6534A"/>
    <w:rsid w:val="00A6545C"/>
    <w:rsid w:val="00A662CD"/>
    <w:rsid w:val="00A66D33"/>
    <w:rsid w:val="00A751BA"/>
    <w:rsid w:val="00A76C89"/>
    <w:rsid w:val="00A76DA1"/>
    <w:rsid w:val="00A825D1"/>
    <w:rsid w:val="00A861D9"/>
    <w:rsid w:val="00A876DF"/>
    <w:rsid w:val="00A87791"/>
    <w:rsid w:val="00A91CC5"/>
    <w:rsid w:val="00A930FF"/>
    <w:rsid w:val="00AA4AC5"/>
    <w:rsid w:val="00AA4F0E"/>
    <w:rsid w:val="00AA79FE"/>
    <w:rsid w:val="00AB1330"/>
    <w:rsid w:val="00AB1AC8"/>
    <w:rsid w:val="00AB78AE"/>
    <w:rsid w:val="00AC3132"/>
    <w:rsid w:val="00AC3C59"/>
    <w:rsid w:val="00AC5306"/>
    <w:rsid w:val="00AC6B31"/>
    <w:rsid w:val="00AC71D9"/>
    <w:rsid w:val="00AD2C5D"/>
    <w:rsid w:val="00AD345F"/>
    <w:rsid w:val="00AE0CF8"/>
    <w:rsid w:val="00AE2604"/>
    <w:rsid w:val="00AE5DE8"/>
    <w:rsid w:val="00AF29BD"/>
    <w:rsid w:val="00AF3FEC"/>
    <w:rsid w:val="00AF4A87"/>
    <w:rsid w:val="00AF5E7A"/>
    <w:rsid w:val="00AF79B2"/>
    <w:rsid w:val="00B20425"/>
    <w:rsid w:val="00B2471B"/>
    <w:rsid w:val="00B25BB9"/>
    <w:rsid w:val="00B26E60"/>
    <w:rsid w:val="00B303C5"/>
    <w:rsid w:val="00B3332C"/>
    <w:rsid w:val="00B359AC"/>
    <w:rsid w:val="00B36C01"/>
    <w:rsid w:val="00B4391C"/>
    <w:rsid w:val="00B46976"/>
    <w:rsid w:val="00B46B4E"/>
    <w:rsid w:val="00B5158C"/>
    <w:rsid w:val="00B63E24"/>
    <w:rsid w:val="00B649EA"/>
    <w:rsid w:val="00B77A77"/>
    <w:rsid w:val="00B8083B"/>
    <w:rsid w:val="00B80937"/>
    <w:rsid w:val="00B962D1"/>
    <w:rsid w:val="00BA1994"/>
    <w:rsid w:val="00BA7074"/>
    <w:rsid w:val="00BB11BB"/>
    <w:rsid w:val="00BB5014"/>
    <w:rsid w:val="00BB576C"/>
    <w:rsid w:val="00BB7D4F"/>
    <w:rsid w:val="00BD118E"/>
    <w:rsid w:val="00BD7C14"/>
    <w:rsid w:val="00BE16A9"/>
    <w:rsid w:val="00BE22E7"/>
    <w:rsid w:val="00BF0521"/>
    <w:rsid w:val="00BF22F4"/>
    <w:rsid w:val="00BF29D0"/>
    <w:rsid w:val="00BF5442"/>
    <w:rsid w:val="00BF63BB"/>
    <w:rsid w:val="00C03F14"/>
    <w:rsid w:val="00C04509"/>
    <w:rsid w:val="00C06528"/>
    <w:rsid w:val="00C07DCF"/>
    <w:rsid w:val="00C139FE"/>
    <w:rsid w:val="00C275EC"/>
    <w:rsid w:val="00C27A09"/>
    <w:rsid w:val="00C31C8F"/>
    <w:rsid w:val="00C33B91"/>
    <w:rsid w:val="00C340B3"/>
    <w:rsid w:val="00C35D77"/>
    <w:rsid w:val="00C4082E"/>
    <w:rsid w:val="00C40ED3"/>
    <w:rsid w:val="00C455F4"/>
    <w:rsid w:val="00C56A50"/>
    <w:rsid w:val="00C60102"/>
    <w:rsid w:val="00C62F61"/>
    <w:rsid w:val="00C70481"/>
    <w:rsid w:val="00C77E99"/>
    <w:rsid w:val="00CA0999"/>
    <w:rsid w:val="00CA0C79"/>
    <w:rsid w:val="00CA265D"/>
    <w:rsid w:val="00CA66EE"/>
    <w:rsid w:val="00CA7C65"/>
    <w:rsid w:val="00CB7AA3"/>
    <w:rsid w:val="00CC2A03"/>
    <w:rsid w:val="00CC342C"/>
    <w:rsid w:val="00CC4E47"/>
    <w:rsid w:val="00CC61A9"/>
    <w:rsid w:val="00CC6409"/>
    <w:rsid w:val="00CC6519"/>
    <w:rsid w:val="00CE215F"/>
    <w:rsid w:val="00CF31EE"/>
    <w:rsid w:val="00CF493B"/>
    <w:rsid w:val="00CF798C"/>
    <w:rsid w:val="00D00E02"/>
    <w:rsid w:val="00D05705"/>
    <w:rsid w:val="00D12E97"/>
    <w:rsid w:val="00D1300F"/>
    <w:rsid w:val="00D221C7"/>
    <w:rsid w:val="00D2394B"/>
    <w:rsid w:val="00D2653A"/>
    <w:rsid w:val="00D272EB"/>
    <w:rsid w:val="00D31F3E"/>
    <w:rsid w:val="00D35696"/>
    <w:rsid w:val="00D375D9"/>
    <w:rsid w:val="00D411FB"/>
    <w:rsid w:val="00D44676"/>
    <w:rsid w:val="00D458EB"/>
    <w:rsid w:val="00D45A9C"/>
    <w:rsid w:val="00D47D57"/>
    <w:rsid w:val="00D502E4"/>
    <w:rsid w:val="00D53EAF"/>
    <w:rsid w:val="00D5535E"/>
    <w:rsid w:val="00D610BF"/>
    <w:rsid w:val="00D616CD"/>
    <w:rsid w:val="00D648D9"/>
    <w:rsid w:val="00D67A30"/>
    <w:rsid w:val="00D72BDF"/>
    <w:rsid w:val="00D7725F"/>
    <w:rsid w:val="00D80D70"/>
    <w:rsid w:val="00D834CC"/>
    <w:rsid w:val="00D936A6"/>
    <w:rsid w:val="00D94C1F"/>
    <w:rsid w:val="00D950FB"/>
    <w:rsid w:val="00D97A34"/>
    <w:rsid w:val="00DA657E"/>
    <w:rsid w:val="00DB3399"/>
    <w:rsid w:val="00DB4DF3"/>
    <w:rsid w:val="00DB6C31"/>
    <w:rsid w:val="00DB7BFE"/>
    <w:rsid w:val="00DC115A"/>
    <w:rsid w:val="00DC436D"/>
    <w:rsid w:val="00DC458A"/>
    <w:rsid w:val="00DC7BD5"/>
    <w:rsid w:val="00DE0109"/>
    <w:rsid w:val="00DE21D0"/>
    <w:rsid w:val="00DE36A7"/>
    <w:rsid w:val="00DE5FCE"/>
    <w:rsid w:val="00E07A72"/>
    <w:rsid w:val="00E11284"/>
    <w:rsid w:val="00E11739"/>
    <w:rsid w:val="00E128C1"/>
    <w:rsid w:val="00E2501E"/>
    <w:rsid w:val="00E26F72"/>
    <w:rsid w:val="00E3371D"/>
    <w:rsid w:val="00E3502C"/>
    <w:rsid w:val="00E40DE1"/>
    <w:rsid w:val="00E4252E"/>
    <w:rsid w:val="00E474E1"/>
    <w:rsid w:val="00E56F28"/>
    <w:rsid w:val="00E57F84"/>
    <w:rsid w:val="00E60F8C"/>
    <w:rsid w:val="00E6101C"/>
    <w:rsid w:val="00E72499"/>
    <w:rsid w:val="00E761C9"/>
    <w:rsid w:val="00E764BC"/>
    <w:rsid w:val="00E77678"/>
    <w:rsid w:val="00E81A35"/>
    <w:rsid w:val="00E8299F"/>
    <w:rsid w:val="00E8312B"/>
    <w:rsid w:val="00E83B17"/>
    <w:rsid w:val="00E97106"/>
    <w:rsid w:val="00EA229C"/>
    <w:rsid w:val="00EA5202"/>
    <w:rsid w:val="00EA5E01"/>
    <w:rsid w:val="00EA683B"/>
    <w:rsid w:val="00EA7EDE"/>
    <w:rsid w:val="00EB661E"/>
    <w:rsid w:val="00EC037B"/>
    <w:rsid w:val="00EC0D4B"/>
    <w:rsid w:val="00ED1D47"/>
    <w:rsid w:val="00ED625F"/>
    <w:rsid w:val="00EE03FA"/>
    <w:rsid w:val="00EE799A"/>
    <w:rsid w:val="00EF2141"/>
    <w:rsid w:val="00EF27C7"/>
    <w:rsid w:val="00F00A3F"/>
    <w:rsid w:val="00F01352"/>
    <w:rsid w:val="00F0265F"/>
    <w:rsid w:val="00F1023F"/>
    <w:rsid w:val="00F37C54"/>
    <w:rsid w:val="00F37F4E"/>
    <w:rsid w:val="00F42CA5"/>
    <w:rsid w:val="00F50BC0"/>
    <w:rsid w:val="00F54470"/>
    <w:rsid w:val="00F5779B"/>
    <w:rsid w:val="00F638C5"/>
    <w:rsid w:val="00F73DFA"/>
    <w:rsid w:val="00F74E88"/>
    <w:rsid w:val="00F751FA"/>
    <w:rsid w:val="00F75A57"/>
    <w:rsid w:val="00F76FBD"/>
    <w:rsid w:val="00F7791A"/>
    <w:rsid w:val="00F81B71"/>
    <w:rsid w:val="00F8556E"/>
    <w:rsid w:val="00F87F7B"/>
    <w:rsid w:val="00F90495"/>
    <w:rsid w:val="00F92AEB"/>
    <w:rsid w:val="00F94C4A"/>
    <w:rsid w:val="00F963D1"/>
    <w:rsid w:val="00FA2B3B"/>
    <w:rsid w:val="00FA6E69"/>
    <w:rsid w:val="00FA705D"/>
    <w:rsid w:val="00FB1972"/>
    <w:rsid w:val="00FB1C1D"/>
    <w:rsid w:val="00FB3E1E"/>
    <w:rsid w:val="00FB4B1C"/>
    <w:rsid w:val="00FC0C09"/>
    <w:rsid w:val="00FC318A"/>
    <w:rsid w:val="00FC4C8E"/>
    <w:rsid w:val="00FC63B1"/>
    <w:rsid w:val="00FC705E"/>
    <w:rsid w:val="00FD74B0"/>
    <w:rsid w:val="00FE5F8F"/>
    <w:rsid w:val="00FE790B"/>
    <w:rsid w:val="00FE7B29"/>
    <w:rsid w:val="00FF26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D8A06DA"/>
  <w15:chartTrackingRefBased/>
  <w15:docId w15:val="{6C9C507D-FDF6-45E5-AC05-FAFA316713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004C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ndNoteBibliographyTitle">
    <w:name w:val="EndNote Bibliography Title"/>
    <w:basedOn w:val="Normal"/>
    <w:link w:val="EndNoteBibliographyTitleChar"/>
    <w:rsid w:val="004A0A97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4A0A97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4A0A97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4A0A97"/>
    <w:rPr>
      <w:rFonts w:ascii="Calibri" w:hAnsi="Calibri" w:cs="Calibri"/>
      <w:noProof/>
    </w:rPr>
  </w:style>
  <w:style w:type="character" w:styleId="Hyperlink">
    <w:name w:val="Hyperlink"/>
    <w:basedOn w:val="DefaultParagraphFont"/>
    <w:uiPriority w:val="99"/>
    <w:unhideWhenUsed/>
    <w:rsid w:val="00104DD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04DD1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FC705E"/>
    <w:pPr>
      <w:spacing w:after="0" w:line="240" w:lineRule="auto"/>
    </w:pPr>
  </w:style>
  <w:style w:type="table" w:styleId="TableGrid">
    <w:name w:val="Table Grid"/>
    <w:basedOn w:val="TableNormal"/>
    <w:uiPriority w:val="39"/>
    <w:rsid w:val="00201A0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60675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0367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03675"/>
  </w:style>
  <w:style w:type="paragraph" w:styleId="Footer">
    <w:name w:val="footer"/>
    <w:basedOn w:val="Normal"/>
    <w:link w:val="FooterChar"/>
    <w:uiPriority w:val="99"/>
    <w:unhideWhenUsed/>
    <w:rsid w:val="0010367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03675"/>
  </w:style>
  <w:style w:type="character" w:styleId="CommentReference">
    <w:name w:val="annotation reference"/>
    <w:basedOn w:val="DefaultParagraphFont"/>
    <w:uiPriority w:val="99"/>
    <w:semiHidden/>
    <w:unhideWhenUsed/>
    <w:rsid w:val="00E81A3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81A3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81A3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81A3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81A35"/>
    <w:rPr>
      <w:b/>
      <w:bCs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9A4356"/>
    <w:rPr>
      <w:color w:val="954F72" w:themeColor="followedHyperlink"/>
      <w:u w:val="single"/>
    </w:rPr>
  </w:style>
  <w:style w:type="table" w:customStyle="1" w:styleId="TableGrid1">
    <w:name w:val="Table Grid1"/>
    <w:basedOn w:val="TableNormal"/>
    <w:next w:val="TableGrid"/>
    <w:uiPriority w:val="39"/>
    <w:rsid w:val="00EB661E"/>
    <w:pPr>
      <w:spacing w:after="0" w:line="240" w:lineRule="auto"/>
    </w:pPr>
    <w:rPr>
      <w:rFonts w:eastAsiaTheme="minorEastAsia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3380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791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400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tiff"/><Relationship Id="rId5" Type="http://schemas.openxmlformats.org/officeDocument/2006/relationships/webSettings" Target="webSettings.xml"/><Relationship Id="rId10" Type="http://schemas.openxmlformats.org/officeDocument/2006/relationships/image" Target="media/image3.tiff"/><Relationship Id="rId4" Type="http://schemas.openxmlformats.org/officeDocument/2006/relationships/settings" Target="settings.xml"/><Relationship Id="rId9" Type="http://schemas.openxmlformats.org/officeDocument/2006/relationships/image" Target="media/image2.tif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DB36D885-6ED0-9E4B-9541-E9CC9B3DBF6E}">
  <we:reference id="wa200001011" version="1.2.0.0" store="de-DE" storeType="OMEX"/>
  <we:alternateReferences>
    <we:reference id="wa200001011" version="1.2.0.0" store="de-DE" storeType="OMEX"/>
  </we:alternateReferences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F8166FB-3F0A-48A0-82D4-A51E35159E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4</Pages>
  <Words>429</Words>
  <Characters>2447</Characters>
  <Application>Microsoft Office Word</Application>
  <DocSecurity>0</DocSecurity>
  <Lines>20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Horna, Pedro, M.D.</dc:creator>
  <cp:keywords/>
  <dc:description/>
  <cp:lastModifiedBy>Horna, Pedro, M.D.</cp:lastModifiedBy>
  <cp:revision>42</cp:revision>
  <cp:lastPrinted>2022-09-21T18:34:00Z</cp:lastPrinted>
  <dcterms:created xsi:type="dcterms:W3CDTF">2023-03-02T16:30:00Z</dcterms:created>
  <dcterms:modified xsi:type="dcterms:W3CDTF">2023-11-30T23:32:00Z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_documentId">
    <vt:lpwstr>documentId_6719</vt:lpwstr>
  </property>
  <property fmtid="{D5CDD505-2E9C-101B-9397-08002B2CF9AE}" pid="3" name="grammarly_documentContext">
    <vt:lpwstr>{"goals":[],"domain":"general","emotions":[],"dialect":"american"}</vt:lpwstr>
  </property>
</Properties>
</file>