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4E5D" w:rsidRPr="000B4E5D" w:rsidRDefault="000B4E5D">
      <w:pPr>
        <w:spacing w:before="240" w:after="240"/>
        <w:jc w:val="both"/>
        <w:rPr>
          <w:rFonts w:ascii="Calibri" w:eastAsia="Calibri" w:hAnsi="Calibri" w:cs="Calibri"/>
          <w:b/>
          <w:color w:val="000000"/>
          <w:sz w:val="24"/>
          <w:szCs w:val="24"/>
        </w:rPr>
      </w:pPr>
      <w:r w:rsidRPr="000B4E5D">
        <w:rPr>
          <w:rFonts w:ascii="Calibri" w:eastAsia="Calibri" w:hAnsi="Calibri" w:cs="Calibri"/>
          <w:b/>
          <w:color w:val="000000"/>
          <w:sz w:val="24"/>
          <w:szCs w:val="24"/>
        </w:rPr>
        <w:t>Patients</w:t>
      </w:r>
    </w:p>
    <w:p w:rsidR="000B4E5D" w:rsidRDefault="000B4E5D">
      <w:pPr>
        <w:spacing w:before="240" w:after="240"/>
        <w:jc w:val="both"/>
        <w:rPr>
          <w:rFonts w:ascii="Calibri" w:eastAsia="Calibri" w:hAnsi="Calibri" w:cs="Calibri"/>
          <w:b/>
          <w:sz w:val="24"/>
          <w:szCs w:val="24"/>
        </w:rPr>
      </w:pPr>
      <w:r>
        <w:rPr>
          <w:rFonts w:ascii="Calibri" w:eastAsia="Calibri" w:hAnsi="Calibri" w:cs="Calibri"/>
          <w:color w:val="000000"/>
          <w:sz w:val="24"/>
          <w:szCs w:val="24"/>
        </w:rPr>
        <w:t>This study included a multicentre cohort of seven patients, six wit</w:t>
      </w:r>
      <w:r>
        <w:rPr>
          <w:rFonts w:ascii="Calibri" w:eastAsia="Calibri" w:hAnsi="Calibri" w:cs="Calibri"/>
          <w:sz w:val="24"/>
          <w:szCs w:val="24"/>
        </w:rPr>
        <w:t>h</w:t>
      </w:r>
      <w:r>
        <w:rPr>
          <w:rFonts w:ascii="Calibri" w:eastAsia="Calibri" w:hAnsi="Calibri" w:cs="Calibri"/>
          <w:color w:val="000000"/>
          <w:sz w:val="24"/>
          <w:szCs w:val="24"/>
        </w:rPr>
        <w:t xml:space="preserve"> sequence variants in </w:t>
      </w:r>
      <w:r>
        <w:rPr>
          <w:rFonts w:ascii="Calibri" w:eastAsia="Calibri" w:hAnsi="Calibri" w:cs="Calibri"/>
          <w:i/>
          <w:color w:val="000000"/>
          <w:sz w:val="24"/>
          <w:szCs w:val="24"/>
        </w:rPr>
        <w:t xml:space="preserve">SOX11 </w:t>
      </w:r>
      <w:r>
        <w:rPr>
          <w:rFonts w:ascii="Calibri" w:eastAsia="Calibri" w:hAnsi="Calibri" w:cs="Calibri"/>
          <w:color w:val="000000"/>
          <w:sz w:val="24"/>
          <w:szCs w:val="24"/>
        </w:rPr>
        <w:t xml:space="preserve">and one </w:t>
      </w:r>
      <w:r>
        <w:rPr>
          <w:rFonts w:ascii="Calibri" w:eastAsia="Calibri" w:hAnsi="Calibri" w:cs="Calibri"/>
          <w:sz w:val="24"/>
          <w:szCs w:val="24"/>
        </w:rPr>
        <w:t>with a whole-gene deletion</w:t>
      </w:r>
      <w:r>
        <w:rPr>
          <w:rFonts w:ascii="Calibri" w:eastAsia="Calibri" w:hAnsi="Calibri" w:cs="Calibri"/>
          <w:color w:val="000000"/>
          <w:sz w:val="24"/>
          <w:szCs w:val="24"/>
        </w:rPr>
        <w:t>. Two of the patients were enrolled through a collaboration between university hospitals in Brazil. The other f</w:t>
      </w:r>
      <w:r>
        <w:rPr>
          <w:rFonts w:ascii="Calibri" w:eastAsia="Calibri" w:hAnsi="Calibri" w:cs="Calibri"/>
          <w:sz w:val="24"/>
          <w:szCs w:val="24"/>
        </w:rPr>
        <w:t>ive</w:t>
      </w:r>
      <w:r>
        <w:rPr>
          <w:rFonts w:ascii="Calibri" w:eastAsia="Calibri" w:hAnsi="Calibri" w:cs="Calibri"/>
          <w:color w:val="000000"/>
          <w:sz w:val="24"/>
          <w:szCs w:val="24"/>
        </w:rPr>
        <w:t xml:space="preserve"> subjects were enrolled by contacting researchers, physicians</w:t>
      </w:r>
      <w:r>
        <w:rPr>
          <w:rFonts w:ascii="Calibri" w:eastAsia="Calibri" w:hAnsi="Calibri" w:cs="Calibri"/>
          <w:sz w:val="24"/>
          <w:szCs w:val="24"/>
        </w:rPr>
        <w:t xml:space="preserve">, </w:t>
      </w:r>
      <w:r>
        <w:rPr>
          <w:rFonts w:ascii="Calibri" w:eastAsia="Calibri" w:hAnsi="Calibri" w:cs="Calibri"/>
          <w:color w:val="000000"/>
          <w:sz w:val="24"/>
          <w:szCs w:val="24"/>
        </w:rPr>
        <w:t xml:space="preserve">and clinical diagnostic laboratories that submitted variants to the ClinVar database </w:t>
      </w:r>
      <w:r>
        <w:rPr>
          <w:rFonts w:ascii="Calibri" w:eastAsia="Calibri" w:hAnsi="Calibri" w:cs="Calibri"/>
          <w:color w:val="000000"/>
          <w:sz w:val="24"/>
          <w:szCs w:val="24"/>
          <w:highlight w:val="white"/>
        </w:rPr>
        <w:t>(</w:t>
      </w:r>
      <w:r>
        <w:rPr>
          <w:rFonts w:ascii="Calibri" w:eastAsia="Calibri" w:hAnsi="Calibri" w:cs="Calibri"/>
          <w:sz w:val="24"/>
          <w:szCs w:val="24"/>
          <w:highlight w:val="white"/>
        </w:rPr>
        <w:t>https://www.ncbi.nlm.nih.gov/clinvar/</w:t>
      </w:r>
      <w:r>
        <w:rPr>
          <w:rFonts w:ascii="Calibri" w:eastAsia="Calibri" w:hAnsi="Calibri" w:cs="Calibri"/>
          <w:color w:val="000000"/>
          <w:sz w:val="24"/>
          <w:szCs w:val="24"/>
          <w:highlight w:val="white"/>
        </w:rPr>
        <w:t>)</w:t>
      </w:r>
      <w:r>
        <w:rPr>
          <w:rFonts w:ascii="Calibri" w:eastAsia="Calibri" w:hAnsi="Calibri" w:cs="Calibri"/>
          <w:color w:val="000000"/>
          <w:sz w:val="24"/>
          <w:szCs w:val="24"/>
        </w:rPr>
        <w:t>.</w:t>
      </w:r>
    </w:p>
    <w:p w:rsidR="006E4ACF" w:rsidRDefault="004E2926">
      <w:pPr>
        <w:spacing w:before="240" w:after="240"/>
        <w:jc w:val="both"/>
        <w:rPr>
          <w:rFonts w:ascii="Calibri" w:eastAsia="Calibri" w:hAnsi="Calibri" w:cs="Calibri"/>
          <w:b/>
          <w:sz w:val="24"/>
          <w:szCs w:val="24"/>
        </w:rPr>
      </w:pPr>
      <w:r>
        <w:rPr>
          <w:rFonts w:ascii="Calibri" w:eastAsia="Calibri" w:hAnsi="Calibri" w:cs="Calibri"/>
          <w:b/>
          <w:sz w:val="24"/>
          <w:szCs w:val="24"/>
        </w:rPr>
        <w:t>Case reports</w:t>
      </w:r>
    </w:p>
    <w:p w:rsidR="006E4ACF" w:rsidRDefault="004E2926">
      <w:pPr>
        <w:spacing w:before="240" w:after="240"/>
        <w:jc w:val="both"/>
        <w:rPr>
          <w:rFonts w:ascii="Calibri" w:eastAsia="Calibri" w:hAnsi="Calibri" w:cs="Calibri"/>
          <w:b/>
          <w:sz w:val="24"/>
          <w:szCs w:val="24"/>
          <w:highlight w:val="white"/>
        </w:rPr>
      </w:pPr>
      <w:r>
        <w:rPr>
          <w:rFonts w:ascii="Calibri" w:eastAsia="Calibri" w:hAnsi="Calibri" w:cs="Calibri"/>
          <w:b/>
          <w:sz w:val="24"/>
          <w:szCs w:val="24"/>
          <w:highlight w:val="white"/>
        </w:rPr>
        <w:t>Patient 1</w:t>
      </w:r>
    </w:p>
    <w:p w:rsidR="006E4ACF" w:rsidRDefault="004E2926">
      <w:pPr>
        <w:spacing w:before="240" w:after="240"/>
        <w:jc w:val="both"/>
        <w:rPr>
          <w:rFonts w:ascii="Calibri" w:eastAsia="Calibri" w:hAnsi="Calibri" w:cs="Calibri"/>
          <w:sz w:val="24"/>
          <w:szCs w:val="24"/>
          <w:highlight w:val="white"/>
        </w:rPr>
      </w:pPr>
      <w:r>
        <w:rPr>
          <w:rFonts w:ascii="Calibri" w:eastAsia="Calibri" w:hAnsi="Calibri" w:cs="Calibri"/>
          <w:sz w:val="24"/>
          <w:szCs w:val="24"/>
          <w:highlight w:val="white"/>
        </w:rPr>
        <w:t>A female patient was referred for genetic evaluation of intellectual disability at nine years of age. She was the first child of healthy and non-consanguineous parents. Pregnancy evolved without maternal complications. However, poor foetal movements were n</w:t>
      </w:r>
      <w:r>
        <w:rPr>
          <w:rFonts w:ascii="Calibri" w:eastAsia="Calibri" w:hAnsi="Calibri" w:cs="Calibri"/>
          <w:sz w:val="24"/>
          <w:szCs w:val="24"/>
          <w:highlight w:val="white"/>
        </w:rPr>
        <w:t>oted and an obstetric ultrasound showed a cleft lip. She was born at term via uneventful caesarean section due to breech presentation, with normal anthropometry, presenting with poor suck. During follow-up, she had motor and speech delays, and seizures. Su</w:t>
      </w:r>
      <w:r>
        <w:rPr>
          <w:rFonts w:ascii="Calibri" w:eastAsia="Calibri" w:hAnsi="Calibri" w:cs="Calibri"/>
          <w:sz w:val="24"/>
          <w:szCs w:val="24"/>
          <w:highlight w:val="white"/>
        </w:rPr>
        <w:t>rgical correction of the cleft lip was performed at three months of age.  At the first genetic evaluation, at nine years of age, anthropometric data revealed a height of 129.4 cm (-0.96 SD), weight of 25.2 kg (-1.05 SD), and head circumference of 48.7 cm (</w:t>
      </w:r>
      <w:r>
        <w:rPr>
          <w:rFonts w:ascii="Calibri" w:eastAsia="Calibri" w:hAnsi="Calibri" w:cs="Calibri"/>
          <w:sz w:val="24"/>
          <w:szCs w:val="24"/>
          <w:highlight w:val="white"/>
        </w:rPr>
        <w:t>-2.79 SD). The dysmorphological evaluation showed microcephaly, low set ears, epicanthus, upslanted palpebral fissures, a corrected left cleft lip, everted upper and lower lip vermillion, gingival overgrowth, clinodactyly of the 5th fingers, and lower limb</w:t>
      </w:r>
      <w:r>
        <w:rPr>
          <w:rFonts w:ascii="Calibri" w:eastAsia="Calibri" w:hAnsi="Calibri" w:cs="Calibri"/>
          <w:sz w:val="24"/>
          <w:szCs w:val="24"/>
          <w:highlight w:val="white"/>
        </w:rPr>
        <w:t xml:space="preserve"> asymmetry (Figure 1A-B). G-banded karyotyping detected a balanced translocation between the whole arms of chromosomes 4 and 5 – 46,XX,t(4;5)(p10;p10) – inherited from her phenotypically normal father. Chromosomal microarray analysis (CMA) did not show pat</w:t>
      </w:r>
      <w:r>
        <w:rPr>
          <w:rFonts w:ascii="Calibri" w:eastAsia="Calibri" w:hAnsi="Calibri" w:cs="Calibri"/>
          <w:sz w:val="24"/>
          <w:szCs w:val="24"/>
          <w:highlight w:val="white"/>
        </w:rPr>
        <w:t xml:space="preserve">hogenic copy number variations. WES identified a novel heterozygous missense variant in the </w:t>
      </w:r>
      <w:r>
        <w:rPr>
          <w:rFonts w:ascii="Calibri" w:eastAsia="Calibri" w:hAnsi="Calibri" w:cs="Calibri"/>
          <w:i/>
          <w:sz w:val="24"/>
          <w:szCs w:val="24"/>
          <w:highlight w:val="white"/>
        </w:rPr>
        <w:t>SOX11</w:t>
      </w:r>
      <w:r>
        <w:rPr>
          <w:rFonts w:ascii="Calibri" w:eastAsia="Calibri" w:hAnsi="Calibri" w:cs="Calibri"/>
          <w:sz w:val="24"/>
          <w:szCs w:val="24"/>
          <w:highlight w:val="white"/>
        </w:rPr>
        <w:t xml:space="preserve"> gene - SOX11:NM_003108.4:exon1:c.251G&gt;A:p.(Gly84Asp). This variant was confirmed by Sanger sequencing in the patient, was not found in either of the parents, </w:t>
      </w:r>
      <w:r>
        <w:rPr>
          <w:rFonts w:ascii="Calibri" w:eastAsia="Calibri" w:hAnsi="Calibri" w:cs="Calibri"/>
          <w:sz w:val="24"/>
          <w:szCs w:val="24"/>
          <w:highlight w:val="white"/>
        </w:rPr>
        <w:t>and was classified as likely pathogenic (PM1, PM2, PM5, PM6, PP3). At her last evaluation, at 23 years of age, she had the same dysmorphic features. In addition, she presented with primary amenorrhea, and her uterus and ovaries were not visualized during a</w:t>
      </w:r>
      <w:r>
        <w:rPr>
          <w:rFonts w:ascii="Calibri" w:eastAsia="Calibri" w:hAnsi="Calibri" w:cs="Calibri"/>
          <w:sz w:val="24"/>
          <w:szCs w:val="24"/>
          <w:highlight w:val="white"/>
        </w:rPr>
        <w:t xml:space="preserve"> pelvic ultrasound. Endocrinological investigation showed low LH and FSH levels, confirming hypogonadotropic hypogonadism.</w:t>
      </w:r>
    </w:p>
    <w:p w:rsidR="006E4ACF" w:rsidRDefault="006E4ACF">
      <w:pPr>
        <w:spacing w:before="240" w:after="240"/>
        <w:jc w:val="both"/>
        <w:rPr>
          <w:rFonts w:ascii="Calibri" w:eastAsia="Calibri" w:hAnsi="Calibri" w:cs="Calibri"/>
          <w:sz w:val="24"/>
          <w:szCs w:val="24"/>
          <w:highlight w:val="white"/>
        </w:rPr>
      </w:pPr>
    </w:p>
    <w:p w:rsidR="006E4ACF" w:rsidRDefault="004E2926">
      <w:pPr>
        <w:spacing w:before="240" w:after="240"/>
        <w:jc w:val="both"/>
        <w:rPr>
          <w:rFonts w:ascii="Calibri" w:eastAsia="Calibri" w:hAnsi="Calibri" w:cs="Calibri"/>
          <w:sz w:val="24"/>
          <w:szCs w:val="24"/>
        </w:rPr>
      </w:pPr>
      <w:r>
        <w:rPr>
          <w:rFonts w:ascii="Calibri" w:eastAsia="Calibri" w:hAnsi="Calibri" w:cs="Calibri"/>
          <w:b/>
          <w:color w:val="000000"/>
          <w:sz w:val="24"/>
          <w:szCs w:val="24"/>
          <w:highlight w:val="white"/>
        </w:rPr>
        <w:t>Patient 2</w:t>
      </w:r>
      <w:r>
        <w:rPr>
          <w:rFonts w:ascii="Calibri" w:eastAsia="Calibri" w:hAnsi="Calibri" w:cs="Calibri"/>
          <w:color w:val="000000"/>
          <w:sz w:val="24"/>
          <w:szCs w:val="24"/>
          <w:highlight w:val="white"/>
        </w:rPr>
        <w:t xml:space="preserve"> </w:t>
      </w:r>
    </w:p>
    <w:p w:rsidR="006E4ACF" w:rsidRDefault="004E2926">
      <w:pPr>
        <w:jc w:val="both"/>
        <w:rPr>
          <w:rFonts w:ascii="Calibri" w:eastAsia="Calibri" w:hAnsi="Calibri" w:cs="Calibri"/>
          <w:color w:val="0E101A"/>
          <w:sz w:val="24"/>
          <w:szCs w:val="24"/>
          <w:highlight w:val="white"/>
        </w:rPr>
      </w:pPr>
      <w:r>
        <w:rPr>
          <w:rFonts w:ascii="Calibri" w:eastAsia="Calibri" w:hAnsi="Calibri" w:cs="Calibri"/>
          <w:color w:val="0E101A"/>
          <w:sz w:val="24"/>
          <w:szCs w:val="24"/>
          <w:highlight w:val="white"/>
        </w:rPr>
        <w:t>A male patient, the third child of a healthy non-consanguineous couple, was evaluated for developmental delay by a geneti</w:t>
      </w:r>
      <w:r>
        <w:rPr>
          <w:rFonts w:ascii="Calibri" w:eastAsia="Calibri" w:hAnsi="Calibri" w:cs="Calibri"/>
          <w:color w:val="0E101A"/>
          <w:sz w:val="24"/>
          <w:szCs w:val="24"/>
          <w:highlight w:val="white"/>
        </w:rPr>
        <w:t xml:space="preserve">cist at seven years of age. Decreased foetal movements were detected during pregnancy, and the mother presented with gestational diabetes and </w:t>
      </w:r>
      <w:r>
        <w:rPr>
          <w:rFonts w:ascii="Calibri" w:eastAsia="Calibri" w:hAnsi="Calibri" w:cs="Calibri"/>
          <w:color w:val="0E101A"/>
          <w:sz w:val="24"/>
          <w:szCs w:val="24"/>
          <w:highlight w:val="white"/>
        </w:rPr>
        <w:lastRenderedPageBreak/>
        <w:t>depression, requiring sertraline. He was born at 35 gestational weeks by vaginal delivery and had appropriate anth</w:t>
      </w:r>
      <w:r>
        <w:rPr>
          <w:rFonts w:ascii="Calibri" w:eastAsia="Calibri" w:hAnsi="Calibri" w:cs="Calibri"/>
          <w:color w:val="0E101A"/>
          <w:sz w:val="24"/>
          <w:szCs w:val="24"/>
          <w:highlight w:val="white"/>
        </w:rPr>
        <w:t>ropometric measurements. However, he presented with cyanosis and hypotonia. He required hospitalization in the neonatal intensive care unit and developed cerebral hemorrhage and sepsis. He was discharged from the maternity unit at one month of age with a n</w:t>
      </w:r>
      <w:r>
        <w:rPr>
          <w:rFonts w:ascii="Calibri" w:eastAsia="Calibri" w:hAnsi="Calibri" w:cs="Calibri"/>
          <w:color w:val="0E101A"/>
          <w:sz w:val="24"/>
          <w:szCs w:val="24"/>
          <w:highlight w:val="white"/>
        </w:rPr>
        <w:t>asogastric feeding tube and was referred for correction of unilateral cryptorchidism. At three years of age, speech delay motivated auditory evaluation, and functional alteration of the auditory nerve and auditory pathways at the level of the brainstem wer</w:t>
      </w:r>
      <w:r>
        <w:rPr>
          <w:rFonts w:ascii="Calibri" w:eastAsia="Calibri" w:hAnsi="Calibri" w:cs="Calibri"/>
          <w:color w:val="0E101A"/>
          <w:sz w:val="24"/>
          <w:szCs w:val="24"/>
          <w:highlight w:val="white"/>
        </w:rPr>
        <w:t>e detected bilaterally. At seven years of age, he presented with normal weight and height at physical evaluation, and his head circumference was 49 cm (-2.5 SD). The dysmorphological evaluation revealed long eyelashes, epicanthus, upslanted palpebral fissu</w:t>
      </w:r>
      <w:r>
        <w:rPr>
          <w:rFonts w:ascii="Calibri" w:eastAsia="Calibri" w:hAnsi="Calibri" w:cs="Calibri"/>
          <w:color w:val="0E101A"/>
          <w:sz w:val="24"/>
          <w:szCs w:val="24"/>
          <w:highlight w:val="white"/>
        </w:rPr>
        <w:t xml:space="preserve">res, everted upper and lower lip vermillion, gingival overgrowth, aplasia of fifth fingernails, clinodactyly of the 5th fingers, and nasal voice </w:t>
      </w:r>
      <w:r>
        <w:rPr>
          <w:rFonts w:ascii="Calibri" w:eastAsia="Calibri" w:hAnsi="Calibri" w:cs="Calibri"/>
          <w:sz w:val="24"/>
          <w:szCs w:val="24"/>
          <w:highlight w:val="white"/>
        </w:rPr>
        <w:t>(Figure 1C-D)</w:t>
      </w:r>
      <w:r>
        <w:rPr>
          <w:rFonts w:ascii="Calibri" w:eastAsia="Calibri" w:hAnsi="Calibri" w:cs="Calibri"/>
          <w:color w:val="0E101A"/>
          <w:sz w:val="24"/>
          <w:szCs w:val="24"/>
          <w:highlight w:val="white"/>
        </w:rPr>
        <w:t>. In addition, he had microorchidism, and micropenis, suggestive of hypogonadism. Initial genetic investigation by G-banded karyotyping and molecular screening for Fragile X Syndrome by PCR showed normal results. WES identified a novel and heterozygous mis</w:t>
      </w:r>
      <w:r>
        <w:rPr>
          <w:rFonts w:ascii="Calibri" w:eastAsia="Calibri" w:hAnsi="Calibri" w:cs="Calibri"/>
          <w:color w:val="0E101A"/>
          <w:sz w:val="24"/>
          <w:szCs w:val="24"/>
          <w:highlight w:val="white"/>
        </w:rPr>
        <w:t xml:space="preserve">sense variant in the </w:t>
      </w:r>
      <w:r>
        <w:rPr>
          <w:rFonts w:ascii="Calibri" w:eastAsia="Calibri" w:hAnsi="Calibri" w:cs="Calibri"/>
          <w:i/>
          <w:color w:val="0E101A"/>
          <w:sz w:val="24"/>
          <w:szCs w:val="24"/>
          <w:highlight w:val="white"/>
        </w:rPr>
        <w:t>SOX11</w:t>
      </w:r>
      <w:r>
        <w:rPr>
          <w:rFonts w:ascii="Calibri" w:eastAsia="Calibri" w:hAnsi="Calibri" w:cs="Calibri"/>
          <w:color w:val="0E101A"/>
          <w:sz w:val="24"/>
          <w:szCs w:val="24"/>
          <w:highlight w:val="white"/>
        </w:rPr>
        <w:t xml:space="preserve"> gene - </w:t>
      </w:r>
      <w:r>
        <w:rPr>
          <w:rFonts w:ascii="Calibri" w:eastAsia="Calibri" w:hAnsi="Calibri" w:cs="Calibri"/>
          <w:sz w:val="24"/>
          <w:szCs w:val="24"/>
          <w:highlight w:val="white"/>
        </w:rPr>
        <w:t>SOX11: NM_003108.4:exon1:</w:t>
      </w:r>
      <w:r>
        <w:rPr>
          <w:rFonts w:ascii="Calibri" w:eastAsia="Calibri" w:hAnsi="Calibri" w:cs="Calibri"/>
          <w:color w:val="0E101A"/>
          <w:sz w:val="24"/>
          <w:szCs w:val="24"/>
          <w:highlight w:val="white"/>
        </w:rPr>
        <w:t xml:space="preserve">c.323A&gt;C (p.Lys108Thr). The variant was not found in either parent and was classified as likely pathogenic (PM1, PM2, PM6, PP3). </w:t>
      </w:r>
    </w:p>
    <w:p w:rsidR="006E4ACF" w:rsidRDefault="006E4ACF">
      <w:pPr>
        <w:jc w:val="both"/>
        <w:rPr>
          <w:rFonts w:ascii="Calibri" w:eastAsia="Calibri" w:hAnsi="Calibri" w:cs="Calibri"/>
          <w:color w:val="0E101A"/>
          <w:sz w:val="24"/>
          <w:szCs w:val="24"/>
          <w:highlight w:val="white"/>
        </w:rPr>
      </w:pPr>
    </w:p>
    <w:p w:rsidR="006E4ACF" w:rsidRDefault="004E2926">
      <w:pPr>
        <w:jc w:val="both"/>
        <w:rPr>
          <w:rFonts w:ascii="Calibri" w:eastAsia="Calibri" w:hAnsi="Calibri" w:cs="Calibri"/>
          <w:b/>
          <w:color w:val="000000"/>
          <w:sz w:val="24"/>
          <w:szCs w:val="24"/>
          <w:highlight w:val="white"/>
        </w:rPr>
      </w:pPr>
      <w:r>
        <w:rPr>
          <w:rFonts w:ascii="Calibri" w:eastAsia="Calibri" w:hAnsi="Calibri" w:cs="Calibri"/>
          <w:b/>
          <w:color w:val="000000"/>
          <w:sz w:val="24"/>
          <w:szCs w:val="24"/>
          <w:highlight w:val="white"/>
        </w:rPr>
        <w:t xml:space="preserve">Patient 3 </w:t>
      </w:r>
    </w:p>
    <w:p w:rsidR="006E4ACF" w:rsidRDefault="006E4ACF">
      <w:pPr>
        <w:jc w:val="both"/>
        <w:rPr>
          <w:rFonts w:ascii="Calibri" w:eastAsia="Calibri" w:hAnsi="Calibri" w:cs="Calibri"/>
          <w:b/>
          <w:sz w:val="24"/>
          <w:szCs w:val="24"/>
          <w:highlight w:val="white"/>
        </w:rPr>
      </w:pPr>
    </w:p>
    <w:p w:rsidR="006E4ACF" w:rsidRDefault="004E2926">
      <w:pPr>
        <w:jc w:val="both"/>
        <w:rPr>
          <w:rFonts w:ascii="Calibri" w:eastAsia="Calibri" w:hAnsi="Calibri" w:cs="Calibri"/>
          <w:color w:val="222222"/>
          <w:sz w:val="24"/>
          <w:szCs w:val="24"/>
          <w:highlight w:val="white"/>
        </w:rPr>
      </w:pPr>
      <w:r>
        <w:rPr>
          <w:rFonts w:ascii="Calibri" w:eastAsia="Calibri" w:hAnsi="Calibri" w:cs="Calibri"/>
          <w:color w:val="222222"/>
          <w:sz w:val="24"/>
          <w:szCs w:val="24"/>
          <w:highlight w:val="white"/>
        </w:rPr>
        <w:t>A male patient, the third child of a healthy non-consa</w:t>
      </w:r>
      <w:r>
        <w:rPr>
          <w:rFonts w:ascii="Calibri" w:eastAsia="Calibri" w:hAnsi="Calibri" w:cs="Calibri"/>
          <w:color w:val="222222"/>
          <w:sz w:val="24"/>
          <w:szCs w:val="24"/>
          <w:highlight w:val="white"/>
        </w:rPr>
        <w:t>nguineous couple, was referred for genetic investigation at birth, after presenting with a micropenis. He did not have any pre or perinatal complications. The dysmorphological evaluation, at three months of age, showed oculomotor apraxia, widow’s peak, hig</w:t>
      </w:r>
      <w:r>
        <w:rPr>
          <w:rFonts w:ascii="Calibri" w:eastAsia="Calibri" w:hAnsi="Calibri" w:cs="Calibri"/>
          <w:color w:val="222222"/>
          <w:sz w:val="24"/>
          <w:szCs w:val="24"/>
          <w:highlight w:val="white"/>
        </w:rPr>
        <w:t>hly arched eyebrows, downturned corners of the mouth, high palate, micropenis, syndactyly on the 2nd and 3rd toes, hypoplastic nails of the 5th finger, and hypoplastic toes. His weight was 5.8 Kg (-0.8 SD) and length was 59 cm (-1.19 SD). He acquired cepha</w:t>
      </w:r>
      <w:r>
        <w:rPr>
          <w:rFonts w:ascii="Calibri" w:eastAsia="Calibri" w:hAnsi="Calibri" w:cs="Calibri"/>
          <w:color w:val="222222"/>
          <w:sz w:val="24"/>
          <w:szCs w:val="24"/>
          <w:highlight w:val="white"/>
        </w:rPr>
        <w:t>lic control at four months of age, sat at 10 months, and walked independently at two years of age. A neurological evaluation, at three years of age, showed neurodevelopmental delay with hypotonia and delayed fixation and visual tracking. The dosages of FSH</w:t>
      </w:r>
      <w:r>
        <w:rPr>
          <w:rFonts w:ascii="Calibri" w:eastAsia="Calibri" w:hAnsi="Calibri" w:cs="Calibri"/>
          <w:color w:val="222222"/>
          <w:sz w:val="24"/>
          <w:szCs w:val="24"/>
          <w:highlight w:val="white"/>
        </w:rPr>
        <w:t xml:space="preserve">, LH, and testosterone were low, and was treated with testosterone cypionate with a good response. Whole exome sequencing identified a novel heterozygous missense variant in the </w:t>
      </w:r>
      <w:r>
        <w:rPr>
          <w:rFonts w:ascii="Calibri" w:eastAsia="Calibri" w:hAnsi="Calibri" w:cs="Calibri"/>
          <w:i/>
          <w:color w:val="222222"/>
          <w:sz w:val="24"/>
          <w:szCs w:val="24"/>
          <w:highlight w:val="white"/>
        </w:rPr>
        <w:t>SOX11</w:t>
      </w:r>
      <w:r>
        <w:rPr>
          <w:rFonts w:ascii="Calibri" w:eastAsia="Calibri" w:hAnsi="Calibri" w:cs="Calibri"/>
          <w:color w:val="222222"/>
          <w:sz w:val="24"/>
          <w:szCs w:val="24"/>
          <w:highlight w:val="white"/>
        </w:rPr>
        <w:t xml:space="preserve"> gene - </w:t>
      </w:r>
      <w:r>
        <w:rPr>
          <w:rFonts w:ascii="Calibri" w:eastAsia="Calibri" w:hAnsi="Calibri" w:cs="Calibri"/>
          <w:sz w:val="24"/>
          <w:szCs w:val="24"/>
          <w:highlight w:val="white"/>
        </w:rPr>
        <w:t>SOX11: NM_003108.4:exon1:c.167T&gt;G: p.(Phe56Cys)</w:t>
      </w:r>
      <w:r>
        <w:rPr>
          <w:rFonts w:ascii="Calibri" w:eastAsia="Calibri" w:hAnsi="Calibri" w:cs="Calibri"/>
          <w:color w:val="222222"/>
          <w:sz w:val="24"/>
          <w:szCs w:val="24"/>
          <w:highlight w:val="white"/>
        </w:rPr>
        <w:t xml:space="preserve">. The variant was </w:t>
      </w:r>
      <w:r>
        <w:rPr>
          <w:rFonts w:ascii="Calibri" w:eastAsia="Calibri" w:hAnsi="Calibri" w:cs="Calibri"/>
          <w:color w:val="222222"/>
          <w:sz w:val="24"/>
          <w:szCs w:val="24"/>
          <w:highlight w:val="white"/>
        </w:rPr>
        <w:t xml:space="preserve">absent in both parents and was classified as likely pathogenic (PM1, PM2, PM6, PP3). </w:t>
      </w:r>
    </w:p>
    <w:p w:rsidR="006E4ACF" w:rsidRDefault="006E4ACF">
      <w:pPr>
        <w:jc w:val="both"/>
        <w:rPr>
          <w:rFonts w:ascii="Calibri" w:eastAsia="Calibri" w:hAnsi="Calibri" w:cs="Calibri"/>
          <w:color w:val="222222"/>
          <w:sz w:val="24"/>
          <w:szCs w:val="24"/>
          <w:highlight w:val="white"/>
        </w:rPr>
      </w:pPr>
    </w:p>
    <w:p w:rsidR="006E4ACF" w:rsidRDefault="006E4ACF">
      <w:pPr>
        <w:jc w:val="both"/>
        <w:rPr>
          <w:rFonts w:ascii="Calibri" w:eastAsia="Calibri" w:hAnsi="Calibri" w:cs="Calibri"/>
          <w:color w:val="222222"/>
          <w:sz w:val="24"/>
          <w:szCs w:val="24"/>
          <w:highlight w:val="white"/>
        </w:rPr>
      </w:pPr>
    </w:p>
    <w:p w:rsidR="006E4ACF" w:rsidRDefault="006E4ACF">
      <w:pPr>
        <w:jc w:val="both"/>
        <w:rPr>
          <w:rFonts w:ascii="Calibri" w:eastAsia="Calibri" w:hAnsi="Calibri" w:cs="Calibri"/>
          <w:color w:val="222222"/>
          <w:sz w:val="24"/>
          <w:szCs w:val="24"/>
          <w:highlight w:val="white"/>
        </w:rPr>
      </w:pPr>
    </w:p>
    <w:p w:rsidR="006E4ACF" w:rsidRDefault="004E2926">
      <w:pPr>
        <w:spacing w:after="160"/>
        <w:jc w:val="both"/>
        <w:rPr>
          <w:rFonts w:ascii="Calibri" w:eastAsia="Calibri" w:hAnsi="Calibri" w:cs="Calibri"/>
          <w:b/>
          <w:color w:val="000000"/>
          <w:sz w:val="24"/>
          <w:szCs w:val="24"/>
          <w:highlight w:val="white"/>
        </w:rPr>
      </w:pPr>
      <w:r>
        <w:rPr>
          <w:rFonts w:ascii="Calibri" w:eastAsia="Calibri" w:hAnsi="Calibri" w:cs="Calibri"/>
          <w:b/>
          <w:color w:val="000000"/>
          <w:sz w:val="24"/>
          <w:szCs w:val="24"/>
          <w:highlight w:val="white"/>
        </w:rPr>
        <w:t xml:space="preserve">Patient 4 </w:t>
      </w:r>
    </w:p>
    <w:p w:rsidR="006E4ACF" w:rsidRDefault="004E2926">
      <w:pPr>
        <w:spacing w:after="160"/>
        <w:jc w:val="both"/>
        <w:rPr>
          <w:rFonts w:ascii="Calibri" w:eastAsia="Calibri" w:hAnsi="Calibri" w:cs="Calibri"/>
          <w:sz w:val="24"/>
          <w:szCs w:val="24"/>
          <w:highlight w:val="white"/>
        </w:rPr>
      </w:pPr>
      <w:r>
        <w:rPr>
          <w:rFonts w:ascii="Calibri" w:eastAsia="Calibri" w:hAnsi="Calibri" w:cs="Calibri"/>
          <w:color w:val="0E101A"/>
          <w:sz w:val="24"/>
          <w:szCs w:val="24"/>
          <w:highlight w:val="white"/>
        </w:rPr>
        <w:t>An 18-year-old girl, the daughter of healthy non-consanguineous parents, was evaluated by a geneticist at four months of age. Despite not having relevant prenatal history, dysmorphic features and global hypotonia motivated investigation with tests of inbor</w:t>
      </w:r>
      <w:r>
        <w:rPr>
          <w:rFonts w:ascii="Calibri" w:eastAsia="Calibri" w:hAnsi="Calibri" w:cs="Calibri"/>
          <w:color w:val="0E101A"/>
          <w:sz w:val="24"/>
          <w:szCs w:val="24"/>
          <w:highlight w:val="white"/>
        </w:rPr>
        <w:t xml:space="preserve">n errors of </w:t>
      </w:r>
      <w:r>
        <w:rPr>
          <w:rFonts w:ascii="Calibri" w:eastAsia="Calibri" w:hAnsi="Calibri" w:cs="Calibri"/>
          <w:color w:val="0E101A"/>
          <w:sz w:val="24"/>
          <w:szCs w:val="24"/>
          <w:highlight w:val="white"/>
        </w:rPr>
        <w:lastRenderedPageBreak/>
        <w:t xml:space="preserve">metabolism, which resulted normal. Additional evaluation including  brain MRI, chromosome analysis, FISH analysis for 22q11.2 and 22q13, and methylation tests for Prader-Willi syndrome were performed, all with negative results. During clinical </w:t>
      </w:r>
      <w:r>
        <w:rPr>
          <w:rFonts w:ascii="Calibri" w:eastAsia="Calibri" w:hAnsi="Calibri" w:cs="Calibri"/>
          <w:color w:val="0E101A"/>
          <w:sz w:val="24"/>
          <w:szCs w:val="24"/>
          <w:highlight w:val="white"/>
        </w:rPr>
        <w:t>follow-up at four years of age, the patient showed an aberrant subclavian artery, tracheomalacia, and esophageal dysmotility. At seven years of age, her IQ testing was 56 on Stanford-Binet and she was also diagnosed with attention deficit hyperactivity dis</w:t>
      </w:r>
      <w:r>
        <w:rPr>
          <w:rFonts w:ascii="Calibri" w:eastAsia="Calibri" w:hAnsi="Calibri" w:cs="Calibri"/>
          <w:color w:val="0E101A"/>
          <w:sz w:val="24"/>
          <w:szCs w:val="24"/>
          <w:highlight w:val="white"/>
        </w:rPr>
        <w:t>order (ADHD) and pervasive developmental disorder. At 18 years of age, she presented with microcephaly, low anterior hairline, upslanted palpebral fissures, almond-shaped palpebral fissures, prominent nasal tip, short philtrum, everted upper lip, cubitus v</w:t>
      </w:r>
      <w:r>
        <w:rPr>
          <w:rFonts w:ascii="Calibri" w:eastAsia="Calibri" w:hAnsi="Calibri" w:cs="Calibri"/>
          <w:color w:val="0E101A"/>
          <w:sz w:val="24"/>
          <w:szCs w:val="24"/>
          <w:highlight w:val="white"/>
        </w:rPr>
        <w:t xml:space="preserve">algus, single transverse palmar crease on the right, flat feet, tapered fingers, small toenails, hypotonia, sparse pubic hair, and breast hypoplasia. Mild oropharyngeal dysphagia made her prefer baby food and very soft foods due to texture issues. Primary </w:t>
      </w:r>
      <w:r>
        <w:rPr>
          <w:rFonts w:ascii="Calibri" w:eastAsia="Calibri" w:hAnsi="Calibri" w:cs="Calibri"/>
          <w:color w:val="0E101A"/>
          <w:sz w:val="24"/>
          <w:szCs w:val="24"/>
          <w:highlight w:val="white"/>
        </w:rPr>
        <w:t>amenorrhea and osteoporosis motivated endocrinological investigation, which showed evidence for hypogonadotropic hypogonadism. A pelvic echography revealed a prepubertal-sized uterus and nonvisualized ovaries. Brain MRI at age 21 was normal except for a 1-</w:t>
      </w:r>
      <w:r>
        <w:rPr>
          <w:rFonts w:ascii="Calibri" w:eastAsia="Calibri" w:hAnsi="Calibri" w:cs="Calibri"/>
          <w:color w:val="0E101A"/>
          <w:sz w:val="24"/>
          <w:szCs w:val="24"/>
          <w:highlight w:val="white"/>
        </w:rPr>
        <w:t xml:space="preserve">2 mm cystic lesion in the pituitary gland. Chromosomal microarray analysis was normal, with no pathogenic copy number variants. Whole exome sequencing identified a novel and heterozygous </w:t>
      </w:r>
      <w:r>
        <w:rPr>
          <w:rFonts w:ascii="Calibri" w:eastAsia="Calibri" w:hAnsi="Calibri" w:cs="Calibri"/>
          <w:color w:val="222222"/>
          <w:sz w:val="24"/>
          <w:szCs w:val="24"/>
          <w:highlight w:val="white"/>
        </w:rPr>
        <w:t>missense</w:t>
      </w:r>
      <w:r>
        <w:rPr>
          <w:rFonts w:ascii="Calibri" w:eastAsia="Calibri" w:hAnsi="Calibri" w:cs="Calibri"/>
          <w:color w:val="0E101A"/>
          <w:sz w:val="24"/>
          <w:szCs w:val="24"/>
          <w:highlight w:val="white"/>
        </w:rPr>
        <w:t xml:space="preserve"> variant in the </w:t>
      </w:r>
      <w:r>
        <w:rPr>
          <w:rFonts w:ascii="Calibri" w:eastAsia="Calibri" w:hAnsi="Calibri" w:cs="Calibri"/>
          <w:i/>
          <w:color w:val="0E101A"/>
          <w:sz w:val="24"/>
          <w:szCs w:val="24"/>
          <w:highlight w:val="white"/>
        </w:rPr>
        <w:t>SOX11</w:t>
      </w:r>
      <w:r>
        <w:rPr>
          <w:rFonts w:ascii="Calibri" w:eastAsia="Calibri" w:hAnsi="Calibri" w:cs="Calibri"/>
          <w:color w:val="0E101A"/>
          <w:sz w:val="24"/>
          <w:szCs w:val="24"/>
          <w:highlight w:val="white"/>
        </w:rPr>
        <w:t xml:space="preserve"> gene - </w:t>
      </w:r>
      <w:r>
        <w:rPr>
          <w:rFonts w:ascii="Calibri" w:eastAsia="Calibri" w:hAnsi="Calibri" w:cs="Calibri"/>
          <w:sz w:val="24"/>
          <w:szCs w:val="24"/>
          <w:highlight w:val="white"/>
        </w:rPr>
        <w:t>SOX11: NM_003108.4:exon1:</w:t>
      </w:r>
      <w:r>
        <w:rPr>
          <w:rFonts w:ascii="Calibri" w:eastAsia="Calibri" w:hAnsi="Calibri" w:cs="Calibri"/>
          <w:color w:val="0E101A"/>
          <w:sz w:val="24"/>
          <w:szCs w:val="24"/>
          <w:highlight w:val="white"/>
        </w:rPr>
        <w:t>c.175T&gt;</w:t>
      </w:r>
      <w:r>
        <w:rPr>
          <w:rFonts w:ascii="Calibri" w:eastAsia="Calibri" w:hAnsi="Calibri" w:cs="Calibri"/>
          <w:color w:val="0E101A"/>
          <w:sz w:val="24"/>
          <w:szCs w:val="24"/>
          <w:highlight w:val="white"/>
        </w:rPr>
        <w:t>C (p.Trp59Arg). The variant was absent in both parents and was classified as likely pathogenic (PM1, PM2, PM6, PP3).</w:t>
      </w:r>
    </w:p>
    <w:p w:rsidR="006E4ACF" w:rsidRDefault="006E4ACF">
      <w:pPr>
        <w:jc w:val="both"/>
        <w:rPr>
          <w:rFonts w:ascii="Calibri" w:eastAsia="Calibri" w:hAnsi="Calibri" w:cs="Calibri"/>
          <w:sz w:val="24"/>
          <w:szCs w:val="24"/>
          <w:highlight w:val="white"/>
        </w:rPr>
      </w:pPr>
    </w:p>
    <w:p w:rsidR="006E4ACF" w:rsidRDefault="004E2926">
      <w:pPr>
        <w:jc w:val="both"/>
        <w:rPr>
          <w:rFonts w:ascii="Calibri" w:eastAsia="Calibri" w:hAnsi="Calibri" w:cs="Calibri"/>
          <w:b/>
          <w:color w:val="000000"/>
          <w:sz w:val="24"/>
          <w:szCs w:val="24"/>
          <w:highlight w:val="white"/>
        </w:rPr>
      </w:pPr>
      <w:r>
        <w:rPr>
          <w:rFonts w:ascii="Calibri" w:eastAsia="Calibri" w:hAnsi="Calibri" w:cs="Calibri"/>
          <w:b/>
          <w:color w:val="000000"/>
          <w:sz w:val="24"/>
          <w:szCs w:val="24"/>
          <w:highlight w:val="white"/>
        </w:rPr>
        <w:t xml:space="preserve">Patient 5 </w:t>
      </w:r>
    </w:p>
    <w:p w:rsidR="006E4ACF" w:rsidRDefault="006E4ACF">
      <w:pPr>
        <w:jc w:val="both"/>
        <w:rPr>
          <w:rFonts w:ascii="Calibri" w:eastAsia="Calibri" w:hAnsi="Calibri" w:cs="Calibri"/>
          <w:b/>
          <w:sz w:val="24"/>
          <w:szCs w:val="24"/>
          <w:highlight w:val="white"/>
        </w:rPr>
      </w:pPr>
    </w:p>
    <w:p w:rsidR="006E4ACF" w:rsidRDefault="004E2926">
      <w:pPr>
        <w:jc w:val="both"/>
        <w:rPr>
          <w:rFonts w:ascii="Calibri" w:eastAsia="Calibri" w:hAnsi="Calibri" w:cs="Calibri"/>
          <w:color w:val="0E101A"/>
          <w:sz w:val="24"/>
          <w:szCs w:val="24"/>
          <w:highlight w:val="white"/>
        </w:rPr>
      </w:pPr>
      <w:r>
        <w:rPr>
          <w:rFonts w:ascii="Calibri" w:eastAsia="Calibri" w:hAnsi="Calibri" w:cs="Calibri"/>
          <w:color w:val="0E101A"/>
          <w:sz w:val="24"/>
          <w:szCs w:val="24"/>
          <w:highlight w:val="white"/>
        </w:rPr>
        <w:t>A female patient was evaluated for developmental delay, moderate intellectual disability, and cleft lip and palate. She was bo</w:t>
      </w:r>
      <w:r>
        <w:rPr>
          <w:rFonts w:ascii="Calibri" w:eastAsia="Calibri" w:hAnsi="Calibri" w:cs="Calibri"/>
          <w:color w:val="0E101A"/>
          <w:sz w:val="24"/>
          <w:szCs w:val="24"/>
          <w:highlight w:val="white"/>
        </w:rPr>
        <w:t>rn at 38 weeks with no relevant perinatal history and normal anthropometry - length of 50 cm (+1.23 SD), weight of 3,455 kg (+1.16 SD), and a head circumference of 35cm (+1.65 SD). She walked at two years of age and spoke her first words at the age of thre</w:t>
      </w:r>
      <w:r>
        <w:rPr>
          <w:rFonts w:ascii="Calibri" w:eastAsia="Calibri" w:hAnsi="Calibri" w:cs="Calibri"/>
          <w:color w:val="0E101A"/>
          <w:sz w:val="24"/>
          <w:szCs w:val="24"/>
          <w:highlight w:val="white"/>
        </w:rPr>
        <w:t>e. At her last evaluation, at 10 years of age, anthropometric data revealed a height of 140 cm (+0.21 SD), weight of 25 kg (-1.51 SD), and head circumference of 50 cm (-1.95 SD). She had a corrected cleft lip and palate, and presented with a high palate, s</w:t>
      </w:r>
      <w:r>
        <w:rPr>
          <w:rFonts w:ascii="Calibri" w:eastAsia="Calibri" w:hAnsi="Calibri" w:cs="Calibri"/>
          <w:color w:val="0E101A"/>
          <w:sz w:val="24"/>
          <w:szCs w:val="24"/>
          <w:highlight w:val="white"/>
        </w:rPr>
        <w:t xml:space="preserve">plit uvula, flat root of the nose, retrognathia, small and externally rotated ears, clinodactyly, joint hyperextensibility, attention deficit hyperactivity disorder, and eating disorder. Initial genetic evaluation with G-banded karyotyping and chromosomal </w:t>
      </w:r>
      <w:r>
        <w:rPr>
          <w:rFonts w:ascii="Calibri" w:eastAsia="Calibri" w:hAnsi="Calibri" w:cs="Calibri"/>
          <w:color w:val="0E101A"/>
          <w:sz w:val="24"/>
          <w:szCs w:val="24"/>
          <w:highlight w:val="white"/>
        </w:rPr>
        <w:t xml:space="preserve">microarray analysis revealed normal results. Whole exome sequencing identified a novel nonsense heterozygous variant in </w:t>
      </w:r>
      <w:r>
        <w:rPr>
          <w:rFonts w:ascii="Calibri" w:eastAsia="Calibri" w:hAnsi="Calibri" w:cs="Calibri"/>
          <w:i/>
          <w:color w:val="0E101A"/>
          <w:sz w:val="24"/>
          <w:szCs w:val="24"/>
          <w:highlight w:val="white"/>
        </w:rPr>
        <w:t>SOX11</w:t>
      </w:r>
      <w:r>
        <w:rPr>
          <w:rFonts w:ascii="Calibri" w:eastAsia="Calibri" w:hAnsi="Calibri" w:cs="Calibri"/>
          <w:color w:val="0E101A"/>
          <w:sz w:val="24"/>
          <w:szCs w:val="24"/>
          <w:highlight w:val="white"/>
        </w:rPr>
        <w:t xml:space="preserve"> - </w:t>
      </w:r>
      <w:r>
        <w:rPr>
          <w:rFonts w:ascii="Calibri" w:eastAsia="Calibri" w:hAnsi="Calibri" w:cs="Calibri"/>
          <w:sz w:val="24"/>
          <w:szCs w:val="24"/>
          <w:highlight w:val="white"/>
        </w:rPr>
        <w:t>SOX11: NM_003108.4:exon1:</w:t>
      </w:r>
      <w:r>
        <w:rPr>
          <w:rFonts w:ascii="Calibri" w:eastAsia="Calibri" w:hAnsi="Calibri" w:cs="Calibri"/>
          <w:color w:val="0E101A"/>
          <w:sz w:val="24"/>
          <w:szCs w:val="24"/>
          <w:highlight w:val="white"/>
        </w:rPr>
        <w:t>c.511A&gt;T (p.Lys171Ter). The variant was absent in both parents and classified as likely pathogenic (PVS</w:t>
      </w:r>
      <w:r>
        <w:rPr>
          <w:rFonts w:ascii="Calibri" w:eastAsia="Calibri" w:hAnsi="Calibri" w:cs="Calibri"/>
          <w:color w:val="0E101A"/>
          <w:sz w:val="24"/>
          <w:szCs w:val="24"/>
          <w:highlight w:val="white"/>
        </w:rPr>
        <w:t xml:space="preserve">1 - Strong, PM2, PM6). </w:t>
      </w:r>
    </w:p>
    <w:p w:rsidR="006E4ACF" w:rsidRDefault="006E4ACF">
      <w:pPr>
        <w:rPr>
          <w:rFonts w:ascii="Calibri" w:eastAsia="Calibri" w:hAnsi="Calibri" w:cs="Calibri"/>
          <w:color w:val="0E101A"/>
          <w:sz w:val="24"/>
          <w:szCs w:val="24"/>
          <w:highlight w:val="white"/>
        </w:rPr>
      </w:pPr>
    </w:p>
    <w:p w:rsidR="006E4ACF" w:rsidRDefault="004E2926">
      <w:pPr>
        <w:rPr>
          <w:rFonts w:ascii="Calibri" w:eastAsia="Calibri" w:hAnsi="Calibri" w:cs="Calibri"/>
          <w:b/>
          <w:sz w:val="24"/>
          <w:szCs w:val="24"/>
        </w:rPr>
      </w:pPr>
      <w:r>
        <w:rPr>
          <w:rFonts w:ascii="Calibri" w:eastAsia="Calibri" w:hAnsi="Calibri" w:cs="Calibri"/>
          <w:b/>
          <w:sz w:val="24"/>
          <w:szCs w:val="24"/>
        </w:rPr>
        <w:t>Patient 6</w:t>
      </w:r>
    </w:p>
    <w:p w:rsidR="006E4ACF" w:rsidRDefault="004E2926">
      <w:pPr>
        <w:spacing w:before="240" w:after="240"/>
        <w:jc w:val="both"/>
        <w:rPr>
          <w:rFonts w:ascii="Calibri" w:eastAsia="Calibri" w:hAnsi="Calibri" w:cs="Calibri"/>
          <w:color w:val="0E101A"/>
          <w:sz w:val="24"/>
          <w:szCs w:val="24"/>
          <w:highlight w:val="white"/>
        </w:rPr>
      </w:pPr>
      <w:r>
        <w:rPr>
          <w:rFonts w:ascii="Calibri" w:eastAsia="Calibri" w:hAnsi="Calibri" w:cs="Calibri"/>
          <w:color w:val="0E101A"/>
          <w:sz w:val="24"/>
          <w:szCs w:val="24"/>
        </w:rPr>
        <w:t xml:space="preserve">A male patient was born to healthy, non-consanguineous parents. The pregnancy was uneventful and he was born at 39 gestational weeks after induced labour due to pelvic </w:t>
      </w:r>
      <w:r>
        <w:rPr>
          <w:rFonts w:ascii="Calibri" w:eastAsia="Calibri" w:hAnsi="Calibri" w:cs="Calibri"/>
          <w:color w:val="0E101A"/>
          <w:sz w:val="24"/>
          <w:szCs w:val="24"/>
        </w:rPr>
        <w:lastRenderedPageBreak/>
        <w:t>instability. By 1 month of age, he had surgical correction of a congenital inguinal hern</w:t>
      </w:r>
      <w:r>
        <w:rPr>
          <w:rFonts w:ascii="Calibri" w:eastAsia="Calibri" w:hAnsi="Calibri" w:cs="Calibri"/>
          <w:color w:val="0E101A"/>
          <w:sz w:val="24"/>
          <w:szCs w:val="24"/>
        </w:rPr>
        <w:t>ia.  He had a slight motor delay, as he started walking at 18 months of age. He spoke his first words at 17 months, presenting a receptive language deficit. He also had an orchidopexy due to undescended testis. Physical examination at 13 years of age showe</w:t>
      </w:r>
      <w:r>
        <w:rPr>
          <w:rFonts w:ascii="Calibri" w:eastAsia="Calibri" w:hAnsi="Calibri" w:cs="Calibri"/>
          <w:color w:val="0E101A"/>
          <w:sz w:val="24"/>
          <w:szCs w:val="24"/>
        </w:rPr>
        <w:t>d a female fat distribution with truncal obesity, upslant of palpebral fissures, full cheeks, short philtrum, downturned corners of the mouth, large central incisors, and a supernumerary nipple. He had a Simian crease of his right hand, short fourth and fi</w:t>
      </w:r>
      <w:r>
        <w:rPr>
          <w:rFonts w:ascii="Calibri" w:eastAsia="Calibri" w:hAnsi="Calibri" w:cs="Calibri"/>
          <w:color w:val="0E101A"/>
          <w:sz w:val="24"/>
          <w:szCs w:val="24"/>
        </w:rPr>
        <w:t>fth fingers, slightly broad second toe with cutaneous syndactyly of his second and third toes, clinodactyly of his third and fourth toes, and small toenails. X-rays of his hands showed shortening of the fifth metacarpals and middle phalanges. He also had a</w:t>
      </w:r>
      <w:r>
        <w:rPr>
          <w:rFonts w:ascii="Calibri" w:eastAsia="Calibri" w:hAnsi="Calibri" w:cs="Calibri"/>
          <w:color w:val="0E101A"/>
          <w:sz w:val="24"/>
          <w:szCs w:val="24"/>
        </w:rPr>
        <w:t xml:space="preserve"> small penis (P3-P10). A renal ultrasound was normal. His weight was 63.5 kg (+1.44 SD; weight for length +2.72 SD), his length was 157 cm (-1.28 SD), and BMI 25.76. He currently attends a school for special needs because of mild intellectual disability (W</w:t>
      </w:r>
      <w:r>
        <w:rPr>
          <w:rFonts w:ascii="Calibri" w:eastAsia="Calibri" w:hAnsi="Calibri" w:cs="Calibri"/>
          <w:color w:val="0E101A"/>
          <w:sz w:val="24"/>
          <w:szCs w:val="24"/>
        </w:rPr>
        <w:t>ISC-III total IQ 60, verbal IQ 63, performal IQ 64) and Autism Spectrum Disorder. He has hypermetropic anisometropia (OD: S+ 1.75, OS: S+ 4.25) and amblyopia OS. Genetic tests including G-banded karyotyping, FISH for 22q11.2 deletion syndrome, CMA and Frag</w:t>
      </w:r>
      <w:r>
        <w:rPr>
          <w:rFonts w:ascii="Calibri" w:eastAsia="Calibri" w:hAnsi="Calibri" w:cs="Calibri"/>
          <w:color w:val="0E101A"/>
          <w:sz w:val="24"/>
          <w:szCs w:val="24"/>
        </w:rPr>
        <w:t xml:space="preserve">ile-X syndrome screening all resulted normal. Targeted NGS and MLPA of VPS13B and a gene panel for obesity did not reveal any pathogenic variants. Whole exome sequencing showed a heterozygous de novo variant in </w:t>
      </w:r>
      <w:r>
        <w:rPr>
          <w:rFonts w:ascii="Calibri" w:eastAsia="Calibri" w:hAnsi="Calibri" w:cs="Calibri"/>
          <w:i/>
          <w:color w:val="0E101A"/>
          <w:sz w:val="24"/>
          <w:szCs w:val="24"/>
        </w:rPr>
        <w:t>SOX11</w:t>
      </w:r>
      <w:r>
        <w:rPr>
          <w:rFonts w:ascii="Calibri" w:eastAsia="Calibri" w:hAnsi="Calibri" w:cs="Calibri"/>
          <w:color w:val="0E101A"/>
          <w:sz w:val="24"/>
          <w:szCs w:val="24"/>
        </w:rPr>
        <w:t xml:space="preserve"> - SOX11:NM_003108.3:exon1:c.305C&gt;T;p.(A</w:t>
      </w:r>
      <w:r>
        <w:rPr>
          <w:rFonts w:ascii="Calibri" w:eastAsia="Calibri" w:hAnsi="Calibri" w:cs="Calibri"/>
          <w:color w:val="0E101A"/>
          <w:sz w:val="24"/>
          <w:szCs w:val="24"/>
        </w:rPr>
        <w:t>la102Val) classified as likely pathogenic (PM1, PM2, PM6, PP3, PP5). This variant was previously reported by Okamoto et al. (2018) and  Lunke et al. (2020).</w:t>
      </w:r>
      <w:r>
        <w:rPr>
          <w:rFonts w:ascii="Calibri" w:eastAsia="Calibri" w:hAnsi="Calibri" w:cs="Calibri"/>
          <w:sz w:val="24"/>
          <w:szCs w:val="24"/>
          <w:vertAlign w:val="superscript"/>
        </w:rPr>
        <w:t>16,17</w:t>
      </w:r>
    </w:p>
    <w:p w:rsidR="006E4ACF" w:rsidRDefault="004E2926">
      <w:pPr>
        <w:spacing w:before="240" w:after="240"/>
        <w:jc w:val="both"/>
        <w:rPr>
          <w:rFonts w:ascii="Calibri" w:eastAsia="Calibri" w:hAnsi="Calibri" w:cs="Calibri"/>
          <w:b/>
          <w:color w:val="0E101A"/>
          <w:sz w:val="24"/>
          <w:szCs w:val="24"/>
          <w:highlight w:val="white"/>
        </w:rPr>
      </w:pPr>
      <w:r>
        <w:rPr>
          <w:rFonts w:ascii="Calibri" w:eastAsia="Calibri" w:hAnsi="Calibri" w:cs="Calibri"/>
          <w:b/>
          <w:color w:val="0E101A"/>
          <w:sz w:val="24"/>
          <w:szCs w:val="24"/>
          <w:highlight w:val="white"/>
        </w:rPr>
        <w:t>Patient 7</w:t>
      </w:r>
    </w:p>
    <w:p w:rsidR="006E4ACF" w:rsidRDefault="004E2926">
      <w:pPr>
        <w:spacing w:before="240" w:after="240"/>
        <w:jc w:val="both"/>
        <w:rPr>
          <w:rFonts w:ascii="Calibri" w:eastAsia="Calibri" w:hAnsi="Calibri" w:cs="Calibri"/>
          <w:color w:val="0E101A"/>
          <w:sz w:val="24"/>
          <w:szCs w:val="24"/>
          <w:highlight w:val="white"/>
        </w:rPr>
      </w:pPr>
      <w:r>
        <w:rPr>
          <w:rFonts w:ascii="Calibri" w:eastAsia="Calibri" w:hAnsi="Calibri" w:cs="Calibri"/>
          <w:color w:val="0E101A"/>
          <w:sz w:val="24"/>
          <w:szCs w:val="24"/>
          <w:highlight w:val="white"/>
        </w:rPr>
        <w:t>A male patient was referred to Genetics at four years of age for hypotonia and globa</w:t>
      </w:r>
      <w:r>
        <w:rPr>
          <w:rFonts w:ascii="Calibri" w:eastAsia="Calibri" w:hAnsi="Calibri" w:cs="Calibri"/>
          <w:color w:val="0E101A"/>
          <w:sz w:val="24"/>
          <w:szCs w:val="24"/>
          <w:highlight w:val="white"/>
        </w:rPr>
        <w:t>l developmental delay. He was born at 38 weeks gestation by spontaneous vaginal delivery, after an uncomplicated pregnancy. Birth weight was 3.430 kg (-0.86 SD)   and length 48.3 cm (+0.17 SD). NIPS in the pregnancy was reassuring. After birth, he initiall</w:t>
      </w:r>
      <w:r>
        <w:rPr>
          <w:rFonts w:ascii="Calibri" w:eastAsia="Calibri" w:hAnsi="Calibri" w:cs="Calibri"/>
          <w:color w:val="0E101A"/>
          <w:sz w:val="24"/>
          <w:szCs w:val="24"/>
          <w:highlight w:val="white"/>
        </w:rPr>
        <w:t>y had poor feeding which improved after frenulectomy. Concerns for speech delay and motor delay were first noted at 18 months of age. The patient received therapies and made good progress. At four years of age he was verbal, walking and running. He was des</w:t>
      </w:r>
      <w:r>
        <w:rPr>
          <w:rFonts w:ascii="Calibri" w:eastAsia="Calibri" w:hAnsi="Calibri" w:cs="Calibri"/>
          <w:color w:val="0E101A"/>
          <w:sz w:val="24"/>
          <w:szCs w:val="24"/>
          <w:highlight w:val="white"/>
        </w:rPr>
        <w:t>cribed as having low frustration tolerance and the family notes that he sweats excessively. Due to low muscle tone, he was first evaluated by Neurology. CK and routine labs were normal and he was referred to Genetics. At age four, he was small with a weigh</w:t>
      </w:r>
      <w:r>
        <w:rPr>
          <w:rFonts w:ascii="Calibri" w:eastAsia="Calibri" w:hAnsi="Calibri" w:cs="Calibri"/>
          <w:color w:val="0E101A"/>
          <w:sz w:val="24"/>
          <w:szCs w:val="24"/>
          <w:highlight w:val="white"/>
        </w:rPr>
        <w:t xml:space="preserve">t of 14.2 kg (-1.3 SD), height 92.6 cm (-2.47 SD), and head circumference 48.5 cm (-1.72 SD). He was non-dysmorphic, with no significant digit anomalies and a normal exam other than for mild hypotonia with preserved reflexes. No genital abnormalities were </w:t>
      </w:r>
      <w:r>
        <w:rPr>
          <w:rFonts w:ascii="Calibri" w:eastAsia="Calibri" w:hAnsi="Calibri" w:cs="Calibri"/>
          <w:color w:val="0E101A"/>
          <w:sz w:val="24"/>
          <w:szCs w:val="24"/>
          <w:highlight w:val="white"/>
        </w:rPr>
        <w:t xml:space="preserve">noted. CMA and trio-based next-generation sequencing of 2,300 genes associated with autism and/or intellectual disability (expanded autism/ID panel) were performed. The microarray showed a </w:t>
      </w:r>
      <w:r>
        <w:rPr>
          <w:rFonts w:ascii="Calibri" w:eastAsia="Calibri" w:hAnsi="Calibri" w:cs="Calibri"/>
          <w:i/>
          <w:color w:val="0E101A"/>
          <w:sz w:val="24"/>
          <w:szCs w:val="24"/>
          <w:highlight w:val="white"/>
        </w:rPr>
        <w:t>de novo</w:t>
      </w:r>
      <w:r>
        <w:rPr>
          <w:rFonts w:ascii="Calibri" w:eastAsia="Calibri" w:hAnsi="Calibri" w:cs="Calibri"/>
          <w:color w:val="0E101A"/>
          <w:sz w:val="24"/>
          <w:szCs w:val="24"/>
          <w:highlight w:val="white"/>
        </w:rPr>
        <w:t xml:space="preserve"> 442 kb deletion at 2p25.2 that included the </w:t>
      </w:r>
      <w:r>
        <w:rPr>
          <w:rFonts w:ascii="Calibri" w:eastAsia="Calibri" w:hAnsi="Calibri" w:cs="Calibri"/>
          <w:i/>
          <w:color w:val="0E101A"/>
          <w:sz w:val="24"/>
          <w:szCs w:val="24"/>
          <w:highlight w:val="white"/>
        </w:rPr>
        <w:t>SOX11</w:t>
      </w:r>
      <w:r>
        <w:rPr>
          <w:rFonts w:ascii="Calibri" w:eastAsia="Calibri" w:hAnsi="Calibri" w:cs="Calibri"/>
          <w:color w:val="0E101A"/>
          <w:sz w:val="24"/>
          <w:szCs w:val="24"/>
          <w:highlight w:val="white"/>
        </w:rPr>
        <w:t xml:space="preserve"> gene  - a</w:t>
      </w:r>
      <w:r>
        <w:rPr>
          <w:rFonts w:ascii="Calibri" w:eastAsia="Calibri" w:hAnsi="Calibri" w:cs="Calibri"/>
          <w:color w:val="0E101A"/>
          <w:sz w:val="24"/>
          <w:szCs w:val="24"/>
          <w:highlight w:val="white"/>
        </w:rPr>
        <w:t xml:space="preserve">rr[GRCh37] 2p25.2(5486129_5928416)x1 dn. The deletion was classified as Likely Pathogenic. On follow-up, the focused exam did not show any significant </w:t>
      </w:r>
      <w:r>
        <w:rPr>
          <w:rFonts w:ascii="Calibri" w:eastAsia="Calibri" w:hAnsi="Calibri" w:cs="Calibri"/>
          <w:color w:val="0E101A"/>
          <w:sz w:val="24"/>
          <w:szCs w:val="24"/>
          <w:highlight w:val="white"/>
        </w:rPr>
        <w:lastRenderedPageBreak/>
        <w:t>dysmorphisms. His fingers are tapered, his fifth fingers appear slightly short, and his fifth toenails ar</w:t>
      </w:r>
      <w:r>
        <w:rPr>
          <w:rFonts w:ascii="Calibri" w:eastAsia="Calibri" w:hAnsi="Calibri" w:cs="Calibri"/>
          <w:color w:val="0E101A"/>
          <w:sz w:val="24"/>
          <w:szCs w:val="24"/>
          <w:highlight w:val="white"/>
        </w:rPr>
        <w:t xml:space="preserve">e very small. No other significant changes were noted.   </w:t>
      </w:r>
    </w:p>
    <w:p w:rsidR="006E4ACF" w:rsidRDefault="006E4ACF">
      <w:pPr>
        <w:spacing w:after="160" w:line="259" w:lineRule="auto"/>
        <w:jc w:val="center"/>
        <w:rPr>
          <w:rFonts w:ascii="Calibri" w:eastAsia="Calibri" w:hAnsi="Calibri" w:cs="Calibri"/>
          <w:color w:val="0E101A"/>
          <w:sz w:val="24"/>
          <w:szCs w:val="24"/>
          <w:highlight w:val="white"/>
        </w:rPr>
      </w:pPr>
    </w:p>
    <w:p w:rsidR="006E4ACF" w:rsidRDefault="006E4ACF">
      <w:pPr>
        <w:ind w:firstLine="720"/>
        <w:jc w:val="both"/>
        <w:rPr>
          <w:rFonts w:ascii="Calibri" w:eastAsia="Calibri" w:hAnsi="Calibri" w:cs="Calibri"/>
          <w:sz w:val="24"/>
          <w:szCs w:val="24"/>
        </w:rPr>
      </w:pPr>
    </w:p>
    <w:sectPr w:rsidR="006E4ACF" w:rsidSect="006E4ACF">
      <w:footerReference w:type="default" r:id="rId7"/>
      <w:pgSz w:w="11909" w:h="16834"/>
      <w:pgMar w:top="1440" w:right="1440" w:bottom="144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E2926" w:rsidRDefault="004E2926" w:rsidP="006E4ACF">
      <w:pPr>
        <w:spacing w:line="240" w:lineRule="auto"/>
      </w:pPr>
      <w:r>
        <w:separator/>
      </w:r>
    </w:p>
  </w:endnote>
  <w:endnote w:type="continuationSeparator" w:id="1">
    <w:p w:rsidR="004E2926" w:rsidRDefault="004E2926" w:rsidP="006E4AC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4ACF" w:rsidRDefault="006E4ACF">
    <w:pPr>
      <w:pBdr>
        <w:top w:val="nil"/>
        <w:left w:val="nil"/>
        <w:bottom w:val="nil"/>
        <w:right w:val="nil"/>
        <w:between w:val="nil"/>
      </w:pBdr>
      <w:tabs>
        <w:tab w:val="center" w:pos="4252"/>
        <w:tab w:val="right" w:pos="8504"/>
      </w:tabs>
      <w:spacing w:line="240" w:lineRule="auto"/>
      <w:jc w:val="right"/>
      <w:rPr>
        <w:color w:val="000000"/>
      </w:rPr>
    </w:pPr>
    <w:r>
      <w:rPr>
        <w:color w:val="000000"/>
      </w:rPr>
      <w:fldChar w:fldCharType="begin"/>
    </w:r>
    <w:r w:rsidR="004E2926">
      <w:rPr>
        <w:color w:val="000000"/>
      </w:rPr>
      <w:instrText>PAGE</w:instrText>
    </w:r>
    <w:r w:rsidR="000B4E5D">
      <w:rPr>
        <w:color w:val="000000"/>
      </w:rPr>
      <w:fldChar w:fldCharType="separate"/>
    </w:r>
    <w:r w:rsidR="000B4E5D">
      <w:rPr>
        <w:noProof/>
        <w:color w:val="000000"/>
      </w:rPr>
      <w:t>5</w:t>
    </w:r>
    <w:r>
      <w:rPr>
        <w:color w:val="000000"/>
      </w:rPr>
      <w:fldChar w:fldCharType="end"/>
    </w:r>
  </w:p>
  <w:p w:rsidR="006E4ACF" w:rsidRDefault="006E4ACF">
    <w:pPr>
      <w:pBdr>
        <w:top w:val="nil"/>
        <w:left w:val="nil"/>
        <w:bottom w:val="nil"/>
        <w:right w:val="nil"/>
        <w:between w:val="nil"/>
      </w:pBdr>
      <w:tabs>
        <w:tab w:val="center" w:pos="4252"/>
        <w:tab w:val="right" w:pos="8504"/>
      </w:tabs>
      <w:spacing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E2926" w:rsidRDefault="004E2926" w:rsidP="006E4ACF">
      <w:pPr>
        <w:spacing w:line="240" w:lineRule="auto"/>
      </w:pPr>
      <w:r>
        <w:separator/>
      </w:r>
    </w:p>
  </w:footnote>
  <w:footnote w:type="continuationSeparator" w:id="1">
    <w:p w:rsidR="004E2926" w:rsidRDefault="004E2926" w:rsidP="006E4ACF">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hyphenationZone w:val="425"/>
  <w:characterSpacingControl w:val="doNotCompress"/>
  <w:footnotePr>
    <w:footnote w:id="0"/>
    <w:footnote w:id="1"/>
  </w:footnotePr>
  <w:endnotePr>
    <w:endnote w:id="0"/>
    <w:endnote w:id="1"/>
  </w:endnotePr>
  <w:compat/>
  <w:rsids>
    <w:rsidRoot w:val="006E4ACF"/>
    <w:rsid w:val="000B4E5D"/>
    <w:rsid w:val="004E2926"/>
    <w:rsid w:val="006E4ACF"/>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GB" w:eastAsia="pt-BR"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5249"/>
  </w:style>
  <w:style w:type="paragraph" w:styleId="Ttulo1">
    <w:name w:val="heading 1"/>
    <w:basedOn w:val="Normal"/>
    <w:next w:val="Normal"/>
    <w:uiPriority w:val="9"/>
    <w:qFormat/>
    <w:rsid w:val="00393A23"/>
    <w:pPr>
      <w:keepNext/>
      <w:keepLines/>
      <w:spacing w:before="400" w:after="120"/>
      <w:outlineLvl w:val="0"/>
    </w:pPr>
    <w:rPr>
      <w:sz w:val="40"/>
      <w:szCs w:val="40"/>
    </w:rPr>
  </w:style>
  <w:style w:type="paragraph" w:styleId="Ttulo2">
    <w:name w:val="heading 2"/>
    <w:basedOn w:val="Normal"/>
    <w:next w:val="Normal"/>
    <w:uiPriority w:val="9"/>
    <w:semiHidden/>
    <w:unhideWhenUsed/>
    <w:qFormat/>
    <w:rsid w:val="00393A23"/>
    <w:pPr>
      <w:keepNext/>
      <w:keepLines/>
      <w:spacing w:before="360" w:after="120"/>
      <w:outlineLvl w:val="1"/>
    </w:pPr>
    <w:rPr>
      <w:sz w:val="32"/>
      <w:szCs w:val="32"/>
    </w:rPr>
  </w:style>
  <w:style w:type="paragraph" w:styleId="Ttulo3">
    <w:name w:val="heading 3"/>
    <w:basedOn w:val="Normal"/>
    <w:next w:val="Normal"/>
    <w:uiPriority w:val="9"/>
    <w:semiHidden/>
    <w:unhideWhenUsed/>
    <w:qFormat/>
    <w:rsid w:val="00393A23"/>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rsid w:val="00393A23"/>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rsid w:val="00393A23"/>
    <w:pPr>
      <w:keepNext/>
      <w:keepLines/>
      <w:spacing w:before="240" w:after="80"/>
      <w:outlineLvl w:val="4"/>
    </w:pPr>
    <w:rPr>
      <w:color w:val="666666"/>
    </w:rPr>
  </w:style>
  <w:style w:type="paragraph" w:styleId="Ttulo6">
    <w:name w:val="heading 6"/>
    <w:basedOn w:val="Normal"/>
    <w:next w:val="Normal"/>
    <w:uiPriority w:val="9"/>
    <w:semiHidden/>
    <w:unhideWhenUsed/>
    <w:qFormat/>
    <w:rsid w:val="00393A23"/>
    <w:pPr>
      <w:keepNext/>
      <w:keepLines/>
      <w:spacing w:before="240" w:after="80"/>
      <w:outlineLvl w:val="5"/>
    </w:pPr>
    <w:rPr>
      <w:i/>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normal0">
    <w:name w:val="normal"/>
    <w:rsid w:val="006E4ACF"/>
  </w:style>
  <w:style w:type="table" w:customStyle="1" w:styleId="TableNormal">
    <w:name w:val="Table Normal"/>
    <w:rsid w:val="006E4ACF"/>
    <w:tblPr>
      <w:tblCellMar>
        <w:top w:w="0" w:type="dxa"/>
        <w:left w:w="0" w:type="dxa"/>
        <w:bottom w:w="0" w:type="dxa"/>
        <w:right w:w="0" w:type="dxa"/>
      </w:tblCellMar>
    </w:tblPr>
  </w:style>
  <w:style w:type="paragraph" w:styleId="Ttulo">
    <w:name w:val="Title"/>
    <w:basedOn w:val="Normal"/>
    <w:next w:val="Normal"/>
    <w:uiPriority w:val="10"/>
    <w:qFormat/>
    <w:rsid w:val="00393A23"/>
    <w:pPr>
      <w:keepNext/>
      <w:keepLines/>
      <w:spacing w:after="60"/>
    </w:pPr>
    <w:rPr>
      <w:sz w:val="52"/>
      <w:szCs w:val="52"/>
    </w:rPr>
  </w:style>
  <w:style w:type="paragraph" w:customStyle="1" w:styleId="normal1">
    <w:name w:val="normal"/>
    <w:rsid w:val="00D63350"/>
  </w:style>
  <w:style w:type="table" w:customStyle="1" w:styleId="TableNormal0">
    <w:name w:val="Table Normal"/>
    <w:rsid w:val="00D63350"/>
    <w:tblPr>
      <w:tblCellMar>
        <w:top w:w="0" w:type="dxa"/>
        <w:left w:w="0" w:type="dxa"/>
        <w:bottom w:w="0" w:type="dxa"/>
        <w:right w:w="0" w:type="dxa"/>
      </w:tblCellMar>
    </w:tblPr>
  </w:style>
  <w:style w:type="paragraph" w:customStyle="1" w:styleId="normal2">
    <w:name w:val="normal"/>
    <w:rsid w:val="00393A23"/>
  </w:style>
  <w:style w:type="table" w:customStyle="1" w:styleId="TableNormal1">
    <w:name w:val="Table Normal"/>
    <w:rsid w:val="00393A23"/>
    <w:tblPr>
      <w:tblCellMar>
        <w:top w:w="0" w:type="dxa"/>
        <w:left w:w="0" w:type="dxa"/>
        <w:bottom w:w="0" w:type="dxa"/>
        <w:right w:w="0" w:type="dxa"/>
      </w:tblCellMar>
    </w:tblPr>
  </w:style>
  <w:style w:type="table" w:customStyle="1" w:styleId="TableNormal2">
    <w:name w:val="Table Normal"/>
    <w:rsid w:val="00393A23"/>
    <w:tblPr>
      <w:tblCellMar>
        <w:top w:w="0" w:type="dxa"/>
        <w:left w:w="0" w:type="dxa"/>
        <w:bottom w:w="0" w:type="dxa"/>
        <w:right w:w="0" w:type="dxa"/>
      </w:tblCellMar>
    </w:tblPr>
  </w:style>
  <w:style w:type="table" w:customStyle="1" w:styleId="TableNormal3">
    <w:name w:val="Table Normal"/>
    <w:rsid w:val="00393A23"/>
    <w:tblPr>
      <w:tblCellMar>
        <w:top w:w="0" w:type="dxa"/>
        <w:left w:w="0" w:type="dxa"/>
        <w:bottom w:w="0" w:type="dxa"/>
        <w:right w:w="0" w:type="dxa"/>
      </w:tblCellMar>
    </w:tblPr>
  </w:style>
  <w:style w:type="table" w:customStyle="1" w:styleId="TableNormal4">
    <w:name w:val="Table Normal"/>
    <w:rsid w:val="00393A23"/>
    <w:tblPr>
      <w:tblCellMar>
        <w:top w:w="0" w:type="dxa"/>
        <w:left w:w="0" w:type="dxa"/>
        <w:bottom w:w="0" w:type="dxa"/>
        <w:right w:w="0" w:type="dxa"/>
      </w:tblCellMar>
    </w:tblPr>
  </w:style>
  <w:style w:type="table" w:customStyle="1" w:styleId="TableNormal5">
    <w:name w:val="Table Normal"/>
    <w:rsid w:val="00393A23"/>
    <w:tblPr>
      <w:tblCellMar>
        <w:top w:w="0" w:type="dxa"/>
        <w:left w:w="0" w:type="dxa"/>
        <w:bottom w:w="0" w:type="dxa"/>
        <w:right w:w="0" w:type="dxa"/>
      </w:tblCellMar>
    </w:tblPr>
  </w:style>
  <w:style w:type="paragraph" w:styleId="Subttulo">
    <w:name w:val="Subtitle"/>
    <w:basedOn w:val="Normal"/>
    <w:next w:val="Normal"/>
    <w:rsid w:val="006E4ACF"/>
    <w:pPr>
      <w:keepNext/>
      <w:keepLines/>
      <w:spacing w:after="320"/>
    </w:pPr>
    <w:rPr>
      <w:color w:val="666666"/>
      <w:sz w:val="30"/>
      <w:szCs w:val="30"/>
    </w:rPr>
  </w:style>
  <w:style w:type="paragraph" w:styleId="Textodecomentrio">
    <w:name w:val="annotation text"/>
    <w:basedOn w:val="Normal"/>
    <w:link w:val="TextodecomentrioChar"/>
    <w:uiPriority w:val="99"/>
    <w:semiHidden/>
    <w:unhideWhenUsed/>
    <w:rsid w:val="00393A23"/>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393A23"/>
    <w:rPr>
      <w:sz w:val="20"/>
      <w:szCs w:val="20"/>
    </w:rPr>
  </w:style>
  <w:style w:type="character" w:styleId="Refdecomentrio">
    <w:name w:val="annotation reference"/>
    <w:basedOn w:val="Fontepargpadro"/>
    <w:uiPriority w:val="99"/>
    <w:semiHidden/>
    <w:unhideWhenUsed/>
    <w:rsid w:val="00393A23"/>
    <w:rPr>
      <w:sz w:val="16"/>
      <w:szCs w:val="16"/>
    </w:rPr>
  </w:style>
  <w:style w:type="paragraph" w:styleId="Cabealho">
    <w:name w:val="header"/>
    <w:basedOn w:val="Normal"/>
    <w:link w:val="CabealhoChar"/>
    <w:uiPriority w:val="99"/>
    <w:unhideWhenUsed/>
    <w:rsid w:val="004D0C17"/>
    <w:pPr>
      <w:tabs>
        <w:tab w:val="center" w:pos="4252"/>
        <w:tab w:val="right" w:pos="8504"/>
      </w:tabs>
      <w:spacing w:line="240" w:lineRule="auto"/>
    </w:pPr>
  </w:style>
  <w:style w:type="character" w:customStyle="1" w:styleId="CabealhoChar">
    <w:name w:val="Cabeçalho Char"/>
    <w:basedOn w:val="Fontepargpadro"/>
    <w:link w:val="Cabealho"/>
    <w:uiPriority w:val="99"/>
    <w:rsid w:val="004D0C17"/>
  </w:style>
  <w:style w:type="paragraph" w:styleId="Rodap">
    <w:name w:val="footer"/>
    <w:basedOn w:val="Normal"/>
    <w:link w:val="RodapChar"/>
    <w:uiPriority w:val="99"/>
    <w:unhideWhenUsed/>
    <w:rsid w:val="004D0C17"/>
    <w:pPr>
      <w:tabs>
        <w:tab w:val="center" w:pos="4252"/>
        <w:tab w:val="right" w:pos="8504"/>
      </w:tabs>
      <w:spacing w:line="240" w:lineRule="auto"/>
    </w:pPr>
  </w:style>
  <w:style w:type="character" w:customStyle="1" w:styleId="RodapChar">
    <w:name w:val="Rodapé Char"/>
    <w:basedOn w:val="Fontepargpadro"/>
    <w:link w:val="Rodap"/>
    <w:uiPriority w:val="99"/>
    <w:rsid w:val="004D0C17"/>
  </w:style>
  <w:style w:type="paragraph" w:styleId="Assuntodocomentrio">
    <w:name w:val="annotation subject"/>
    <w:basedOn w:val="Textodecomentrio"/>
    <w:next w:val="Textodecomentrio"/>
    <w:link w:val="AssuntodocomentrioChar"/>
    <w:uiPriority w:val="99"/>
    <w:semiHidden/>
    <w:unhideWhenUsed/>
    <w:rsid w:val="00F62F7F"/>
    <w:rPr>
      <w:b/>
      <w:bCs/>
    </w:rPr>
  </w:style>
  <w:style w:type="character" w:customStyle="1" w:styleId="AssuntodocomentrioChar">
    <w:name w:val="Assunto do comentário Char"/>
    <w:basedOn w:val="TextodecomentrioChar"/>
    <w:link w:val="Assuntodocomentrio"/>
    <w:uiPriority w:val="99"/>
    <w:semiHidden/>
    <w:rsid w:val="00F62F7F"/>
    <w:rPr>
      <w:b/>
      <w:bCs/>
      <w:sz w:val="20"/>
      <w:szCs w:val="20"/>
    </w:rPr>
  </w:style>
  <w:style w:type="paragraph" w:styleId="NormalWeb">
    <w:name w:val="Normal (Web)"/>
    <w:basedOn w:val="Normal"/>
    <w:uiPriority w:val="99"/>
    <w:semiHidden/>
    <w:unhideWhenUsed/>
    <w:rsid w:val="001A2819"/>
    <w:pPr>
      <w:spacing w:before="100" w:beforeAutospacing="1" w:after="100" w:afterAutospacing="1" w:line="240" w:lineRule="auto"/>
    </w:pPr>
    <w:rPr>
      <w:rFonts w:ascii="Times New Roman" w:eastAsia="Times New Roman" w:hAnsi="Times New Roman" w:cs="Times New Roman"/>
      <w:sz w:val="24"/>
      <w:szCs w:val="24"/>
    </w:rPr>
  </w:style>
  <w:style w:type="paragraph" w:styleId="PargrafodaLista">
    <w:name w:val="List Paragraph"/>
    <w:basedOn w:val="Normal"/>
    <w:uiPriority w:val="34"/>
    <w:qFormat/>
    <w:rsid w:val="001A2819"/>
    <w:pPr>
      <w:ind w:left="720"/>
      <w:contextualSpacing/>
    </w:pPr>
  </w:style>
  <w:style w:type="character" w:styleId="Hyperlink">
    <w:name w:val="Hyperlink"/>
    <w:basedOn w:val="Fontepargpadro"/>
    <w:uiPriority w:val="99"/>
    <w:unhideWhenUsed/>
    <w:rsid w:val="008B2D83"/>
    <w:rPr>
      <w:color w:val="0000FF" w:themeColor="hyperlink"/>
      <w:u w:val="single"/>
    </w:rPr>
  </w:style>
  <w:style w:type="character" w:customStyle="1" w:styleId="MenoPendente1">
    <w:name w:val="Menção Pendente1"/>
    <w:basedOn w:val="Fontepargpadro"/>
    <w:uiPriority w:val="99"/>
    <w:semiHidden/>
    <w:unhideWhenUsed/>
    <w:rsid w:val="008B2D83"/>
    <w:rPr>
      <w:color w:val="605E5C"/>
      <w:shd w:val="clear" w:color="auto" w:fill="E1DFDD"/>
    </w:rPr>
  </w:style>
  <w:style w:type="character" w:styleId="HiperlinkVisitado">
    <w:name w:val="FollowedHyperlink"/>
    <w:basedOn w:val="Fontepargpadro"/>
    <w:uiPriority w:val="99"/>
    <w:semiHidden/>
    <w:unhideWhenUsed/>
    <w:rsid w:val="00C46B28"/>
    <w:rPr>
      <w:color w:val="800080" w:themeColor="followedHyperlink"/>
      <w:u w:val="single"/>
    </w:rPr>
  </w:style>
  <w:style w:type="paragraph" w:styleId="Textodebalo">
    <w:name w:val="Balloon Text"/>
    <w:basedOn w:val="Normal"/>
    <w:link w:val="TextodebaloChar"/>
    <w:uiPriority w:val="99"/>
    <w:semiHidden/>
    <w:unhideWhenUsed/>
    <w:rsid w:val="00717710"/>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71771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cvgctohPCiR7LMY+VWJCIA30hQ==">CgMxLjA4AHIhMTJsRG5zVUlHMzVxOVdGV1V1VWFHX180Q0hWaHJTS0lS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1887</Words>
  <Characters>10195</Characters>
  <Application>Microsoft Office Word</Application>
  <DocSecurity>0</DocSecurity>
  <Lines>84</Lines>
  <Paragraphs>24</Paragraphs>
  <ScaleCrop>false</ScaleCrop>
  <Company/>
  <LinksUpToDate>false</LinksUpToDate>
  <CharactersWithSpaces>12058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Beatriz Schincariol</dc:creator>
  <cp:lastModifiedBy>tvieira</cp:lastModifiedBy>
  <cp:revision>2</cp:revision>
  <dcterms:created xsi:type="dcterms:W3CDTF">2023-12-01T14:40:00Z</dcterms:created>
  <dcterms:modified xsi:type="dcterms:W3CDTF">2023-12-01T14:40:00Z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http://www.zotero.org/styles/associacao-brasileira-de-normas-tecnicas</vt:lpwstr>
  </property>
  <property fmtid="{D5CDD505-2E9C-101B-9397-08002B2CF9AE}" pid="11" name="Mendeley Recent Style Name 4_1">
    <vt:lpwstr>Associação Brasileira de Normas Técnicas (Portuguese - Brazil)</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http://www.zotero.org/styles/modern-language-association</vt:lpwstr>
  </property>
  <property fmtid="{D5CDD505-2E9C-101B-9397-08002B2CF9AE}" pid="21" name="Mendeley Recent Style Name 9_1">
    <vt:lpwstr>Modern Language Association 8th edition</vt:lpwstr>
  </property>
  <property fmtid="{D5CDD505-2E9C-101B-9397-08002B2CF9AE}" pid="22" name="Mendeley Citation Style_1">
    <vt:lpwstr>http://www.zotero.org/styles/american-medical-association</vt:lpwstr>
  </property>
  <property fmtid="{D5CDD505-2E9C-101B-9397-08002B2CF9AE}" pid="23" name="Mendeley Document_1">
    <vt:lpwstr>True</vt:lpwstr>
  </property>
  <property fmtid="{D5CDD505-2E9C-101B-9397-08002B2CF9AE}" pid="24" name="Mendeley Unique User Id_1">
    <vt:lpwstr>c02e7deb-a12a-3dd3-9df9-368a6afbac27</vt:lpwstr>
  </property>
  <property fmtid="{D5CDD505-2E9C-101B-9397-08002B2CF9AE}" pid="25" name="GrammarlyDocumentId">
    <vt:lpwstr>b117fdc7d4a2dfeb4b992558c1e48b9ac945a6731883c2b418a9dcbe38477ca9</vt:lpwstr>
  </property>
</Properties>
</file>