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B63F5" w14:textId="77777777" w:rsidR="00F470CD" w:rsidRPr="004C7F6F" w:rsidRDefault="00F470CD" w:rsidP="00F470CD">
      <w:pPr>
        <w:pStyle w:val="Heading1"/>
        <w:rPr>
          <w:lang w:val="en-US"/>
        </w:rPr>
      </w:pPr>
      <w:r w:rsidRPr="004C7F6F">
        <w:rPr>
          <w:lang w:val="en-US"/>
        </w:rPr>
        <w:t>Supplementary material</w:t>
      </w:r>
    </w:p>
    <w:p w14:paraId="4CE68DE9" w14:textId="77777777" w:rsidR="00F470CD" w:rsidRPr="004C7F6F" w:rsidRDefault="00F470CD" w:rsidP="00F470CD">
      <w:pPr>
        <w:keepNext/>
      </w:pPr>
      <w:r w:rsidRPr="004C7F6F">
        <w:rPr>
          <w:noProof/>
        </w:rPr>
        <w:drawing>
          <wp:inline distT="0" distB="0" distL="0" distR="0" wp14:anchorId="7EBB9B35" wp14:editId="7E3E3AE8">
            <wp:extent cx="5913438" cy="3393773"/>
            <wp:effectExtent l="0" t="0" r="0" b="0"/>
            <wp:docPr id="529733159" name="Grafik 529733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3612" cy="3405351"/>
                    </a:xfrm>
                    <a:prstGeom prst="rect">
                      <a:avLst/>
                    </a:prstGeom>
                    <a:noFill/>
                  </pic:spPr>
                </pic:pic>
              </a:graphicData>
            </a:graphic>
          </wp:inline>
        </w:drawing>
      </w:r>
    </w:p>
    <w:p w14:paraId="43DF10AA" w14:textId="77777777" w:rsidR="00F470CD" w:rsidRPr="004C7F6F" w:rsidRDefault="00F470CD" w:rsidP="00F470CD">
      <w:pPr>
        <w:pStyle w:val="Caption"/>
        <w:jc w:val="both"/>
        <w:rPr>
          <w:b/>
          <w:bCs/>
          <w:i w:val="0"/>
          <w:iCs w:val="0"/>
          <w:lang w:val="en-GB"/>
        </w:rPr>
      </w:pPr>
      <w:r w:rsidRPr="005743E2">
        <w:t xml:space="preserve">Supplementary Figure </w:t>
      </w:r>
      <w:r>
        <w:fldChar w:fldCharType="begin"/>
      </w:r>
      <w:r w:rsidRPr="005743E2">
        <w:instrText>SEQ Supplementary_Figure \* ARABIC</w:instrText>
      </w:r>
      <w:r>
        <w:fldChar w:fldCharType="separate"/>
      </w:r>
      <w:r>
        <w:rPr>
          <w:noProof/>
        </w:rPr>
        <w:t>1</w:t>
      </w:r>
      <w:r>
        <w:fldChar w:fldCharType="end"/>
      </w:r>
      <w:r w:rsidRPr="005743E2">
        <w:t xml:space="preserve"> - </w:t>
      </w:r>
      <w:r w:rsidRPr="005743E2">
        <w:rPr>
          <w:b/>
          <w:bCs/>
          <w:i w:val="0"/>
          <w:iCs w:val="0"/>
        </w:rPr>
        <w:t>Tuning a disease-specific visual perceptive deep learning model.</w:t>
      </w:r>
      <w:r w:rsidRPr="005743E2">
        <w:t xml:space="preserve"> </w:t>
      </w:r>
      <w:r w:rsidRPr="005743E2">
        <w:rPr>
          <w:i w:val="0"/>
          <w:iCs w:val="0"/>
        </w:rPr>
        <w:t>A</w:t>
      </w:r>
      <w:r w:rsidRPr="005743E2">
        <w:rPr>
          <w:b/>
          <w:bCs/>
          <w:i w:val="0"/>
          <w:iCs w:val="0"/>
        </w:rPr>
        <w:t xml:space="preserve"> </w:t>
      </w:r>
      <w:r w:rsidRPr="005743E2">
        <w:rPr>
          <w:i w:val="0"/>
          <w:iCs w:val="0"/>
        </w:rPr>
        <w:t>residual convolutional neural network, RCNN, is fine-tuned for limb tracking by annotating 1489 frames from 212 videos of 68 individuals with essential tremor across different task and neurostimulation conditions. Multifaceted model evaluation shows plausible tracking of bilateral keypoints in an aggregated plot, averaging each keypoint’s framewise 2D coordinates over time (</w:t>
      </w:r>
      <w:r w:rsidRPr="005743E2">
        <w:rPr>
          <w:b/>
          <w:bCs/>
          <w:i w:val="0"/>
          <w:iCs w:val="0"/>
        </w:rPr>
        <w:t>a</w:t>
      </w:r>
      <w:r w:rsidRPr="005743E2">
        <w:rPr>
          <w:i w:val="0"/>
          <w:iCs w:val="0"/>
        </w:rPr>
        <w:t>). Tracking confidence however varies as a function of anatomical keypoint position such as the hand metacarpophalangeal joints (MCPJ) (</w:t>
      </w:r>
      <w:r w:rsidRPr="005743E2">
        <w:rPr>
          <w:b/>
          <w:bCs/>
          <w:i w:val="0"/>
          <w:iCs w:val="0"/>
        </w:rPr>
        <w:t>b</w:t>
      </w:r>
      <w:r w:rsidRPr="005743E2">
        <w:rPr>
          <w:i w:val="0"/>
          <w:iCs w:val="0"/>
        </w:rPr>
        <w:t>) and task condition, i. e. postural or kinetic tremor assessment (</w:t>
      </w:r>
      <w:r w:rsidRPr="005743E2">
        <w:rPr>
          <w:b/>
          <w:bCs/>
          <w:i w:val="0"/>
          <w:iCs w:val="0"/>
        </w:rPr>
        <w:t>b-c</w:t>
      </w:r>
      <w:r w:rsidRPr="005743E2">
        <w:rPr>
          <w:i w:val="0"/>
          <w:iCs w:val="0"/>
        </w:rPr>
        <w:t xml:space="preserve">). While both DLC-RCNN and the benchmark hand tracking algorithm, Mediapipe, achieve a similar ”fraction of successfully tracked frames” (FSTF, defined as confidence &gt; 0.8) in postural tremor assessments, DLC-RCNN largely fails to track the limbs in the kinetic tremor condition (Friedman </w:t>
      </w:r>
      <w:r w:rsidRPr="004C7F6F">
        <w:rPr>
          <w:lang w:val="en-GB"/>
        </w:rPr>
        <w:t>χ2= 16.2, p= .001</w:t>
      </w:r>
      <w:r w:rsidRPr="004C7F6F">
        <w:rPr>
          <w:i w:val="0"/>
          <w:iCs w:val="0"/>
          <w:lang w:val="en-GB"/>
        </w:rPr>
        <w:t>, post-hoc test significant in kinetic tremor condition (p= .012).</w:t>
      </w:r>
      <w:r w:rsidRPr="005743E2">
        <w:rPr>
          <w:i w:val="0"/>
          <w:iCs w:val="0"/>
        </w:rPr>
        <w:t xml:space="preserve"> (</w:t>
      </w:r>
      <w:r w:rsidRPr="005743E2">
        <w:rPr>
          <w:b/>
          <w:bCs/>
          <w:i w:val="0"/>
          <w:iCs w:val="0"/>
        </w:rPr>
        <w:t>d</w:t>
      </w:r>
      <w:r w:rsidRPr="005743E2">
        <w:rPr>
          <w:i w:val="0"/>
          <w:iCs w:val="0"/>
        </w:rPr>
        <w:t>). Raw 2D coordinate time series extracted by both computer vision frameworks are transformed into metric tremor amplitudes using a patient- and video-specific calibration procedure based on real-world ground truth dimensions derived from neuroimaging.</w:t>
      </w:r>
    </w:p>
    <w:p w14:paraId="5F8F2E9C" w14:textId="77777777" w:rsidR="00F470CD" w:rsidRPr="004C7F6F" w:rsidRDefault="00F470CD" w:rsidP="00F470CD">
      <w:pPr>
        <w:pStyle w:val="Caption"/>
        <w:rPr>
          <w:lang w:val="en-GB"/>
        </w:rPr>
      </w:pPr>
    </w:p>
    <w:p w14:paraId="12FC033F" w14:textId="77777777" w:rsidR="00F470CD" w:rsidRPr="004C7F6F" w:rsidRDefault="00F470CD" w:rsidP="00F470CD">
      <w:pPr>
        <w:rPr>
          <w:lang w:val="en-GB"/>
        </w:rPr>
      </w:pPr>
    </w:p>
    <w:p w14:paraId="691542EE" w14:textId="77777777" w:rsidR="00F470CD" w:rsidRPr="004C7F6F" w:rsidRDefault="00F470CD" w:rsidP="00F470CD">
      <w:pPr>
        <w:rPr>
          <w:lang w:val="en-US"/>
        </w:rPr>
      </w:pPr>
    </w:p>
    <w:p w14:paraId="6FB58364" w14:textId="77777777" w:rsidR="00F470CD" w:rsidRDefault="00F470CD" w:rsidP="00F470CD">
      <w:pPr>
        <w:pStyle w:val="Heading2"/>
      </w:pPr>
      <w:r w:rsidRPr="004C7F6F">
        <w:rPr>
          <w:noProof/>
        </w:rPr>
        <w:drawing>
          <wp:inline distT="0" distB="0" distL="0" distR="0" wp14:anchorId="3466E3D2" wp14:editId="6A3ECDC5">
            <wp:extent cx="5754053" cy="3116704"/>
            <wp:effectExtent l="0" t="0" r="0" b="0"/>
            <wp:docPr id="693055147" name="Grafik 693055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79397" cy="3130432"/>
                    </a:xfrm>
                    <a:prstGeom prst="rect">
                      <a:avLst/>
                    </a:prstGeom>
                    <a:noFill/>
                  </pic:spPr>
                </pic:pic>
              </a:graphicData>
            </a:graphic>
          </wp:inline>
        </w:drawing>
      </w:r>
    </w:p>
    <w:p w14:paraId="217E98DA" w14:textId="77777777" w:rsidR="00F470CD" w:rsidRPr="00A6417F" w:rsidRDefault="00F470CD" w:rsidP="00F470CD">
      <w:pPr>
        <w:pStyle w:val="Caption"/>
        <w:jc w:val="both"/>
      </w:pPr>
      <w:r>
        <w:t xml:space="preserve">Supplementary Figure </w:t>
      </w:r>
      <w:r>
        <w:fldChar w:fldCharType="begin"/>
      </w:r>
      <w:r>
        <w:instrText xml:space="preserve"> SEQ Supplementary_Figure \* ARABIC </w:instrText>
      </w:r>
      <w:r>
        <w:fldChar w:fldCharType="separate"/>
      </w:r>
      <w:r>
        <w:rPr>
          <w:noProof/>
        </w:rPr>
        <w:t>2</w:t>
      </w:r>
      <w:r>
        <w:rPr>
          <w:noProof/>
        </w:rPr>
        <w:fldChar w:fldCharType="end"/>
      </w:r>
      <w:r>
        <w:t xml:space="preserve">. </w:t>
      </w:r>
      <w:r>
        <w:rPr>
          <w:b/>
          <w:bCs/>
          <w:i w:val="0"/>
          <w:iCs w:val="0"/>
        </w:rPr>
        <w:t>Accuracy</w:t>
      </w:r>
      <w:r w:rsidRPr="005743E2">
        <w:rPr>
          <w:b/>
          <w:bCs/>
          <w:i w:val="0"/>
          <w:iCs w:val="0"/>
        </w:rPr>
        <w:t xml:space="preserve"> and precision assessments in the prospective cohort. a</w:t>
      </w:r>
      <w:r w:rsidRPr="005743E2">
        <w:rPr>
          <w:i w:val="0"/>
          <w:iCs w:val="0"/>
        </w:rPr>
        <w:t xml:space="preserve"> Within the a priori defined boundaries of 10 mm, both computer vision algorithms’ accuracy in amplitude assessments are equivalent to motion capture (</w:t>
      </w:r>
      <w:r w:rsidRPr="004C7F6F">
        <w:rPr>
          <w:i w:val="0"/>
          <w:iCs w:val="0"/>
          <w:lang w:val="en-GB"/>
        </w:rPr>
        <w:t>DLC-RCNN: upper limit T(31)= -6.43, lower limit T(31)= 11.3, p&lt; .001, Mediapipe: upper limit T(31)= -14.1, lower limit T(31)= 9.36, p&lt; .001, kinetic: upper limit: T(29)= -4.33, p&lt; .001, lower limit T(29)= 2.57, p= .008).</w:t>
      </w:r>
      <w:r w:rsidRPr="005743E2">
        <w:rPr>
          <w:i w:val="0"/>
          <w:iCs w:val="0"/>
        </w:rPr>
        <w:t xml:space="preserve"> </w:t>
      </w:r>
      <w:r w:rsidRPr="005743E2">
        <w:rPr>
          <w:b/>
          <w:bCs/>
          <w:i w:val="0"/>
          <w:iCs w:val="0"/>
        </w:rPr>
        <w:t>b</w:t>
      </w:r>
      <w:r w:rsidRPr="005743E2">
        <w:rPr>
          <w:i w:val="0"/>
          <w:iCs w:val="0"/>
        </w:rPr>
        <w:t xml:space="preserve"> Precision values of postural tremor amplitude measurements of DLC-RCNN and Mediapipe fall within the equivalence boundaries defined by minimal motion capture precision (</w:t>
      </w:r>
      <w:r w:rsidRPr="004C7F6F">
        <w:rPr>
          <w:i w:val="0"/>
          <w:iCs w:val="0"/>
          <w:lang w:val="en-GB"/>
        </w:rPr>
        <w:t>DLC-RCNN: upper bound T(25)= -13.3, lower bound T(25)= 11.0; Mediapipe: upper bound T(25)= -25.8, lower bound T(25)= 31.5, all p&lt; .001)</w:t>
      </w:r>
      <w:r w:rsidRPr="005743E2">
        <w:rPr>
          <w:i w:val="0"/>
          <w:iCs w:val="0"/>
        </w:rPr>
        <w:t xml:space="preserve">. </w:t>
      </w:r>
      <w:r w:rsidRPr="005743E2">
        <w:rPr>
          <w:b/>
          <w:bCs/>
          <w:i w:val="0"/>
          <w:iCs w:val="0"/>
        </w:rPr>
        <w:t>c</w:t>
      </w:r>
      <w:r w:rsidRPr="005743E2">
        <w:rPr>
          <w:i w:val="0"/>
          <w:iCs w:val="0"/>
        </w:rPr>
        <w:t xml:space="preserve"> Mediapipe’s precision of kinetic tremor amplitude measurements falls within the equivalence boundaries of motion capture (</w:t>
      </w:r>
      <w:r w:rsidRPr="004C7F6F">
        <w:rPr>
          <w:i w:val="0"/>
          <w:iCs w:val="0"/>
          <w:lang w:val="en-GB"/>
        </w:rPr>
        <w:t>upper bound T(31)= -10.5, lower bound T(31)= 7.13, p&lt; .001)</w:t>
      </w:r>
      <w:r w:rsidRPr="005743E2">
        <w:rPr>
          <w:i w:val="0"/>
          <w:iCs w:val="0"/>
        </w:rPr>
        <w:t xml:space="preserve">. </w:t>
      </w:r>
      <w:r w:rsidRPr="005743E2">
        <w:rPr>
          <w:b/>
          <w:bCs/>
          <w:i w:val="0"/>
          <w:iCs w:val="0"/>
        </w:rPr>
        <w:t>d</w:t>
      </w:r>
      <w:r w:rsidRPr="005743E2">
        <w:rPr>
          <w:i w:val="0"/>
          <w:iCs w:val="0"/>
        </w:rPr>
        <w:t xml:space="preserve"> Mediapipe, but not motion capture and DLC-RCNN show equivalent accuracy to accelerometry in measuring postural tremor frequency (MP: </w:t>
      </w:r>
      <w:r w:rsidRPr="004C7F6F">
        <w:rPr>
          <w:i w:val="0"/>
          <w:iCs w:val="0"/>
          <w:lang w:val="en-GB"/>
        </w:rPr>
        <w:t>upper bound T(31)= -5.47, p&lt; .001, lower bound T(31)= 2.33, p= .013, DLC-RCNN: upper bound T(31)= -9.9, p&lt; .001, lower bound T(31)= -1.54, p= .930; motion capture: upper bound T(31)= -6.69, p&lt; .001, lower bound T(31)= 1.27, p= .011)</w:t>
      </w:r>
      <w:r w:rsidRPr="005743E2">
        <w:rPr>
          <w:i w:val="0"/>
          <w:iCs w:val="0"/>
        </w:rPr>
        <w:t xml:space="preserve">. Mediapipe-derived kinetic tremor frequencies are equivalently accurate (MP: </w:t>
      </w:r>
      <w:r w:rsidRPr="004C7F6F">
        <w:rPr>
          <w:i w:val="0"/>
          <w:iCs w:val="0"/>
          <w:lang w:val="en-GB"/>
        </w:rPr>
        <w:t>upper bound T(31)= -3.2, p= .002, lower bound T(31)= 2.52, p= .009). This was not the case for motion capture (upper bound T(31)= -4.0, p&lt; .001, lower bound T(31)= 1.53, p= .068)</w:t>
      </w:r>
      <w:r w:rsidRPr="005743E2">
        <w:rPr>
          <w:i w:val="0"/>
          <w:iCs w:val="0"/>
        </w:rPr>
        <w:t xml:space="preserve">. </w:t>
      </w:r>
      <w:r w:rsidRPr="005743E2">
        <w:rPr>
          <w:b/>
          <w:bCs/>
          <w:i w:val="0"/>
          <w:iCs w:val="0"/>
        </w:rPr>
        <w:t>e</w:t>
      </w:r>
      <w:r w:rsidRPr="005743E2">
        <w:rPr>
          <w:i w:val="0"/>
          <w:iCs w:val="0"/>
        </w:rPr>
        <w:t xml:space="preserve"> Within the boundaries derived from the minimal accelerometry precision, motion capture, DLC-RCNN and Mediapipe exhibit equivalent precision in postural tremor frequency measurements (</w:t>
      </w:r>
      <w:r w:rsidRPr="004C7F6F">
        <w:rPr>
          <w:i w:val="0"/>
          <w:iCs w:val="0"/>
          <w:lang w:val="en-GB"/>
        </w:rPr>
        <w:t>MC: upper bound T(21)= -17.3, lower bound T(21)= 14.83; DLC-RCNN: upper bound T(21)= -18.0, lower bound T(21)= 9.62, MP: upper bound T(21)= -16.4, lower bound T(21)= 14.62, all p&lt; .001)</w:t>
      </w:r>
      <w:r w:rsidRPr="005743E2">
        <w:rPr>
          <w:i w:val="0"/>
          <w:iCs w:val="0"/>
        </w:rPr>
        <w:t xml:space="preserve">. </w:t>
      </w:r>
      <w:r w:rsidRPr="005743E2">
        <w:rPr>
          <w:b/>
          <w:bCs/>
          <w:i w:val="0"/>
          <w:iCs w:val="0"/>
        </w:rPr>
        <w:t>f</w:t>
      </w:r>
      <w:r w:rsidRPr="005743E2">
        <w:rPr>
          <w:i w:val="0"/>
          <w:iCs w:val="0"/>
        </w:rPr>
        <w:t xml:space="preserve"> Motion capture and Mediapipe exhibit equivalent precision in kinetic tremor frequency measurements (</w:t>
      </w:r>
      <w:r w:rsidRPr="004C7F6F">
        <w:rPr>
          <w:i w:val="0"/>
          <w:iCs w:val="0"/>
          <w:lang w:val="en-GB"/>
        </w:rPr>
        <w:t>motion capture: upper bound T(21)= -1.66, lower bound T(21)= 14.9; Mediapipe: upper bound T(21)= -9.7, lower bound T(21)= 23.1, all p&lt; .001).</w:t>
      </w:r>
    </w:p>
    <w:p w14:paraId="10BAB10D" w14:textId="77777777" w:rsidR="00F470CD" w:rsidRDefault="00F470CD" w:rsidP="00F470CD">
      <w:pPr>
        <w:keepNext/>
      </w:pPr>
      <w:r>
        <w:rPr>
          <w:noProof/>
        </w:rPr>
        <w:drawing>
          <wp:inline distT="0" distB="0" distL="0" distR="0" wp14:anchorId="066900A5" wp14:editId="054A7A02">
            <wp:extent cx="5853910" cy="3115986"/>
            <wp:effectExtent l="0" t="0" r="0" b="8255"/>
            <wp:docPr id="1424796519" name="Grafik 1424796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650"/>
                    <a:stretch/>
                  </pic:blipFill>
                  <pic:spPr bwMode="auto">
                    <a:xfrm>
                      <a:off x="0" y="0"/>
                      <a:ext cx="5899782" cy="3140403"/>
                    </a:xfrm>
                    <a:prstGeom prst="rect">
                      <a:avLst/>
                    </a:prstGeom>
                    <a:noFill/>
                    <a:ln>
                      <a:noFill/>
                    </a:ln>
                    <a:extLst>
                      <a:ext uri="{53640926-AAD7-44D8-BBD7-CCE9431645EC}">
                        <a14:shadowObscured xmlns:a14="http://schemas.microsoft.com/office/drawing/2010/main"/>
                      </a:ext>
                    </a:extLst>
                  </pic:spPr>
                </pic:pic>
              </a:graphicData>
            </a:graphic>
          </wp:inline>
        </w:drawing>
      </w:r>
    </w:p>
    <w:p w14:paraId="6526E8A2" w14:textId="77777777" w:rsidR="00F470CD" w:rsidRDefault="00F470CD" w:rsidP="00F470CD">
      <w:pPr>
        <w:pStyle w:val="Caption"/>
        <w:jc w:val="both"/>
        <w:rPr>
          <w:i w:val="0"/>
          <w:iCs w:val="0"/>
        </w:rPr>
      </w:pPr>
      <w:r>
        <w:t xml:space="preserve">Supplementary Figure </w:t>
      </w:r>
      <w:r>
        <w:fldChar w:fldCharType="begin"/>
      </w:r>
      <w:r>
        <w:instrText xml:space="preserve"> SEQ Supplementary_Figure \* ARABIC </w:instrText>
      </w:r>
      <w:r>
        <w:fldChar w:fldCharType="separate"/>
      </w:r>
      <w:r>
        <w:rPr>
          <w:noProof/>
        </w:rPr>
        <w:t>3</w:t>
      </w:r>
      <w:r>
        <w:rPr>
          <w:noProof/>
        </w:rPr>
        <w:fldChar w:fldCharType="end"/>
      </w:r>
      <w:r>
        <w:t xml:space="preserve">. </w:t>
      </w:r>
      <w:r w:rsidRPr="00A6417F">
        <w:rPr>
          <w:b/>
          <w:bCs/>
        </w:rPr>
        <w:t>A-b</w:t>
      </w:r>
      <w:r>
        <w:t xml:space="preserve"> </w:t>
      </w:r>
      <w:r>
        <w:rPr>
          <w:i w:val="0"/>
          <w:iCs w:val="0"/>
        </w:rPr>
        <w:t>R</w:t>
      </w:r>
      <w:r w:rsidRPr="00A6417F">
        <w:rPr>
          <w:i w:val="0"/>
          <w:iCs w:val="0"/>
        </w:rPr>
        <w:t xml:space="preserve">epeating </w:t>
      </w:r>
      <w:r w:rsidRPr="00593306">
        <w:rPr>
          <w:b/>
          <w:bCs/>
          <w:i w:val="0"/>
          <w:iCs w:val="0"/>
        </w:rPr>
        <w:t>postural</w:t>
      </w:r>
      <w:r>
        <w:rPr>
          <w:i w:val="0"/>
          <w:iCs w:val="0"/>
        </w:rPr>
        <w:t xml:space="preserve"> tremor amplitude </w:t>
      </w:r>
      <w:r w:rsidRPr="00A6417F">
        <w:rPr>
          <w:i w:val="0"/>
          <w:iCs w:val="0"/>
        </w:rPr>
        <w:t xml:space="preserve">analyses using </w:t>
      </w:r>
      <w:r w:rsidRPr="00D8666A">
        <w:t>mean</w:t>
      </w:r>
      <w:r w:rsidRPr="00A6417F">
        <w:rPr>
          <w:i w:val="0"/>
          <w:iCs w:val="0"/>
        </w:rPr>
        <w:t xml:space="preserve"> instead of </w:t>
      </w:r>
      <w:r w:rsidRPr="00D8666A">
        <w:t>peak</w:t>
      </w:r>
      <w:r w:rsidRPr="00A6417F">
        <w:rPr>
          <w:i w:val="0"/>
          <w:iCs w:val="0"/>
        </w:rPr>
        <w:t xml:space="preserve"> amplitude measurements</w:t>
      </w:r>
      <w:r>
        <w:rPr>
          <w:i w:val="0"/>
          <w:iCs w:val="0"/>
        </w:rPr>
        <w:t xml:space="preserve"> yields similarly strong convergent clinical validity and </w:t>
      </w:r>
      <w:r w:rsidRPr="00A6417F">
        <w:rPr>
          <w:b/>
          <w:bCs/>
          <w:i w:val="0"/>
          <w:iCs w:val="0"/>
        </w:rPr>
        <w:t>c</w:t>
      </w:r>
      <w:r>
        <w:rPr>
          <w:b/>
          <w:bCs/>
          <w:i w:val="0"/>
          <w:iCs w:val="0"/>
        </w:rPr>
        <w:t>,</w:t>
      </w:r>
      <w:r>
        <w:rPr>
          <w:i w:val="0"/>
          <w:iCs w:val="0"/>
        </w:rPr>
        <w:t xml:space="preserve"> intermethodological agreement. </w:t>
      </w:r>
      <w:r w:rsidRPr="00A6417F">
        <w:rPr>
          <w:b/>
          <w:bCs/>
          <w:i w:val="0"/>
          <w:iCs w:val="0"/>
        </w:rPr>
        <w:t>D</w:t>
      </w:r>
      <w:r>
        <w:rPr>
          <w:b/>
          <w:bCs/>
          <w:i w:val="0"/>
          <w:iCs w:val="0"/>
        </w:rPr>
        <w:t xml:space="preserve"> </w:t>
      </w:r>
      <w:r w:rsidRPr="00A6417F">
        <w:rPr>
          <w:i w:val="0"/>
          <w:iCs w:val="0"/>
        </w:rPr>
        <w:t>Bland-Altman analysis demonstrates a mean absolute error</w:t>
      </w:r>
      <w:r>
        <w:rPr>
          <w:i w:val="0"/>
          <w:iCs w:val="0"/>
        </w:rPr>
        <w:t xml:space="preserve"> of 2.03mm of Mediapipe-derived mean postural tremor amplitudes. </w:t>
      </w:r>
      <w:r w:rsidRPr="00D8666A">
        <w:rPr>
          <w:b/>
          <w:bCs/>
          <w:i w:val="0"/>
          <w:iCs w:val="0"/>
        </w:rPr>
        <w:t>E</w:t>
      </w:r>
      <w:r>
        <w:rPr>
          <w:b/>
          <w:bCs/>
          <w:i w:val="0"/>
          <w:iCs w:val="0"/>
        </w:rPr>
        <w:t xml:space="preserve"> </w:t>
      </w:r>
      <w:r w:rsidRPr="00D8666A">
        <w:rPr>
          <w:i w:val="0"/>
          <w:iCs w:val="0"/>
        </w:rPr>
        <w:t xml:space="preserve">Mediapipe-derived mean postural tremor amplitude is </w:t>
      </w:r>
      <w:r>
        <w:rPr>
          <w:i w:val="0"/>
          <w:iCs w:val="0"/>
        </w:rPr>
        <w:t xml:space="preserve">responsive to DBS effects (effect size 1.0 Mediapipe, 0.94 motion capture, p&lt; .01). </w:t>
      </w:r>
      <w:r w:rsidRPr="00D8666A">
        <w:rPr>
          <w:b/>
          <w:bCs/>
          <w:i w:val="0"/>
          <w:iCs w:val="0"/>
        </w:rPr>
        <w:t>F</w:t>
      </w:r>
      <w:r>
        <w:rPr>
          <w:b/>
          <w:bCs/>
          <w:i w:val="0"/>
          <w:iCs w:val="0"/>
        </w:rPr>
        <w:t xml:space="preserve"> </w:t>
      </w:r>
      <w:r>
        <w:rPr>
          <w:i w:val="0"/>
          <w:iCs w:val="0"/>
        </w:rPr>
        <w:t xml:space="preserve">Mediapipe-derived </w:t>
      </w:r>
      <w:r w:rsidRPr="00573AA0">
        <w:t>p</w:t>
      </w:r>
      <w:r w:rsidRPr="00D8666A">
        <w:t>eak</w:t>
      </w:r>
      <w:r w:rsidRPr="00D8666A">
        <w:rPr>
          <w:i w:val="0"/>
          <w:iCs w:val="0"/>
        </w:rPr>
        <w:t xml:space="preserve"> and </w:t>
      </w:r>
      <w:r w:rsidRPr="00D8666A">
        <w:t>mean</w:t>
      </w:r>
      <w:r w:rsidRPr="00D8666A">
        <w:rPr>
          <w:i w:val="0"/>
          <w:iCs w:val="0"/>
        </w:rPr>
        <w:t xml:space="preserve"> </w:t>
      </w:r>
      <w:r>
        <w:rPr>
          <w:i w:val="0"/>
          <w:iCs w:val="0"/>
        </w:rPr>
        <w:t xml:space="preserve">postural </w:t>
      </w:r>
      <w:r w:rsidRPr="00D8666A">
        <w:rPr>
          <w:i w:val="0"/>
          <w:iCs w:val="0"/>
        </w:rPr>
        <w:t>amplitude measurements are strongly</w:t>
      </w:r>
      <w:r>
        <w:rPr>
          <w:i w:val="0"/>
          <w:iCs w:val="0"/>
        </w:rPr>
        <w:t xml:space="preserve"> correlated.</w:t>
      </w:r>
    </w:p>
    <w:p w14:paraId="20B76F70" w14:textId="77777777" w:rsidR="00F470CD" w:rsidRDefault="00F470CD" w:rsidP="00F470CD">
      <w:pPr>
        <w:keepNext/>
      </w:pPr>
      <w:r>
        <w:rPr>
          <w:noProof/>
        </w:rPr>
        <w:drawing>
          <wp:inline distT="0" distB="0" distL="0" distR="0" wp14:anchorId="15375DD2" wp14:editId="0816F285">
            <wp:extent cx="5922934" cy="3381968"/>
            <wp:effectExtent l="0" t="0" r="0" b="9525"/>
            <wp:docPr id="191436372" name="Grafik 191436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999"/>
                    <a:stretch/>
                  </pic:blipFill>
                  <pic:spPr bwMode="auto">
                    <a:xfrm>
                      <a:off x="0" y="0"/>
                      <a:ext cx="5964681" cy="3405805"/>
                    </a:xfrm>
                    <a:prstGeom prst="rect">
                      <a:avLst/>
                    </a:prstGeom>
                    <a:noFill/>
                    <a:ln>
                      <a:noFill/>
                    </a:ln>
                    <a:extLst>
                      <a:ext uri="{53640926-AAD7-44D8-BBD7-CCE9431645EC}">
                        <a14:shadowObscured xmlns:a14="http://schemas.microsoft.com/office/drawing/2010/main"/>
                      </a:ext>
                    </a:extLst>
                  </pic:spPr>
                </pic:pic>
              </a:graphicData>
            </a:graphic>
          </wp:inline>
        </w:drawing>
      </w:r>
    </w:p>
    <w:p w14:paraId="383AD456" w14:textId="77777777" w:rsidR="00F470CD" w:rsidRPr="00D8666A" w:rsidRDefault="00F470CD" w:rsidP="00F470CD">
      <w:pPr>
        <w:pStyle w:val="Caption"/>
        <w:jc w:val="both"/>
        <w:rPr>
          <w:i w:val="0"/>
          <w:iCs w:val="0"/>
          <w:lang w:val="en-GB"/>
        </w:rPr>
      </w:pPr>
      <w:r>
        <w:t xml:space="preserve">Supplementary Figure </w:t>
      </w:r>
      <w:r>
        <w:fldChar w:fldCharType="begin"/>
      </w:r>
      <w:r>
        <w:instrText xml:space="preserve"> SEQ Supplementary_Figure \* ARABIC </w:instrText>
      </w:r>
      <w:r>
        <w:fldChar w:fldCharType="separate"/>
      </w:r>
      <w:r>
        <w:rPr>
          <w:noProof/>
        </w:rPr>
        <w:t>4</w:t>
      </w:r>
      <w:r>
        <w:rPr>
          <w:noProof/>
        </w:rPr>
        <w:fldChar w:fldCharType="end"/>
      </w:r>
      <w:r>
        <w:t xml:space="preserve">.  </w:t>
      </w:r>
      <w:r w:rsidRPr="00D8666A">
        <w:rPr>
          <w:b/>
          <w:bCs/>
          <w:i w:val="0"/>
          <w:iCs w:val="0"/>
        </w:rPr>
        <w:t>A-b</w:t>
      </w:r>
      <w:r w:rsidRPr="00D8666A">
        <w:rPr>
          <w:i w:val="0"/>
          <w:iCs w:val="0"/>
        </w:rPr>
        <w:t xml:space="preserve"> Repeating </w:t>
      </w:r>
      <w:r w:rsidRPr="00593306">
        <w:rPr>
          <w:b/>
          <w:bCs/>
          <w:i w:val="0"/>
          <w:iCs w:val="0"/>
        </w:rPr>
        <w:t>kinetic</w:t>
      </w:r>
      <w:r w:rsidRPr="00D8666A">
        <w:rPr>
          <w:i w:val="0"/>
          <w:iCs w:val="0"/>
        </w:rPr>
        <w:t xml:space="preserve"> tremor amplitude analyses using </w:t>
      </w:r>
      <w:r w:rsidRPr="00573AA0">
        <w:t>mean</w:t>
      </w:r>
      <w:r w:rsidRPr="00D8666A">
        <w:rPr>
          <w:i w:val="0"/>
          <w:iCs w:val="0"/>
        </w:rPr>
        <w:t xml:space="preserve"> instead of </w:t>
      </w:r>
      <w:r w:rsidRPr="00573AA0">
        <w:t>peak</w:t>
      </w:r>
      <w:r w:rsidRPr="00D8666A">
        <w:rPr>
          <w:i w:val="0"/>
          <w:iCs w:val="0"/>
        </w:rPr>
        <w:t xml:space="preserve"> amplitude measurements yields similar</w:t>
      </w:r>
      <w:r>
        <w:rPr>
          <w:i w:val="0"/>
          <w:iCs w:val="0"/>
        </w:rPr>
        <w:t xml:space="preserve"> (if not higher) </w:t>
      </w:r>
      <w:r w:rsidRPr="00D8666A">
        <w:rPr>
          <w:i w:val="0"/>
          <w:iCs w:val="0"/>
        </w:rPr>
        <w:t>convergent clinical validity</w:t>
      </w:r>
      <w:r>
        <w:rPr>
          <w:i w:val="0"/>
          <w:iCs w:val="0"/>
        </w:rPr>
        <w:t xml:space="preserve"> (MP: rho= 0.75, MC: rho= 0.72, both p&lt; .001)</w:t>
      </w:r>
      <w:r w:rsidRPr="00D8666A">
        <w:rPr>
          <w:i w:val="0"/>
          <w:iCs w:val="0"/>
        </w:rPr>
        <w:t xml:space="preserve"> and </w:t>
      </w:r>
      <w:r w:rsidRPr="00573AA0">
        <w:rPr>
          <w:b/>
          <w:bCs/>
          <w:i w:val="0"/>
          <w:iCs w:val="0"/>
        </w:rPr>
        <w:t>c</w:t>
      </w:r>
      <w:r w:rsidRPr="00D8666A">
        <w:rPr>
          <w:i w:val="0"/>
          <w:iCs w:val="0"/>
        </w:rPr>
        <w:t>, intermethodological agreement</w:t>
      </w:r>
      <w:r>
        <w:rPr>
          <w:i w:val="0"/>
          <w:iCs w:val="0"/>
        </w:rPr>
        <w:t xml:space="preserve"> (rho= 0.68, p&lt; .001)</w:t>
      </w:r>
      <w:r w:rsidRPr="00D8666A">
        <w:rPr>
          <w:i w:val="0"/>
          <w:iCs w:val="0"/>
        </w:rPr>
        <w:t xml:space="preserve">. </w:t>
      </w:r>
      <w:r w:rsidRPr="00573AA0">
        <w:rPr>
          <w:b/>
          <w:bCs/>
          <w:i w:val="0"/>
          <w:iCs w:val="0"/>
        </w:rPr>
        <w:t>D</w:t>
      </w:r>
      <w:r w:rsidRPr="00D8666A">
        <w:rPr>
          <w:i w:val="0"/>
          <w:iCs w:val="0"/>
        </w:rPr>
        <w:t xml:space="preserve"> Bland-Altman analysis demonstrates a mean absolute error of </w:t>
      </w:r>
      <w:r>
        <w:rPr>
          <w:i w:val="0"/>
          <w:iCs w:val="0"/>
        </w:rPr>
        <w:t>0.44</w:t>
      </w:r>
      <w:r w:rsidRPr="00D8666A">
        <w:rPr>
          <w:i w:val="0"/>
          <w:iCs w:val="0"/>
        </w:rPr>
        <w:t xml:space="preserve">mm of Mediapipe-derived mean </w:t>
      </w:r>
      <w:r>
        <w:rPr>
          <w:i w:val="0"/>
          <w:iCs w:val="0"/>
        </w:rPr>
        <w:t>kinetic</w:t>
      </w:r>
      <w:r w:rsidRPr="00D8666A">
        <w:rPr>
          <w:i w:val="0"/>
          <w:iCs w:val="0"/>
        </w:rPr>
        <w:t xml:space="preserve"> tremor amplitudes. </w:t>
      </w:r>
      <w:r w:rsidRPr="00573AA0">
        <w:rPr>
          <w:b/>
          <w:bCs/>
          <w:i w:val="0"/>
          <w:iCs w:val="0"/>
        </w:rPr>
        <w:t>E</w:t>
      </w:r>
      <w:r w:rsidRPr="00D8666A">
        <w:rPr>
          <w:i w:val="0"/>
          <w:iCs w:val="0"/>
        </w:rPr>
        <w:t xml:space="preserve"> Mediapipe-derived mean </w:t>
      </w:r>
      <w:r>
        <w:rPr>
          <w:i w:val="0"/>
          <w:iCs w:val="0"/>
        </w:rPr>
        <w:t>kinetic</w:t>
      </w:r>
      <w:r w:rsidRPr="00D8666A">
        <w:rPr>
          <w:i w:val="0"/>
          <w:iCs w:val="0"/>
        </w:rPr>
        <w:t xml:space="preserve"> tremor amplitude is responsive to DBS effects (effect size </w:t>
      </w:r>
      <w:r>
        <w:rPr>
          <w:i w:val="0"/>
          <w:iCs w:val="0"/>
        </w:rPr>
        <w:t>0.86</w:t>
      </w:r>
      <w:r w:rsidRPr="00D8666A">
        <w:rPr>
          <w:i w:val="0"/>
          <w:iCs w:val="0"/>
        </w:rPr>
        <w:t xml:space="preserve"> Mediapipe, 0.</w:t>
      </w:r>
      <w:r>
        <w:rPr>
          <w:i w:val="0"/>
          <w:iCs w:val="0"/>
        </w:rPr>
        <w:t>89</w:t>
      </w:r>
      <w:r w:rsidRPr="00D8666A">
        <w:rPr>
          <w:i w:val="0"/>
          <w:iCs w:val="0"/>
        </w:rPr>
        <w:t xml:space="preserve"> motion capture, p&lt; .</w:t>
      </w:r>
      <w:r>
        <w:rPr>
          <w:i w:val="0"/>
          <w:iCs w:val="0"/>
        </w:rPr>
        <w:t>05</w:t>
      </w:r>
      <w:r w:rsidRPr="00D8666A">
        <w:rPr>
          <w:i w:val="0"/>
          <w:iCs w:val="0"/>
        </w:rPr>
        <w:t xml:space="preserve">). </w:t>
      </w:r>
      <w:r w:rsidRPr="00573AA0">
        <w:rPr>
          <w:b/>
          <w:bCs/>
          <w:i w:val="0"/>
          <w:iCs w:val="0"/>
        </w:rPr>
        <w:t>F</w:t>
      </w:r>
      <w:r w:rsidRPr="00D8666A">
        <w:rPr>
          <w:i w:val="0"/>
          <w:iCs w:val="0"/>
        </w:rPr>
        <w:t xml:space="preserve"> </w:t>
      </w:r>
      <w:r>
        <w:rPr>
          <w:i w:val="0"/>
          <w:iCs w:val="0"/>
        </w:rPr>
        <w:t>Mediapipe-derived p</w:t>
      </w:r>
      <w:r w:rsidRPr="00D8666A">
        <w:rPr>
          <w:i w:val="0"/>
          <w:iCs w:val="0"/>
        </w:rPr>
        <w:t xml:space="preserve">eak and mean </w:t>
      </w:r>
      <w:r>
        <w:rPr>
          <w:i w:val="0"/>
          <w:iCs w:val="0"/>
        </w:rPr>
        <w:t>kinetic</w:t>
      </w:r>
      <w:r w:rsidRPr="00D8666A">
        <w:rPr>
          <w:i w:val="0"/>
          <w:iCs w:val="0"/>
        </w:rPr>
        <w:t xml:space="preserve"> amplitude measurements are strongly correlated</w:t>
      </w:r>
      <w:r>
        <w:rPr>
          <w:i w:val="0"/>
          <w:iCs w:val="0"/>
        </w:rPr>
        <w:t xml:space="preserve"> (0.89, p&lt; .001).</w:t>
      </w:r>
    </w:p>
    <w:p w14:paraId="43F0A702" w14:textId="77777777" w:rsidR="00F470CD" w:rsidRDefault="00F470CD" w:rsidP="00F470CD">
      <w:pPr>
        <w:pStyle w:val="Heading2"/>
      </w:pPr>
      <w:r w:rsidRPr="004C7F6F">
        <w:rPr>
          <w:noProof/>
        </w:rPr>
        <w:drawing>
          <wp:inline distT="0" distB="0" distL="0" distR="0" wp14:anchorId="736298C0" wp14:editId="288B060C">
            <wp:extent cx="5712143" cy="3123634"/>
            <wp:effectExtent l="0" t="0" r="3175" b="0"/>
            <wp:docPr id="1657921923" name="Grafik 1657921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9683" cy="3133226"/>
                    </a:xfrm>
                    <a:prstGeom prst="rect">
                      <a:avLst/>
                    </a:prstGeom>
                    <a:noFill/>
                  </pic:spPr>
                </pic:pic>
              </a:graphicData>
            </a:graphic>
          </wp:inline>
        </w:drawing>
      </w:r>
    </w:p>
    <w:p w14:paraId="0243C14F" w14:textId="77777777" w:rsidR="00F470CD" w:rsidRPr="004C7F6F" w:rsidRDefault="00F470CD" w:rsidP="00F470CD">
      <w:pPr>
        <w:pStyle w:val="Caption"/>
        <w:jc w:val="both"/>
        <w:rPr>
          <w:i w:val="0"/>
          <w:iCs w:val="0"/>
          <w:lang w:val="en-US"/>
        </w:rPr>
      </w:pPr>
      <w:r>
        <w:t xml:space="preserve">Supplementary Figure </w:t>
      </w:r>
      <w:r>
        <w:fldChar w:fldCharType="begin"/>
      </w:r>
      <w:r>
        <w:instrText xml:space="preserve"> SEQ Supplementary_Figure \* ARABIC </w:instrText>
      </w:r>
      <w:r>
        <w:fldChar w:fldCharType="separate"/>
      </w:r>
      <w:r>
        <w:rPr>
          <w:noProof/>
        </w:rPr>
        <w:t>5</w:t>
      </w:r>
      <w:r>
        <w:rPr>
          <w:noProof/>
        </w:rPr>
        <w:fldChar w:fldCharType="end"/>
      </w:r>
      <w:r>
        <w:t xml:space="preserve">. </w:t>
      </w:r>
      <w:r w:rsidRPr="005743E2">
        <w:rPr>
          <w:b/>
          <w:bCs/>
          <w:i w:val="0"/>
          <w:iCs w:val="0"/>
        </w:rPr>
        <w:t>Additional analyses in the retrospective cohort.</w:t>
      </w:r>
      <w:r w:rsidRPr="005743E2">
        <w:rPr>
          <w:i w:val="0"/>
          <w:iCs w:val="0"/>
        </w:rPr>
        <w:t xml:space="preserve"> </w:t>
      </w:r>
      <w:r w:rsidRPr="005743E2">
        <w:rPr>
          <w:b/>
          <w:bCs/>
          <w:i w:val="0"/>
          <w:iCs w:val="0"/>
        </w:rPr>
        <w:t>a</w:t>
      </w:r>
      <w:r w:rsidRPr="005743E2">
        <w:rPr>
          <w:i w:val="0"/>
          <w:iCs w:val="0"/>
        </w:rPr>
        <w:t xml:space="preserve"> Tremor score distributions broken down into experimental and treatment conditions. </w:t>
      </w:r>
      <w:r w:rsidRPr="005743E2">
        <w:rPr>
          <w:b/>
          <w:bCs/>
          <w:i w:val="0"/>
          <w:iCs w:val="0"/>
        </w:rPr>
        <w:t>b</w:t>
      </w:r>
      <w:r w:rsidRPr="005743E2">
        <w:rPr>
          <w:i w:val="0"/>
          <w:iCs w:val="0"/>
        </w:rPr>
        <w:t xml:space="preserve"> Mean postural tremor amplitudes are significantly and strongly correlated to clinical scores </w:t>
      </w:r>
      <w:r w:rsidRPr="004C7F6F">
        <w:rPr>
          <w:rFonts w:ascii="Calibri" w:eastAsia="Calibri" w:hAnsi="Calibri" w:cs="Calibri"/>
          <w:lang w:val="en-GB"/>
        </w:rPr>
        <w:t>(DLC-RCNN: rho= 0.73, p&lt; .001, MP: rho= 0.71, p&lt; .001)</w:t>
      </w:r>
      <w:r w:rsidRPr="005743E2">
        <w:rPr>
          <w:i w:val="0"/>
          <w:iCs w:val="0"/>
        </w:rPr>
        <w:t xml:space="preserve">, and </w:t>
      </w:r>
      <w:r w:rsidRPr="005743E2">
        <w:rPr>
          <w:b/>
          <w:bCs/>
          <w:i w:val="0"/>
          <w:iCs w:val="0"/>
        </w:rPr>
        <w:t>c</w:t>
      </w:r>
      <w:r w:rsidRPr="005743E2">
        <w:rPr>
          <w:i w:val="0"/>
          <w:iCs w:val="0"/>
        </w:rPr>
        <w:t xml:space="preserve"> responsive to DBS effect (</w:t>
      </w:r>
      <w:r w:rsidRPr="004C7F6F">
        <w:rPr>
          <w:rFonts w:ascii="Calibri" w:eastAsia="Calibri" w:hAnsi="Calibri" w:cs="Calibri"/>
          <w:lang w:val="en-GB"/>
        </w:rPr>
        <w:t>(DLC-RCNN: p&lt; .001, r= 0.57 (95% CI [0.45, 0.68], MP: p&lt; .001, r= 0.76 (95% CI [0.43, 0.91]</w:t>
      </w:r>
      <w:r w:rsidRPr="004C7F6F">
        <w:rPr>
          <w:i w:val="0"/>
          <w:iCs w:val="0"/>
          <w:lang w:val="en-US"/>
        </w:rPr>
        <w:t>)</w:t>
      </w:r>
      <w:r w:rsidRPr="005743E2">
        <w:rPr>
          <w:i w:val="0"/>
          <w:iCs w:val="0"/>
        </w:rPr>
        <w:t xml:space="preserve">. </w:t>
      </w:r>
      <w:r w:rsidRPr="005743E2">
        <w:rPr>
          <w:b/>
          <w:bCs/>
          <w:i w:val="0"/>
          <w:iCs w:val="0"/>
        </w:rPr>
        <w:t xml:space="preserve">d </w:t>
      </w:r>
      <w:r w:rsidRPr="005743E2">
        <w:rPr>
          <w:i w:val="0"/>
          <w:iCs w:val="0"/>
        </w:rPr>
        <w:t xml:space="preserve">DLC-RCNN-derived tremor frequencies are lower compared to Mediapipe. </w:t>
      </w:r>
      <w:r w:rsidRPr="005743E2">
        <w:rPr>
          <w:b/>
          <w:bCs/>
          <w:i w:val="0"/>
          <w:iCs w:val="0"/>
        </w:rPr>
        <w:t>e.</w:t>
      </w:r>
      <w:r w:rsidRPr="005743E2">
        <w:rPr>
          <w:i w:val="0"/>
          <w:iCs w:val="0"/>
        </w:rPr>
        <w:t xml:space="preserve"> Mean kinetic tremor amplitudes are responsive to DBS (</w:t>
      </w:r>
      <w:r w:rsidRPr="004C7F6F">
        <w:rPr>
          <w:rFonts w:ascii="Calibri" w:eastAsia="Calibri" w:hAnsi="Calibri" w:cs="Calibri"/>
          <w:lang w:val="en-GB"/>
        </w:rPr>
        <w:t xml:space="preserve">W= -435, p= .03, r= 0.36 (95% CI [0.11, 0.70]) </w:t>
      </w:r>
      <w:r w:rsidRPr="005743E2">
        <w:rPr>
          <w:i w:val="0"/>
          <w:iCs w:val="0"/>
        </w:rPr>
        <w:t>and moderately correlated to respective clinical scores (</w:t>
      </w:r>
      <w:r w:rsidRPr="004C7F6F">
        <w:rPr>
          <w:rFonts w:ascii="Calibri" w:eastAsia="Calibri" w:hAnsi="Calibri" w:cs="Calibri"/>
          <w:lang w:val="en-GB"/>
        </w:rPr>
        <w:t xml:space="preserve">rho= 0.48, p&lt; .001, </w:t>
      </w:r>
      <w:r w:rsidRPr="004C7F6F">
        <w:rPr>
          <w:rFonts w:ascii="Calibri" w:eastAsia="Calibri" w:hAnsi="Calibri" w:cs="Calibri"/>
          <w:b/>
          <w:bCs/>
          <w:lang w:val="en-GB"/>
        </w:rPr>
        <w:t>f</w:t>
      </w:r>
      <w:r w:rsidRPr="004C7F6F">
        <w:rPr>
          <w:rFonts w:ascii="Calibri" w:eastAsia="Calibri" w:hAnsi="Calibri" w:cs="Calibri"/>
          <w:lang w:val="en-GB"/>
        </w:rPr>
        <w:t>)</w:t>
      </w:r>
    </w:p>
    <w:p w14:paraId="7C5BB568" w14:textId="77777777" w:rsidR="00F470CD" w:rsidRPr="004C7F6F" w:rsidRDefault="00F470CD" w:rsidP="00F470CD">
      <w:pPr>
        <w:rPr>
          <w:lang w:val="en-US"/>
        </w:rPr>
      </w:pPr>
    </w:p>
    <w:p w14:paraId="654B6273" w14:textId="77777777" w:rsidR="00F470CD" w:rsidRPr="004C7F6F" w:rsidRDefault="00F470CD" w:rsidP="00F470CD">
      <w:pPr>
        <w:pStyle w:val="Heading2"/>
        <w:rPr>
          <w:lang w:val="en-US"/>
        </w:rPr>
      </w:pPr>
      <w:r w:rsidRPr="004C7F6F">
        <w:rPr>
          <w:lang w:val="en-US"/>
        </w:rPr>
        <w:t>Cohort characteristics</w:t>
      </w:r>
    </w:p>
    <w:p w14:paraId="180CB683" w14:textId="77777777" w:rsidR="00F470CD" w:rsidRPr="004C7F6F" w:rsidRDefault="00F470CD" w:rsidP="00F470CD">
      <w:pPr>
        <w:pStyle w:val="Heading3"/>
        <w:spacing w:line="360" w:lineRule="auto"/>
        <w:jc w:val="both"/>
        <w:rPr>
          <w:lang w:val="en-GB"/>
        </w:rPr>
      </w:pPr>
      <w:r w:rsidRPr="004C7F6F">
        <w:rPr>
          <w:lang w:val="en-GB"/>
        </w:rPr>
        <w:t>Retrospective cohort</w:t>
      </w:r>
    </w:p>
    <w:p w14:paraId="3AC2862C" w14:textId="77777777" w:rsidR="00F470CD" w:rsidRPr="004C7F6F" w:rsidRDefault="00F470CD" w:rsidP="00F470CD">
      <w:pPr>
        <w:spacing w:line="360" w:lineRule="auto"/>
        <w:jc w:val="both"/>
        <w:rPr>
          <w:lang w:val="en-GB"/>
        </w:rPr>
      </w:pPr>
      <w:r w:rsidRPr="004C7F6F">
        <w:rPr>
          <w:lang w:val="en-GB"/>
        </w:rPr>
        <w:t xml:space="preserve">Video material was available for </w:t>
      </w:r>
      <w:r>
        <w:rPr>
          <w:lang w:val="en-GB"/>
        </w:rPr>
        <w:t xml:space="preserve">a total of </w:t>
      </w:r>
      <w:r w:rsidRPr="004C7F6F">
        <w:rPr>
          <w:lang w:val="en-GB"/>
        </w:rPr>
        <w:t>n= 58 individuals. All patients received therapeutic deep brain stimulation (DBS) to the ventral intermediate nucleus (VIM) of the thalamus. 14 patients underwent DBS surgery at Wuerzburg University Hospital between 2016 and 2017 and the remaining 44 patients at Kiel University Hospital between 2003 and 2015</w:t>
      </w:r>
      <w:r w:rsidRPr="004C7F6F">
        <w:rPr>
          <w:lang w:val="en-GB"/>
        </w:rPr>
        <w:fldChar w:fldCharType="begin"/>
      </w:r>
      <w:r>
        <w:rPr>
          <w:lang w:val="en-GB"/>
        </w:rPr>
        <w:instrText xml:space="preserve"> ADDIN ZOTERO_ITEM CSL_CITATION {"citationID":"9l65liM8","properties":{"formattedCitation":"\\super 14,71,72\\nosupersub{}","plainCitation":"14,71,72","noteIndex":0},"citationItems":[{"id":"O1teipoB/pihs4XGM","uris":["http://zotero.org/users/local/PPdTUNu5/items/HVI3INV6"],"itemData":{"id":19,"type":"article-journal","abstract":"Patients with advanced stages of essential tremor frequently exhibit tandem gait ataxia with impaired balance control and imprecise foot placement, resembling patients with a cerebellar deficit. Thalamic deep brain stimulation, a surgical therapy for otherwise intractable cases, has been shown to improve tremor, but its impact on cerebellar-like gait difficulties remains to be elucidated. Eleven patients affected by essential tremor (five females; age 69.8 ± 3.9 years; disease duration 24.4 ± 11.2 years; follow-up after surgery 24.7 ± 20.3 months) were evaluated during the following conditions: stimulation off, stimulation on and supra-therapeutic stimulation. Ten age-matched healthy controls served as the comparison group. Locomotion by patients and controls was assessed with (i) overground gait and tandem gait; (ii) balance-assisted treadmill tandem gait and (iii) unassisted treadmill gait. The two treadmill paradigms were kinematically analysed using a 3D opto-electronic motion analysis system. Established clinical and kinesiological measures of ataxia were computed. During stimulation off, the patients exhibited ataxia in all assessment paradigms, which improved during stimulation on and worsened again during supra-therapeutic stimulation. During over ground tandem gait, patients had more missteps and slower gait velocities during stimulation off and supra-therapeutic stimulation than during stimulation on. During balance-assisted tandem gait, stimulation on reduced the temporospatial variability in foot trajectories to nearly normal values, while highly variable (ataxic) foot trajectories were observed during stimulation off and supra-therapeutic stimulation. During unassisted treadmill gait, stimulation on improved gait stability compared with stimulation off and supra-therapeutic stimulation, as demonstrated by increased gait velocity and ankle rotation. These improvements in ataxia were not a function of reduced tremor in the lower limbs or torso. In conclusion, we demonstrate the impact of thalamic stimulation on gait ataxia in patients with essential tremor with improvement by stimulation on and deterioration by supra-therapeutic stimulation, despite continued control of tremor. Thus, cerebellar dysfunction in these patients can be differentially modulated with optimal versus supra-therapeutic stimulation. The cerebellar movement disorder of essential tremor is due to a typical cerebellar deficit, not to trembling extremities. We hypothesize that deep brain stimulation affects two major regulating circuits: the cortico-thalamo-cortical loop for tremor reduction and the cerebello-thalamo-cortical pathway for ataxia reduction (stimulation on) and ataxia induction (supra-therapeutic stimulation).","container-title":"Brain","DOI":"10.1093/brain/awq267","ISSN":"0006-8950","issue":"12","journalAbbreviation":"Brain","page":"3635-3648","source":"Silverchair","title":"Gait ataxia in essential tremor is differentially modulated by thalamic stimulation","volume":"133","author":[{"family":"Fasano","given":"Alfonso"},{"family":"Herzog","given":"Jan"},{"family":"Raethjen","given":"Jan"},{"family":"Rose","given":"Franziska E. M."},{"family":"Muthuraman","given":"Muthuraman"},{"family":"Volkmann","given":"Jens"},{"family":"Falk","given":"Daniela"},{"family":"Elble","given":"Rodger"},{"family":"Deuschl","given":"Günther"}],"issued":{"date-parts":[["2010",12,1]]}}},{"id":"O1teipoB/fxGtw6bw","uris":["http://zotero.org/users/local/PPdTUNu5/items/HNGRHHY2"],"itemData":{"id":15,"type":"article-journal","abstract":"Postural tremor is the leading symptom in essential tremor, but in some cases intention tremor and limb ataxia emerge and can become highly disabling features. Deep brain stimulation of the thalamus or subthalamic white matter improve tremor and ataxia; however, the underlying network mechanisms are enigmatic. To elucidate the mechanisms of deep brain stimulation in essential tremor, we pursued a multimodal approach combining kinematic measures of reach-to-grasp movements, clinical assessments, physiological measures of neuronal excitability and probabilistic tractography from diffusion tensor imaging. Seven patients with essential tremor (age 62.9 ± 10.3 years, two females) received thalamic deep brain stimulation and a clinical examination of severity of limb tremor and ataxia at off stimulation, using therapeutic and supratherapeutic stimulation parameters. A reach-to-grasp task based on acoustic cues was also performed. To examine the electrical properties of target structures, we determined the chronaxie of neural elements modulated. A control group of 13 healthy subjects (age 56 ± 7.6 years, five females) underwent whole-brain diffusion tensor imaging at 3 T. Probabilistic tractography was applied in healthy subjects from seeds in cerebellum and midbrain to reconstruct the connectivity pattern of the subthalamic area. The positions of stimulation electrodes in patients were transferred into probability maps and connectivity values were correlated to clinical outcome measures. Therapeutic stimulation improved ataxia and tremor mainly during the target period of the reaching paradigm (63% reduction compared with off stimulation). Notably the acceleration (29%) and deceleration periods (41%) were improved. By contrast, supratherapeutic stimulation worsened ataxia during the deceleration period with a 55% increase of spatial variability, while maintaining near complete suppression of tremor. Chronaxie measures were in the range of rapidly-conducting myelinated fibres with significantly different values for the anti-tremor effect of therapeutic stimulation (27 s) and the pro-ataxic effect of supratherapeutic stimulation (52 s). The degree of connectivity to the dentato-thalamic tract at the stimulating electrode correlated significantly with the reduction of tremor in the therapeutic condition. Our data suggest that stimulation induced tremor reduction and induction of ataxia by supratherapeutic stimulation are mediated by different fibre systems. Probalistic tractography identified the dentato-thalamic tract as a likely target of tremor suppression. Stimulation-induced ataxia may be caused by additional recruitment of adjacent fibre systems at higher amplitudes. Stimulation with short pulse duration may help to increase the therapeutic window and focus on the anti-tremor effect.","container-title":"Brain","DOI":"10.1093/brain/awt304","ISSN":"0006-8950","issue":"1","journalAbbreviation":"Brain","page":"109-121","source":"Silverchair","title":"Physiological and anatomical decomposition of subthalamic neurostimulation effects in essential tremor","volume":"137","author":[{"family":"Groppa","given":"Sergiu"},{"family":"Herzog","given":"Jan"},{"family":"Falk","given":"Daniela"},{"family":"Riedel","given":"Christian"},{"family":"Deuschl","given":"Günther"},{"family":"Volkmann","given":"Jens"}],"issued":{"date-parts":[["2014",1,1]]}}},{"id":"O1teipoB/G4LSm7zs","uris":["http://zotero.org/users/local/PPdTUNu5/items/GREHV592"],"itemData":{"id":21,"type":"article-journal","abstract":"Deep brain stimulation of the thalamus (thalamic DBS) is an established therapy for medically intractable essential tremor and tremor caused by multiple sclerosis. In both disorders, motor disability results from complex interaction between kinetic tremor and accompanying ataxia with voluntary movements. In clinical studies, the efficacy of thalamic DBS has been thoroughly assessed. However, the optimal anatomical target structure for neurostimulation is still debated and has never been analysed in conjunction with objective measurements of the different aspects of motor impairment. In 10 essential tremor and 11 multiple sclerosis patients, we analysed the effect of thalamic DBS through each contact of the quadripolar electrode on the contralateral tremor rating scale, accelerometry and kinematic measures of reach-to-grasp-movements. These measures were correlated with the anatomical position of the stimulating electrode in stereotactic space and in relation to nuclear boundaries derived from intraoperative microrecording.We found a significant impact of the stereotactic z-coordinate of stimulation contacts on the TRS, accelerometry total power and spatial deviation in the deceleration and target period of reach-to-grasp-movements. Most effective contacts clustered within the subthalamic area (STA) covering the posterior Zona incerta and prelemniscal radiation. Stimulation within this region led to a mean reduction of the lateralized tremor rating scale by 15.8 points which was significantly superior to stimulation within the thalamus (P &amp;lt; 0.05, student's t-test). STA stimulation resulted in reduction of the accelerometry total power by 99%, whereas stimulation at the ventral thalamic border (68%) or within the thalamus proper (2.5%) was significantly less effective (P &amp;lt; 0.01). Concomitantly, STA stimulation led to a significantly higher increase of tremor frequency and decrease in EMG synchronization compared to stimulation within the thalamus proper (P &amp;lt; 0.001). In reach-to-grasp movements, STA stimulation reduced the spatial variability of the movement path in the deceleration period by 28.9% and in the target period by 58.4%, whereas stimulation within the thalamus was again significantly less effective (P &amp;lt; 0.05), with a reduction in the deceleration period between 6.5 and 21.8% and in the target period between 1.2 and 11.3%. An analysis of the nuclear boundaries from intraoperative microrecording confirmed the anatomical impression that most effective electrodes were located within the STA.Our data demonstrate a profound effect of deep brain stimulation of the thalamic region on tremor and ataxia in essential tremor and tremor caused by multiple sclerosis. The better efficacy of stimulation within the STA compared to thalamus proper favours the concept of a modulation of cerebello–thalamic projections underlying the improvement of these symptoms.","container-title":"Brain","DOI":"10.1093/brain/awm077","ISSN":"0006-8950","issue":"6","journalAbbreviation":"Brain","page":"1608-1625","source":"Silverchair","title":"Kinematic analysis of thalamic versus subthalamic neurostimulation in postural and intention tremor","volume":"130","author":[{"family":"Herzog","given":"Jan"},{"family":"Hamel","given":"Wolfgang"},{"family":"Wenzelburger","given":"Roland"},{"family":"Pötter","given":"Monika"},{"family":"Pinsker","given":"Marcus O."},{"family":"Bartussek","given":"Jan"},{"family":"Morsnowski","given":"Andre"},{"family":"Steigerwald","given":"Frank"},{"family":"Deuschl","given":"Günther"},{"family":"Volkmann","given":"Jens"}],"issued":{"date-parts":[["2007",6,1]]}}}],"schema":"https://github.com/citation-style-language/schema/raw/master/csl-citation.json"} </w:instrText>
      </w:r>
      <w:r w:rsidRPr="004C7F6F">
        <w:rPr>
          <w:lang w:val="en-GB"/>
        </w:rPr>
        <w:fldChar w:fldCharType="separate"/>
      </w:r>
      <w:r w:rsidRPr="00843341">
        <w:rPr>
          <w:rFonts w:ascii="Calibri" w:hAnsi="Calibri" w:cs="Calibri"/>
          <w:szCs w:val="24"/>
          <w:vertAlign w:val="superscript"/>
        </w:rPr>
        <w:t>14,71,72</w:t>
      </w:r>
      <w:r w:rsidRPr="004C7F6F">
        <w:rPr>
          <w:lang w:val="en-GB"/>
        </w:rPr>
        <w:fldChar w:fldCharType="end"/>
      </w:r>
      <w:r w:rsidRPr="004C7F6F">
        <w:rPr>
          <w:lang w:val="en-GB"/>
        </w:rPr>
        <w:t xml:space="preserve">. </w:t>
      </w:r>
      <w:r>
        <w:rPr>
          <w:lang w:val="en-GB"/>
        </w:rPr>
        <w:t>All patients had received a diagnosis of essential tremor based on the 1998 consensus criteria of the Movement Disorders Society</w:t>
      </w:r>
      <w:r>
        <w:rPr>
          <w:lang w:val="en-GB"/>
        </w:rPr>
        <w:fldChar w:fldCharType="begin"/>
      </w:r>
      <w:r>
        <w:rPr>
          <w:lang w:val="en-GB"/>
        </w:rPr>
        <w:instrText xml:space="preserve"> ADDIN ZOTERO_ITEM CSL_CITATION {"citationID":"a2t5jqedjv","properties":{"formattedCitation":"\\super 73\\nosupersub{}","plainCitation":"73","noteIndex":0},"citationItems":[{"id":3259,"uris":["http://zotero.org/users/8302469/items/28TPYMIE"],"itemData":{"id":3259,"type":"article-journal","abstract":"This is a proposal of the Movement Disorder Society for a clinical classification of tremors. The classification is based on the distinction between rest, postural, simple kinetic, and intention tremor (tremor during target-directed movements). Additional data from a medical history and the results of a neurologic examination can be combined into one of the following clinical syndromes defined in this statement: enhanced physiologic tremor, classical essential tremor (ET), primary orthostatic tremor, task- and position-specific tremors, dystonic tremor, tremor in Parkinson's disease (PD), cerebellar tremor, Holmes' tremor, palatal tremor, drug-induced and toxic tremor, tremor in peripheral neuropathies, or psychogenic tremor. Conditions such as asterixis, epilepsia partialis continua, clonus, and rhythmic myoclonus can be misinterpreted as tremor. The features distinguishing these conditions from tremor are described. Controversial issues are outlined in a comment section for each item and thus reflect the open questions that at present cannot be answered on a scientific basis. We hope that this statement provides a basis for better communication among clinicians working in the field and stimulates tremor research.","container-title":"Movement Disorders","DOI":"10.1002/mds.870131303","ISSN":"1531-8257","issue":"S3","language":"en","license":"Copyright © 1998 Movement Disorders Society","note":"_eprint: https://onlinelibrary.wiley.com/doi/pdf/10.1002/mds.870131303","page":"2-23","source":"Wiley Online Library","title":"Consensus Statement of the Movement Disorder Society on Tremor","volume":"13","author":[{"family":"Deuschl","given":"Günther"},{"family":"Bain","given":"Peter"},{"family":"Brin","given":"Mitchell"},{"family":"Committee","given":"Ad Hoc Scientific"}],"issued":{"date-parts":[["1998"]]}}}],"schema":"https://github.com/citation-style-language/schema/raw/master/csl-citation.json"} </w:instrText>
      </w:r>
      <w:r>
        <w:rPr>
          <w:lang w:val="en-GB"/>
        </w:rPr>
        <w:fldChar w:fldCharType="separate"/>
      </w:r>
      <w:r w:rsidRPr="00843341">
        <w:rPr>
          <w:rFonts w:ascii="Calibri" w:hAnsi="Calibri" w:cs="Calibri"/>
          <w:szCs w:val="24"/>
          <w:vertAlign w:val="superscript"/>
        </w:rPr>
        <w:t>73</w:t>
      </w:r>
      <w:r>
        <w:rPr>
          <w:lang w:val="en-GB"/>
        </w:rPr>
        <w:fldChar w:fldCharType="end"/>
      </w:r>
      <w:r>
        <w:rPr>
          <w:lang w:val="en-GB"/>
        </w:rPr>
        <w:t xml:space="preserve">. </w:t>
      </w:r>
      <w:r w:rsidRPr="004C7F6F">
        <w:rPr>
          <w:lang w:val="en-GB"/>
        </w:rPr>
        <w:t>Post-operative follow-up examinations were conducted after a mean of 25.8 ± 20.8 months postoperatively at each patient’s optimal clinical stimulation settings. Participants were video</w:t>
      </w:r>
      <w:r>
        <w:rPr>
          <w:lang w:val="en-GB"/>
        </w:rPr>
        <w:t xml:space="preserve"> </w:t>
      </w:r>
      <w:r w:rsidRPr="004C7F6F">
        <w:rPr>
          <w:lang w:val="en-GB"/>
        </w:rPr>
        <w:t>recorded whilst seated in a clinic room with standard ambient lighting. All videos were collected using various consumer grade, handheld or tripod mounted cameras in the context of standard clinical care to document the severity of postural and kinetic tremor components. Spatiotemporal video resolution was at least 25 Hz and 320 x 238 pixels (px), respectively. The Fahn-Tolosa-Marin Tremor Rating Scale (FTM) was formally administered by movement disorders specialists, as described in the original publications of the cohorts</w:t>
      </w:r>
      <w:r w:rsidRPr="004C7F6F">
        <w:rPr>
          <w:lang w:val="en-GB"/>
        </w:rPr>
        <w:fldChar w:fldCharType="begin"/>
      </w:r>
      <w:r>
        <w:rPr>
          <w:lang w:val="en-GB"/>
        </w:rPr>
        <w:instrText xml:space="preserve"> ADDIN ZOTERO_ITEM CSL_CITATION {"citationID":"u0UenH2p","properties":{"formattedCitation":"\\super 14,71,72,74\\nosupersub{}","plainCitation":"14,71,72,74","noteIndex":0},"citationItems":[{"id":"O1teipoB/pihs4XGM","uris":["http://zotero.org/users/local/PPdTUNu5/items/HVI3INV6"],"itemData":{"id":"iMAxuFuZ/GbnMf5fV","type":"article-journal","abstract":"Patients with advanced stages of essential tremor frequently exhibit tandem gait ataxia with impaired balance control and imprecise foot placement, resembling patients with a cerebellar deficit. Thalamic deep brain stimulation, a surgical therapy for otherwise intractable cases, has been shown to improve tremor, but its impact on cerebellar-like gait difficulties remains to be elucidated. Eleven patients affected by essential tremor (five females; age 69.8 ± 3.9 years; disease duration 24.4 ± 11.2 years; follow-up after surgery 24.7 ± 20.3 months) were evaluated during the following conditions: stimulation off, stimulation on and supra-therapeutic stimulation. Ten age-matched healthy controls served as the comparison group. Locomotion by patients and controls was assessed with (i) overground gait and tandem gait; (ii) balance-assisted treadmill tandem gait and (iii) unassisted treadmill gait. The two treadmill paradigms were kinematically analysed using a 3D opto-electronic motion analysis system. Established clinical and kinesiological measures of ataxia were computed. During stimulation off, the patients exhibited ataxia in all assessment paradigms, which improved during stimulation on and worsened again during supra-therapeutic stimulation. During over ground tandem gait, patients had more missteps and slower gait velocities during stimulation off and supra-therapeutic stimulation than during stimulation on. During balance-assisted tandem gait, stimulation on reduced the temporospatial variability in foot trajectories to nearly normal values, while highly variable (ataxic) foot trajectories were observed during stimulation off and supra-therapeutic stimulation. During unassisted treadmill gait, stimulation on improved gait stability compared with stimulation off and supra-therapeutic stimulation, as demonstrated by increased gait velocity and ankle rotation. These improvements in ataxia were not a function of reduced tremor in the lower limbs or torso. In conclusion, we demonstrate the impact of thalamic stimulation on gait ataxia in patients with essential tremor with improvement by stimulation on and deterioration by supra-therapeutic stimulation, despite continued control of tremor. Thus, cerebellar dysfunction in these patients can be differentially modulated with optimal versus supra-therapeutic stimulation. The cerebellar movement disorder of essential tremor is due to a typical cerebellar deficit, not to trembling extremities. We hypothesize that deep brain stimulation affects two major regulating circuits: the cortico-thalamo-cortical loop for tremor reduction and the cerebello-thalamo-cortical pathway for ataxia reduction (stimulation on) and ataxia induction (supra-therapeutic stimulation).","container-title":"Brain","DOI":"10.1093/brain/awq267","ISSN":"0006-8950","issue":"12","journalAbbreviation":"Brain","page":"3635-3648","source":"Silverchair","title":"Gait ataxia in essential tremor is differentially modulated by thalamic stimulation","volume":"133","author":[{"family":"Fasano","given":"Alfonso"},{"family":"Herzog","given":"Jan"},{"family":"Raethjen","given":"Jan"},{"family":"Rose","given":"Franziska E. M."},{"family":"Muthuraman","given":"Muthuraman"},{"family":"Volkmann","given":"Jens"},{"family":"Falk","given":"Daniela"},{"family":"Elble","given":"Rodger"},{"family":"Deuschl","given":"Günther"}],"issued":{"date-parts":[["2010",12,1]]}}},{"id":"O1teipoB/fxGtw6bw","uris":["http://zotero.org/users/local/PPdTUNu5/items/HNGRHHY2"],"itemData":{"id":"iMAxuFuZ/qJSOSHel","type":"article-journal","abstract":"Postural tremor is the leading symptom in essential tremor, but in some cases intention tremor and limb ataxia emerge and can become highly disabling features. Deep brain stimulation of the thalamus or subthalamic white matter improve tremor and ataxia; however, the underlying network mechanisms are enigmatic. To elucidate the mechanisms of deep brain stimulation in essential tremor, we pursued a multimodal approach combining kinematic measures of reach-to-grasp movements, clinical assessments, physiological measures of neuronal excitability and probabilistic tractography from diffusion tensor imaging. Seven patients with essential tremor (age 62.9 ± 10.3 years, two females) received thalamic deep brain stimulation and a clinical examination of severity of limb tremor and ataxia at off stimulation, using therapeutic and supratherapeutic stimulation parameters. A reach-to-grasp task based on acoustic cues was also performed. To examine the electrical properties of target structures, we determined the chronaxie of neural elements modulated. A control group of 13 healthy subjects (age 56 ± 7.6 years, five females) underwent whole-brain diffusion tensor imaging at 3 T. Probabilistic tractography was applied in healthy subjects from seeds in cerebellum and midbrain to reconstruct the connectivity pattern of the subthalamic area. The positions of stimulation electrodes in patients were transferred into probability maps and connectivity values were correlated to clinical outcome measures. Therapeutic stimulation improved ataxia and tremor mainly during the target period of the reaching paradigm (63% reduction compared with off stimulation). Notably the acceleration (29%) and deceleration periods (41%) were improved. By contrast, supratherapeutic stimulation worsened ataxia during the deceleration period with a 55% increase of spatial variability, while maintaining near complete suppression of tremor. Chronaxie measures were in the range of rapidly-conducting myelinated fibres with significantly different values for the anti-tremor effect of therapeutic stimulation (27 s) and the pro-ataxic effect of supratherapeutic stimulation (52 s). The degree of connectivity to the dentato-thalamic tract at the stimulating electrode correlated significantly with the reduction of tremor in the therapeutic condition. Our data suggest that stimulation induced tremor reduction and induction of ataxia by supratherapeutic stimulation are mediated by different fibre systems. Probalistic tractography identified the dentato-thalamic tract as a likely target of tremor suppression. Stimulation-induced ataxia may be caused by additional recruitment of adjacent fibre systems at higher amplitudes. Stimulation with short pulse duration may help to increase the therapeutic window and focus on the anti-tremor effect.","container-title":"Brain","DOI":"10.1093/brain/awt304","ISSN":"0006-8950","issue":"1","journalAbbreviation":"Brain","page":"109-121","source":"Silverchair","title":"Physiological and anatomical decomposition of subthalamic neurostimulation effects in essential tremor","volume":"137","author":[{"family":"Groppa","given":"Sergiu"},{"family":"Herzog","given":"Jan"},{"family":"Falk","given":"Daniela"},{"family":"Riedel","given":"Christian"},{"family":"Deuschl","given":"Günther"},{"family":"Volkmann","given":"Jens"}],"issued":{"date-parts":[["2014",1,1]]}}},{"id":"O1teipoB/G4LSm7zs","uris":["http://zotero.org/users/local/PPdTUNu5/items/GREHV592"],"itemData":{"id":"iMAxuFuZ/Z4418f8A","type":"article-journal","abstract":"Deep brain stimulation of the thalamus (thalamic DBS) is an established therapy for medically intractable essential tremor and tremor caused by multiple sclerosis. In both disorders, motor disability results from complex interaction between kinetic tremor and accompanying ataxia with voluntary movements. In clinical studies, the efficacy of thalamic DBS has been thoroughly assessed. However, the optimal anatomical target structure for neurostimulation is still debated and has never been analysed in conjunction with objective measurements of the different aspects of motor impairment. In 10 essential tremor and 11 multiple sclerosis patients, we analysed the effect of thalamic DBS through each contact of the quadripolar electrode on the contralateral tremor rating scale, accelerometry and kinematic measures of reach-to-grasp-movements. These measures were correlated with the anatomical position of the stimulating electrode in stereotactic space and in relation to nuclear boundaries derived from intraoperative microrecording.We found a significant impact of the stereotactic z-coordinate of stimulation contacts on the TRS, accelerometry total power and spatial deviation in the deceleration and target period of reach-to-grasp-movements. Most effective contacts clustered within the subthalamic area (STA) covering the posterior Zona incerta and prelemniscal radiation. Stimulation within this region led to a mean reduction of the lateralized tremor rating scale by 15.8 points which was significantly superior to stimulation within the thalamus (P &amp;lt; 0.05, student's t-test). STA stimulation resulted in reduction of the accelerometry total power by 99%, whereas stimulation at the ventral thalamic border (68%) or within the thalamus proper (2.5%) was significantly less effective (P &amp;lt; 0.01). Concomitantly, STA stimulation led to a significantly higher increase of tremor frequency and decrease in EMG synchronization compared to stimulation within the thalamus proper (P &amp;lt; 0.001). In reach-to-grasp movements, STA stimulation reduced the spatial variability of the movement path in the deceleration period by 28.9% and in the target period by 58.4%, whereas stimulation within the thalamus was again significantly less effective (P &amp;lt; 0.05), with a reduction in the deceleration period between 6.5 and 21.8% and in the target period between 1.2 and 11.3%. An analysis of the nuclear boundaries from intraoperative microrecording confirmed the anatomical impression that most effective electrodes were located within the STA.Our data demonstrate a profound effect of deep brain stimulation of the thalamic region on tremor and ataxia in essential tremor and tremor caused by multiple sclerosis. The better efficacy of stimulation within the STA compared to thalamus proper favours the concept of a modulation of cerebello–thalamic projections underlying the improvement of these symptoms.","container-title":"Brain","DOI":"10.1093/brain/awm077","ISSN":"0006-8950","issue":"6","journalAbbreviation":"Brain","page":"1608-1625","source":"Silverchair","title":"Kinematic analysis of thalamic versus subthalamic neurostimulation in postural and intention tremor","volume":"130","author":[{"family":"Herzog","given":"Jan"},{"family":"Hamel","given":"Wolfgang"},{"family":"Wenzelburger","given":"Roland"},{"family":"Pötter","given":"Monika"},{"family":"Pinsker","given":"Marcus O."},{"family":"Bartussek","given":"Jan"},{"family":"Morsnowski","given":"Andre"},{"family":"Steigerwald","given":"Frank"},{"family":"Deuschl","given":"Günther"},{"family":"Volkmann","given":"Jens"}],"issued":{"date-parts":[["2007",6,1]]}}},{"id":"O1teipoB/BgPhTzlu","uris":["http://zotero.org/users/local/PPdTUNu5/items/9VPVHQNJ"],"itemData":{"id":1,"type":"article-journal","page":"271-280","source":"ResearchGate","title":"Clinical Rating Scale for Tremor","volume":"2","author":[{"family":"Fahn","given":"S."},{"family":"Tolosa","given":"Eduard"},{"family":"Marin","given":"C."}],"issued":{"date-parts":[["1988",1,1]]}}}],"schema":"https://github.com/citation-style-language/schema/raw/master/csl-citation.json"} </w:instrText>
      </w:r>
      <w:r w:rsidRPr="004C7F6F">
        <w:rPr>
          <w:lang w:val="en-GB"/>
        </w:rPr>
        <w:fldChar w:fldCharType="separate"/>
      </w:r>
      <w:r w:rsidRPr="00843341">
        <w:rPr>
          <w:rFonts w:ascii="Calibri" w:hAnsi="Calibri" w:cs="Calibri"/>
          <w:szCs w:val="24"/>
          <w:vertAlign w:val="superscript"/>
        </w:rPr>
        <w:t>14,71,72,74</w:t>
      </w:r>
      <w:r w:rsidRPr="004C7F6F">
        <w:rPr>
          <w:lang w:val="en-GB"/>
        </w:rPr>
        <w:fldChar w:fldCharType="end"/>
      </w:r>
      <w:r w:rsidRPr="004C7F6F">
        <w:rPr>
          <w:lang w:val="en-GB"/>
        </w:rPr>
        <w:t xml:space="preserve">. Separate video segments showing the assessment of postural tremor (arms in front of chest, “wing-beating position”, fingertips facing each other but not touching) and kinetic tremor (minimum of three repetitions of finger-to-nose-test on both sides) were identified. Clinical score distributions are shown in </w:t>
      </w:r>
      <w:r>
        <w:rPr>
          <w:lang w:val="en-GB"/>
        </w:rPr>
        <w:t>S</w:t>
      </w:r>
      <w:r w:rsidRPr="004C7F6F">
        <w:rPr>
          <w:lang w:val="en-GB"/>
        </w:rPr>
        <w:t xml:space="preserve">upplementary </w:t>
      </w:r>
      <w:r>
        <w:rPr>
          <w:lang w:val="en-GB"/>
        </w:rPr>
        <w:t>F</w:t>
      </w:r>
      <w:r w:rsidRPr="004C7F6F">
        <w:rPr>
          <w:lang w:val="en-GB"/>
        </w:rPr>
        <w:t xml:space="preserve">igure </w:t>
      </w:r>
      <w:r>
        <w:rPr>
          <w:lang w:val="en-GB"/>
        </w:rPr>
        <w:t>5A</w:t>
      </w:r>
      <w:r w:rsidRPr="004C7F6F">
        <w:rPr>
          <w:lang w:val="en-GB"/>
        </w:rPr>
        <w:t>.</w:t>
      </w:r>
    </w:p>
    <w:p w14:paraId="53A223DE" w14:textId="77777777" w:rsidR="00F470CD" w:rsidRPr="004C7F6F" w:rsidRDefault="00F470CD" w:rsidP="00F470CD">
      <w:pPr>
        <w:pStyle w:val="Heading4"/>
        <w:spacing w:line="360" w:lineRule="auto"/>
        <w:jc w:val="both"/>
        <w:rPr>
          <w:lang w:val="en-GB"/>
        </w:rPr>
      </w:pPr>
      <w:r w:rsidRPr="004C7F6F">
        <w:rPr>
          <w:lang w:val="en-GB"/>
        </w:rPr>
        <w:t>Video quality criteria</w:t>
      </w:r>
    </w:p>
    <w:p w14:paraId="0E46EC58" w14:textId="77777777" w:rsidR="00F470CD" w:rsidRPr="004C7F6F" w:rsidRDefault="00F470CD" w:rsidP="00F470CD">
      <w:pPr>
        <w:spacing w:line="360" w:lineRule="auto"/>
        <w:jc w:val="both"/>
        <w:rPr>
          <w:lang w:val="en-GB"/>
        </w:rPr>
      </w:pPr>
      <w:r w:rsidRPr="004C7F6F">
        <w:rPr>
          <w:lang w:val="en-GB"/>
        </w:rPr>
        <w:t>Video quality criteria were utilized to optimally balance standardization, robustness and broad applicability. Videos were excluded for computer vision analysis if the hands left the frame and if excessive camera movements or zooming were present. These criteria reflect a practical consensus synthesized from previous work in computer vision for movement analysis</w:t>
      </w:r>
      <w:r w:rsidRPr="004C7F6F">
        <w:rPr>
          <w:lang w:val="en-GB"/>
        </w:rPr>
        <w:fldChar w:fldCharType="begin"/>
      </w:r>
      <w:r>
        <w:rPr>
          <w:lang w:val="en-GB"/>
        </w:rPr>
        <w:instrText xml:space="preserve"> ADDIN ZOTERO_ITEM CSL_CITATION {"citationID":"TTuRKALb","properties":{"formattedCitation":"\\super 23,27,28,33\\nosupersub{}","plainCitation":"23,27,28,33","noteIndex":0},"citationItems":[{"id":1574,"uris":["http://zotero.org/users/8302469/items/U3ZPPIQD"],"itemData":{"id":1574,"type":"article-journal","abstract":"Eye movement abnormalities are commonplace in neurological disorders. However, unaided eye movement assessments lack granularity. Although videooculography (VOG) improves diagnostic accuracy, resource intensiveness precludes its broad use. To bridge this care gap, we here validate a framework for smartphone video-based nystagmography capitalizing on recent computer vision advances.","container-title":"Journal of Neurology","DOI":"10.1007/s00415-022-11493-1","ISSN":"1432-1459","journalAbbreviation":"J Neurol","language":"en","source":"Springer Link","title":"Smartphone video nystagmography using convolutional neural networks: ConVNG","title-short":"Smartphone video nystagmography using convolutional neural networks","URL":"https://doi.org/10.1007/s00415-022-11493-1","author":[{"family":"Friedrich","given":"Maximilian U."},{"family":"Schneider","given":"Erich"},{"family":"Buerklein","given":"Miriam"},{"family":"Taeger","given":"Johannes"},{"family":"Hartig","given":"Johannes"},{"family":"Volkmann","given":"Jens"},{"family":"Peach","given":"Robert"},{"family":"Zeller","given":"Daniel"}],"accessed":{"date-parts":[["2022",11,29]]},"issued":{"date-parts":[["2022",11,23]]}}},{"id":1927,"uris":["http://zotero.org/groups/5030791/items/S9ZNKYM4"],"itemData":{"id":1927,"type":"article","abstract":"Over the last decade, computer science has made progress towards extracting body pose from single camera photographs or videos. This promises to enable movement science to detect disease, quantify movement performance, and take the science out of the lab into the real world. However, current pose tracking algorithms fall short of the needs of movement science; the types of movement data that matter are poorly estimated. For instance, the metrics currently used for evaluating pose tracking algorithms use noisy hand-labeled ground truth data and do not prioritize precision of relevant variables like three-dimensional position, velocity, acceleration, and forces which are crucial for movement science. Here, we introduce the scientific disciplines that use movement data, the types of data they need, and discuss the changes needed to make pose tracking truly transformative for movement science.","DOI":"10.48550/arXiv.1907.10226","note":"arXiv:1907.10226 [cs, q-bio]","number":"arXiv:1907.10226","publisher":"arXiv","source":"arXiv.org","title":"Movement science needs different pose tracking algorithms","URL":"http://arxiv.org/abs/1907.10226","author":[{"family":"Seethapathi","given":"Nidhi"},{"family":"Wang","given":"Shaofei"},{"family":"Saluja","given":"Rachit"},{"family":"Blohm","given":"Gunnar"},{"family":"Kording","given":"Konrad P."}],"accessed":{"date-parts":[["2023",4,18]]},"issued":{"date-parts":[["2019",7,23]]}}},{"id":1230,"uris":["http://zotero.org/users/8302469/items/BAA8623B"],"itemData":{"id":1230,"type":"article-journal","abstract":"Background Computer vision can measure movement from video without the time and access limitations of hospital accelerometry/electromyography or the requirement to hold or strap a smartphone accelerometer. Objective To compare computer vision measurement of hand tremor frequency from smartphone video with a gold standard measure accelerometer. Methods A total of 37 smartphone videos of hands, at rest and in posture, were recorded from 15 participants with tremor diagnoses (9 Parkinson's disease, 5 essential tremor, 1 functional tremor). Video pixel movement was measured using the computing technique of optical flow, with contemporaneous accelerometer recording. Fast Fourier transform and Bland-Altman analysis were applied. Tremor amplitude was scored by 2 clinicians. Results Bland-Altman analysis of dominant tremor frequency from smartphone video compared with accelerometer showed excellent agreement: 95% limits of agreement −0.38 Hz to +0.35 Hz. In 36 of 37 videos (97%), there was &lt;0.5 Hz difference between computer vision and accelerometer measurement. There was no significant correlation between the level of agreement and tremor amplitude. Conclusion The study suggests a potential new, contactless point-and-press measure of tremor frequency within standard clinical settings, research studies, or telemedicine.","container-title":"Movement Disorders Clinical Practice","DOI":"10.1002/mdc3.13119","ISSN":"2330-1619","issue":"1","language":"en","note":"_eprint: https://onlinelibrary.wiley.com/doi/pdf/10.1002/mdc3.13119","page":"69-75","source":"Wiley Online Library","title":"Accuracy of Smartphone Video for Contactless Measurement of Hand Tremor Frequency","volume":"8","author":[{"family":"Williams","given":"Stefan"},{"family":"Fang","given":"Hui"},{"family":"Relton","given":"Samuel D."},{"family":"Wong","given":"David C."},{"family":"Alam","given":"Taimour"},{"family":"Alty","given":"Jane E."}],"issued":{"date-parts":[["2021"]]}}},{"id":1936,"uris":["http://zotero.org/groups/5030791/items/KX5SMMZE"],"itemData":{"id":1936,"type":"article-journal","abstract":"Human gait analysis is often conducted in clinical and basic research, but many common approaches (e.g., three-dimensional motion capture, wearables) are expensive, immobile, data-limited, and require expertise. Recent advances in video-based pose estimation suggest potential for gait analysis using two-dimensional video collected from readily accessible devices (e.g., smartphones). To date, several studies have extracted features of human gait using markerless pose estimation. However, we currently lack evaluation of video-based approaches using a dataset of human gait for a wide range of gait parameters on a stride-by-stride basis and a workflow for performing gait analysis from video. Here, we compared spatiotemporal and sagittal kinematic gait parameters measured with OpenPose (open-source video-based human pose estimation) against simultaneously recorded three-dimensional motion capture from overground walking of healthy adults. When assessing all individual steps in the walking bouts, we observed mean absolute errors between motion capture and OpenPose of 0.02 s for temporal gait parameters (i.e., step time, stance time, swing time and double support time) and 0.049 m for step lengths. Accuracy improved when spatiotemporal gait parameters were calculated as individual participant mean values: mean absolute error was 0.01 s for temporal gait parameters and 0.018 m for step lengths. The greatest difference in gait speed between motion capture and OpenPose was less than 0.10 m s−1. Mean absolute error of sagittal plane hip, knee and ankle angles between motion capture and OpenPose were 4.0°, 5.6° and 7.4°. Our analysis workflow is freely available, involves minimal user input, and does not require prior gait analysis expertise. Finally, we offer suggestions and considerations for future applications of pose estimation for human gait analysis.","container-title":"PLOS Computational Biology","DOI":"10.1371/journal.pcbi.1008935","ISSN":"1553-7358","issue":"4","journalAbbreviation":"PLOS Computational Biology","language":"en","note":"publisher: Public Library of Science","page":"e1008935","source":"PLoS Journals","title":"Two-dimensional video-based analysis of human gait using pose estimation","volume":"17","author":[{"family":"Stenum","given":"Jan"},{"family":"Rossi","given":"Cristina"},{"family":"Roemmich","given":"Ryan T."}],"issued":{"date-parts":[["2021",4,23]]}}}],"schema":"https://github.com/citation-style-language/schema/raw/master/csl-citation.json"} </w:instrText>
      </w:r>
      <w:r w:rsidRPr="004C7F6F">
        <w:rPr>
          <w:lang w:val="en-GB"/>
        </w:rPr>
        <w:fldChar w:fldCharType="separate"/>
      </w:r>
      <w:r w:rsidRPr="00F22C28">
        <w:rPr>
          <w:rFonts w:ascii="Calibri" w:hAnsi="Calibri" w:cs="Calibri"/>
          <w:szCs w:val="24"/>
          <w:vertAlign w:val="superscript"/>
        </w:rPr>
        <w:t>23,27,28,33</w:t>
      </w:r>
      <w:r w:rsidRPr="004C7F6F">
        <w:rPr>
          <w:lang w:val="en-GB"/>
        </w:rPr>
        <w:fldChar w:fldCharType="end"/>
      </w:r>
      <w:r w:rsidRPr="004C7F6F">
        <w:rPr>
          <w:lang w:val="en-GB"/>
        </w:rPr>
        <w:t xml:space="preserve"> as well as exploratory pilot experiments preceding this study. Based on these criteria, n= 15 patients had to be excluded for postural and n= 33 patients for kinetic tremor tracking, leaving videos of n= 43 and n= 25 individuals for subsequent computer vision-based hand tracking in postural and kinetic conditions, respectively.</w:t>
      </w:r>
    </w:p>
    <w:p w14:paraId="51E5A6A3" w14:textId="77777777" w:rsidR="00F470CD" w:rsidRPr="004C7F6F" w:rsidRDefault="00F470CD" w:rsidP="00F470CD">
      <w:pPr>
        <w:pStyle w:val="Heading3"/>
        <w:spacing w:line="360" w:lineRule="auto"/>
        <w:jc w:val="both"/>
        <w:rPr>
          <w:lang w:val="en-GB"/>
        </w:rPr>
      </w:pPr>
      <w:r w:rsidRPr="004C7F6F">
        <w:rPr>
          <w:lang w:val="en-GB"/>
        </w:rPr>
        <w:t>Prospective cohort</w:t>
      </w:r>
    </w:p>
    <w:p w14:paraId="72369DAB" w14:textId="77777777" w:rsidR="00F470CD" w:rsidRPr="004C7F6F" w:rsidRDefault="00F470CD" w:rsidP="00F470CD">
      <w:pPr>
        <w:spacing w:line="360" w:lineRule="auto"/>
        <w:jc w:val="both"/>
        <w:rPr>
          <w:lang w:val="en-GB"/>
        </w:rPr>
      </w:pPr>
      <w:r w:rsidRPr="004C7F6F">
        <w:rPr>
          <w:lang w:val="en-GB"/>
        </w:rPr>
        <w:t xml:space="preserve">In order to validate the computer vision approaches across cohorts and methods, a cohort of n= 8 patients (age 54-83, mean, 4 female, 4 male) with a diagnosis of </w:t>
      </w:r>
      <w:r>
        <w:rPr>
          <w:lang w:val="en-GB"/>
        </w:rPr>
        <w:t>essential tremor</w:t>
      </w:r>
      <w:r w:rsidRPr="004C7F6F">
        <w:rPr>
          <w:lang w:val="en-GB"/>
        </w:rPr>
        <w:t xml:space="preserve"> based on the aforementioned consensus criteria as well as active VIM-DBS were recruited from the movement disorders clinics at the University Hospital Wuerzburg, department of Neurology, in 2021. Postoperative intervals to VIM-DBS implantation were 53.6 ± 33.3 months. </w:t>
      </w:r>
    </w:p>
    <w:p w14:paraId="344B9CE3" w14:textId="77777777" w:rsidR="00F470CD" w:rsidRPr="004C7F6F" w:rsidRDefault="00F470CD" w:rsidP="00F470CD">
      <w:pPr>
        <w:pStyle w:val="Heading4"/>
        <w:spacing w:line="360" w:lineRule="auto"/>
        <w:jc w:val="both"/>
        <w:rPr>
          <w:lang w:val="en-GB"/>
        </w:rPr>
      </w:pPr>
      <w:r w:rsidRPr="306DCA93">
        <w:rPr>
          <w:lang w:val="en-GB"/>
        </w:rPr>
        <w:t>Motion capture and accelerometery setup</w:t>
      </w:r>
    </w:p>
    <w:p w14:paraId="53CE7C5E" w14:textId="77777777" w:rsidR="00F470CD" w:rsidRPr="004C7F6F" w:rsidRDefault="00F470CD" w:rsidP="00F470CD">
      <w:pPr>
        <w:spacing w:line="360" w:lineRule="auto"/>
        <w:jc w:val="both"/>
        <w:rPr>
          <w:lang w:val="en-GB"/>
        </w:rPr>
      </w:pPr>
      <w:r w:rsidRPr="306DCA93">
        <w:rPr>
          <w:lang w:val="en-GB"/>
        </w:rPr>
        <w:t>A six-camera optoelectronic motion capture system (SMART-DX, BTS, Italy) operating at a temporal resolution of 100 Hz was used to track retroreflective markers placed bilaterally on the upper limbs’ ulnar styloid, lateral epicondyle of the humerus and the acromion, as previously described</w:t>
      </w:r>
      <w:r w:rsidRPr="306DCA93">
        <w:rPr>
          <w:lang w:val="en-GB"/>
        </w:rPr>
        <w:fldChar w:fldCharType="begin"/>
      </w:r>
      <w:r>
        <w:rPr>
          <w:lang w:val="en-GB"/>
        </w:rPr>
        <w:instrText xml:space="preserve"> ADDIN ZOTERO_ITEM CSL_CITATION {"citationID":"piQzHXJ5","properties":{"formattedCitation":"\\super 15\\nosupersub{}","plainCitation":"15","noteIndex":0},"citationItems":[{"id":2171,"uris":["http://zotero.org/users/8302469/items/BGUNRDBD"],"itemData":{"id":2171,"type":"article-journal","abstract":"Excessive beta-band oscillations in the subthalamic nucleus are key neural features of Parkinson’s disease. Yet the distinctive contributions of beta low and high bands, their dependency on striatal dopamine, and their correlates with movement kinematics are unclear. Here, we show that the movement phases of the reach-to-grasp motor task are coded by the subthalamic bursting activity in a maximally-informative beta high range. A strong, three-fold correlation linked beta high range bursts, imbalanced inter-hemispheric striatal dopaminergic tone, and impaired inter-joint movement coordination. These results provide new insight into the neural correlates of motor control in parkinsonian patients, paving the way for more informative use of beta-band features for adaptive deep brain stimulation devices.","container-title":"npj Parkinson's Disease","DOI":"10.1038/s41531-021-00187-6","ISSN":"2373-8057","issue":"1","journalAbbreviation":"npj Parkinsons Dis.","language":"en","license":"2021 The Author(s)","note":"number: 1\npublisher: Nature Publishing Group","page":"1-10","source":"www.nature.com","title":"Impaired reach-to-grasp kinematics in parkinsonian patients relates to dopamine-dependent, subthalamic beta bursts","volume":"7","author":[{"family":"Vissani","given":"Matteo"},{"family":"Palmisano","given":"Chiara"},{"family":"Volkmann","given":"Jens"},{"family":"Pezzoli","given":"Gianni"},{"family":"Micera","given":"Silvestro"},{"family":"Isaias","given":"Ioannis U."},{"family":"Mazzoni","given":"Alberto"}],"issued":{"date-parts":[["2021",6,29]]}}}],"schema":"https://github.com/citation-style-language/schema/raw/master/csl-citation.json"} </w:instrText>
      </w:r>
      <w:r w:rsidRPr="306DCA93">
        <w:rPr>
          <w:lang w:val="en-GB"/>
        </w:rPr>
        <w:fldChar w:fldCharType="separate"/>
      </w:r>
      <w:r w:rsidRPr="005C0BD8">
        <w:rPr>
          <w:rFonts w:ascii="Calibri" w:hAnsi="Calibri" w:cs="Calibri"/>
          <w:szCs w:val="24"/>
          <w:vertAlign w:val="superscript"/>
        </w:rPr>
        <w:t>15</w:t>
      </w:r>
      <w:r w:rsidRPr="306DCA93">
        <w:rPr>
          <w:lang w:val="en-GB"/>
        </w:rPr>
        <w:fldChar w:fldCharType="end"/>
      </w:r>
      <w:r w:rsidRPr="306DCA93">
        <w:rPr>
          <w:lang w:val="en-GB"/>
        </w:rPr>
        <w:t xml:space="preserve">. Two additional markers were placed on the middle and index fingertips’ dorsal heads for the assessment of postural and kinetic tremor, respectively. </w:t>
      </w:r>
      <w:r>
        <w:rPr>
          <w:lang w:val="en-GB"/>
        </w:rPr>
        <w:t>The signals</w:t>
      </w:r>
      <w:r w:rsidRPr="306DCA93">
        <w:rPr>
          <w:lang w:val="en-GB"/>
        </w:rPr>
        <w:t xml:space="preserve"> for postural and kinetic tremor</w:t>
      </w:r>
      <w:r>
        <w:rPr>
          <w:lang w:val="en-GB"/>
        </w:rPr>
        <w:t xml:space="preserve">s </w:t>
      </w:r>
      <w:r w:rsidRPr="306DCA93">
        <w:rPr>
          <w:lang w:val="en-GB"/>
        </w:rPr>
        <w:t>were</w:t>
      </w:r>
      <w:r>
        <w:rPr>
          <w:lang w:val="en-GB"/>
        </w:rPr>
        <w:t xml:space="preserve"> computed from the middle and index fingertips’ signals and</w:t>
      </w:r>
      <w:r w:rsidRPr="306DCA93">
        <w:rPr>
          <w:lang w:val="en-GB"/>
        </w:rPr>
        <w:t xml:space="preserve"> exported for subsequent computation of tremor characteristics. During all recording sessions, two inertial measurement units (Opal, APDM, USA; dimensions: </w:t>
      </w:r>
      <w:r w:rsidRPr="306DCA93">
        <w:rPr>
          <w:rFonts w:ascii="Calibri" w:eastAsia="Calibri" w:hAnsi="Calibri" w:cs="Calibri"/>
          <w:lang w:val="en-GB"/>
        </w:rPr>
        <w:t>48.5x36.5x13.5 mm; size: 22 g</w:t>
      </w:r>
      <w:r w:rsidRPr="306DCA93">
        <w:rPr>
          <w:lang w:val="en-GB"/>
        </w:rPr>
        <w:t>) were placed on the dorsum of both wrists. Tri-axial accelerometer data were used to measure tremor frequencies (sampling frequency: 128 Hz). To avoid potential interference of retroreflective markers with computer vision tracking, experiments were repeated without markers for sequential analysis, as previously described</w:t>
      </w:r>
      <w:r w:rsidRPr="306DCA93">
        <w:rPr>
          <w:lang w:val="en-GB"/>
        </w:rPr>
        <w:fldChar w:fldCharType="begin"/>
      </w:r>
      <w:r>
        <w:rPr>
          <w:lang w:val="en-GB"/>
        </w:rPr>
        <w:instrText xml:space="preserve"> ADDIN ZOTERO_ITEM CSL_CITATION {"citationID":"NISzDtE6","properties":{"formattedCitation":"\\super 27\\nosupersub{}","plainCitation":"27","noteIndex":0},"citationItems":[{"id":1574,"uris":["http://zotero.org/users/8302469/items/U3ZPPIQD"],"itemData":{"id":1574,"type":"article-journal","abstract":"Eye movement abnormalities are commonplace in neurological disorders. However, unaided eye movement assessments lack granularity. Although videooculography (VOG) improves diagnostic accuracy, resource intensiveness precludes its broad use. To bridge this care gap, we here validate a framework for smartphone video-based nystagmography capitalizing on recent computer vision advances.","container-title":"Journal of Neurology","DOI":"10.1007/s00415-022-11493-1","ISSN":"1432-1459","journalAbbreviation":"J Neurol","language":"en","source":"Springer Link","title":"Smartphone video nystagmography using convolutional neural networks: ConVNG","title-short":"Smartphone video nystagmography using convolutional neural networks","URL":"https://doi.org/10.1007/s00415-022-11493-1","author":[{"family":"Friedrich","given":"Maximilian U."},{"family":"Schneider","given":"Erich"},{"family":"Buerklein","given":"Miriam"},{"family":"Taeger","given":"Johannes"},{"family":"Hartig","given":"Johannes"},{"family":"Volkmann","given":"Jens"},{"family":"Peach","given":"Robert"},{"family":"Zeller","given":"Daniel"}],"accessed":{"date-parts":[["2022",11,29]]},"issued":{"date-parts":[["2022",11,23]]}}}],"schema":"https://github.com/citation-style-language/schema/raw/master/csl-citation.json"} </w:instrText>
      </w:r>
      <w:r w:rsidRPr="306DCA93">
        <w:rPr>
          <w:lang w:val="en-GB"/>
        </w:rPr>
        <w:fldChar w:fldCharType="separate"/>
      </w:r>
      <w:r w:rsidRPr="00F22C28">
        <w:rPr>
          <w:rFonts w:ascii="Calibri" w:hAnsi="Calibri" w:cs="Calibri"/>
          <w:szCs w:val="24"/>
          <w:vertAlign w:val="superscript"/>
        </w:rPr>
        <w:t>27</w:t>
      </w:r>
      <w:r w:rsidRPr="306DCA93">
        <w:rPr>
          <w:lang w:val="en-GB"/>
        </w:rPr>
        <w:fldChar w:fldCharType="end"/>
      </w:r>
      <w:r w:rsidRPr="306DCA93">
        <w:rPr>
          <w:lang w:val="en-GB"/>
        </w:rPr>
        <w:t>.</w:t>
      </w:r>
    </w:p>
    <w:p w14:paraId="3385FC10" w14:textId="77777777" w:rsidR="00F470CD" w:rsidRPr="004C7F6F" w:rsidRDefault="00F470CD" w:rsidP="00F470CD">
      <w:pPr>
        <w:pStyle w:val="Heading2"/>
        <w:rPr>
          <w:lang w:val="en-US"/>
        </w:rPr>
      </w:pPr>
      <w:r w:rsidRPr="004C7F6F">
        <w:rPr>
          <w:lang w:val="en-US"/>
        </w:rPr>
        <w:t>Fine-tuning a residual convolutional neural network for limb tracking</w:t>
      </w:r>
    </w:p>
    <w:p w14:paraId="3623CA74" w14:textId="77777777" w:rsidR="00F470CD" w:rsidRPr="004C7F6F" w:rsidRDefault="00F470CD" w:rsidP="00F470CD">
      <w:pPr>
        <w:spacing w:line="360" w:lineRule="auto"/>
        <w:jc w:val="both"/>
        <w:rPr>
          <w:lang w:val="en-GB"/>
        </w:rPr>
      </w:pPr>
      <w:r w:rsidRPr="004C7F6F">
        <w:rPr>
          <w:lang w:val="en-GB"/>
        </w:rPr>
        <w:t>Utilizing the open-source computer vision framework DeepLabCut (DLC)</w:t>
      </w:r>
      <w:r w:rsidRPr="004C7F6F">
        <w:rPr>
          <w:lang w:val="en-GB"/>
        </w:rPr>
        <w:fldChar w:fldCharType="begin"/>
      </w:r>
      <w:r>
        <w:rPr>
          <w:lang w:val="en-GB"/>
        </w:rPr>
        <w:instrText xml:space="preserve"> ADDIN ZOTERO_ITEM CSL_CITATION {"citationID":"5fj34SJZ","properties":{"formattedCitation":"\\super 44\\nosupersub{}","plainCitation":"44","noteIndex":0},"citationItems":[{"id":209,"uris":["http://zotero.org/users/8302469/items/7RP85EJ9"],"itemData":{"id":209,"type":"article-journal","abstract":"Noninvasive behavioral tracking of animals during experiments is critical to many scientific pursuits. Extracting the poses of animals without using markers is often essential to measuring behavioral effects in biomechanics, genetics, ethology, and neuroscience. However, extracting detailed poses without markers in dynamically changing backgrounds has been challenging. We recently introduced an open-source toolbox called DeepLabCut that builds on a state-of-the-art human pose-estimation algorithm to allow a user to train a deep neural network with limited training data to precisely track user-defined features that match human labeling accuracy. Here, we provide an updated toolbox, developed as a Python package, that includes new features such as graphical user interfaces (GUIs), performance improvements, and active-learning-based network refinement. We provide a step-by-step procedure for using DeepLabCut that guides the user in creating a tailored, reusable analysis pipeline with a graphical processing unit (GPU) in 1–12 h (depending on frame size). Additionally, we provide Docker environments and Jupyter Notebooks that can be run on cloud resources such as Google Colaboratory.","container-title":"Nature Protocols","DOI":"10.1038/s41596-019-0176-0","ISSN":"1750-2799","issue":"7","journalAbbreviation":"Nat Protoc","language":"en","license":"2019 The Author(s), under exclusive licence to Springer Nature Limited","note":"Bandiera_abtest: a\nCg_type: Nature Research Journals\nnumber: 7\nPrimary_atype: Protocols\npublisher: Nature Publishing Group\nSubject_term: Behavioural methods;Computational platforms and environments;Learning algorithms;Software\nSubject_term_id: behavioural-methods;computational-platforms-and-environments;learning-algorithms;software","page":"2152-2176","source":"www.nature.com","title":"Using DeepLabCut for 3D markerless pose estimation across species and behaviors","volume":"14","author":[{"family":"Nath","given":"Tanmay"},{"family":"Mathis","given":"Alexander"},{"family":"Chen","given":"An Chi"},{"family":"Patel","given":"Amir"},{"family":"Bethge","given":"Matthias"},{"family":"Mathis","given":"Mackenzie Weygandt"}],"issued":{"date-parts":[["2019",7]]}}}],"schema":"https://github.com/citation-style-language/schema/raw/master/csl-citation.json"} </w:instrText>
      </w:r>
      <w:r w:rsidRPr="004C7F6F">
        <w:rPr>
          <w:lang w:val="en-GB"/>
        </w:rPr>
        <w:fldChar w:fldCharType="separate"/>
      </w:r>
      <w:r w:rsidRPr="00F44C08">
        <w:rPr>
          <w:rFonts w:ascii="Calibri" w:hAnsi="Calibri" w:cs="Calibri"/>
          <w:szCs w:val="24"/>
          <w:vertAlign w:val="superscript"/>
        </w:rPr>
        <w:t>44</w:t>
      </w:r>
      <w:r w:rsidRPr="004C7F6F">
        <w:rPr>
          <w:lang w:val="en-GB"/>
        </w:rPr>
        <w:fldChar w:fldCharType="end"/>
      </w:r>
      <w:r w:rsidRPr="004C7F6F">
        <w:rPr>
          <w:lang w:val="en-GB"/>
        </w:rPr>
        <w:t>, a convolutional neural network (CNN) based on a residual network architecture (ResNet 50) was fine-tuned to track a total of 29 key anatomical landmarks of the upper body such as finger tips, ulnar styloid, radial epicondyle of the humerus and shoulder. In an iterative process, frames were extracted from a total of 202 clinical videos from 58 retrospective patients as well as 10 videos from 10 healthy controls performing the finger-to-nose test. These videos were deliberately taken in diverse video settings (perspective, lighting, background) to model variance typical to medical videography</w:t>
      </w:r>
      <w:r w:rsidRPr="004C7F6F">
        <w:rPr>
          <w:lang w:val="en-GB"/>
        </w:rPr>
        <w:fldChar w:fldCharType="begin"/>
      </w:r>
      <w:r>
        <w:rPr>
          <w:lang w:val="en-GB"/>
        </w:rPr>
        <w:instrText xml:space="preserve"> ADDIN ZOTERO_ITEM CSL_CITATION {"citationID":"Xb53nP3E","properties":{"formattedCitation":"\\super 27,75\\nosupersub{}","plainCitation":"27,75","noteIndex":0},"citationItems":[{"id":327,"uris":["http://zotero.org/users/8302469/items/HWHTH7P7"],"itemData":{"id":327,"type":"article-journal","abstract":"In the past several decades, the intricate neural networks of the human brain have inspired the further development of intelligent systems. Many disciplines, including the complex field of medicine, have taken advantage of the useful applications of artificial neural networks (ANNs). To review and provide a comprehensive introduction to artificial neural networks, as well as a general discussion of its recent applications in the medical field. A search of the PsycINFO, Google Scholar, PubMed, and University of Rhode Island Library databases from 1943 to 2017 was conducted for articles on artificial neural networks to describe (1) general introduction, (2) historical overview, (3) modern innovations, (4) current clinical applications, and (5) future applications of the field. The relevance of artificial neural networks has increased significantly over the past few decades as technology advances. Evidence from several studies demonstrates that artificial neural networks can be used to not only aid in the diagnosis, prognosis and treatment of major diseases, but can also aid in the advancement of the environment and community.","container-title":"Health and Technology","DOI":"10.1007/s12553-018-0244-4","ISSN":"2190-7196","issue":"1","journalAbbreviation":"Health Technol.","language":"en","page":"1-6","source":"Springer Link","title":"Artificial neural networks in medicine","volume":"9","author":[{"family":"Haglin","given":"Jack M."},{"family":"Jimenez","given":"Genesis"},{"family":"Eltorai","given":"Adam E. M."}],"issued":{"date-parts":[["2019",1,1]]}}},{"id":1574,"uris":["http://zotero.org/users/8302469/items/U3ZPPIQD"],"itemData":{"id":1574,"type":"article-journal","abstract":"Eye movement abnormalities are commonplace in neurological disorders. However, unaided eye movement assessments lack granularity. Although videooculography (VOG) improves diagnostic accuracy, resource intensiveness precludes its broad use. To bridge this care gap, we here validate a framework for smartphone video-based nystagmography capitalizing on recent computer vision advances.","container-title":"Journal of Neurology","DOI":"10.1007/s00415-022-11493-1","ISSN":"1432-1459","journalAbbreviation":"J Neurol","language":"en","source":"Springer Link","title":"Smartphone video nystagmography using convolutional neural networks: ConVNG","title-short":"Smartphone video nystagmography using convolutional neural networks","URL":"https://doi.org/10.1007/s00415-022-11493-1","author":[{"family":"Friedrich","given":"Maximilian U."},{"family":"Schneider","given":"Erich"},{"family":"Buerklein","given":"Miriam"},{"family":"Taeger","given":"Johannes"},{"family":"Hartig","given":"Johannes"},{"family":"Volkmann","given":"Jens"},{"family":"Peach","given":"Robert"},{"family":"Zeller","given":"Daniel"}],"accessed":{"date-parts":[["2022",11,29]]},"issued":{"date-parts":[["2022",11,23]]}}}],"schema":"https://github.com/citation-style-language/schema/raw/master/csl-citation.json"} </w:instrText>
      </w:r>
      <w:r w:rsidRPr="004C7F6F">
        <w:rPr>
          <w:lang w:val="en-GB"/>
        </w:rPr>
        <w:fldChar w:fldCharType="separate"/>
      </w:r>
      <w:r w:rsidRPr="00843341">
        <w:rPr>
          <w:rFonts w:ascii="Calibri" w:hAnsi="Calibri" w:cs="Calibri"/>
          <w:szCs w:val="24"/>
          <w:vertAlign w:val="superscript"/>
        </w:rPr>
        <w:t>27,75</w:t>
      </w:r>
      <w:r w:rsidRPr="004C7F6F">
        <w:rPr>
          <w:lang w:val="en-GB"/>
        </w:rPr>
        <w:fldChar w:fldCharType="end"/>
      </w:r>
      <w:r w:rsidRPr="004C7F6F">
        <w:rPr>
          <w:lang w:val="en-GB"/>
        </w:rPr>
        <w:t>. To further broaden the coverage of variability in regards to anthropomorphic, pose, lighting, background and other technical factors</w:t>
      </w:r>
      <w:r w:rsidRPr="004C7F6F">
        <w:rPr>
          <w:lang w:val="en-GB"/>
        </w:rPr>
        <w:fldChar w:fldCharType="begin"/>
      </w:r>
      <w:r>
        <w:rPr>
          <w:lang w:val="en-GB"/>
        </w:rPr>
        <w:instrText xml:space="preserve"> ADDIN ZOTERO_ITEM CSL_CITATION {"citationID":"WMJC51ay","properties":{"formattedCitation":"\\super 27\\nosupersub{}","plainCitation":"27","noteIndex":0},"citationItems":[{"id":1574,"uris":["http://zotero.org/users/8302469/items/U3ZPPIQD"],"itemData":{"id":1574,"type":"article-journal","abstract":"Eye movement abnormalities are commonplace in neurological disorders. However, unaided eye movement assessments lack granularity. Although videooculography (VOG) improves diagnostic accuracy, resource intensiveness precludes its broad use. To bridge this care gap, we here validate a framework for smartphone video-based nystagmography capitalizing on recent computer vision advances.","container-title":"Journal of Neurology","DOI":"10.1007/s00415-022-11493-1","ISSN":"1432-1459","journalAbbreviation":"J Neurol","language":"en","source":"Springer Link","title":"Smartphone video nystagmography using convolutional neural networks: ConVNG","title-short":"Smartphone video nystagmography using convolutional neural networks","URL":"https://doi.org/10.1007/s00415-022-11493-1","author":[{"family":"Friedrich","given":"Maximilian U."},{"family":"Schneider","given":"Erich"},{"family":"Buerklein","given":"Miriam"},{"family":"Taeger","given":"Johannes"},{"family":"Hartig","given":"Johannes"},{"family":"Volkmann","given":"Jens"},{"family":"Peach","given":"Robert"},{"family":"Zeller","given":"Daniel"}],"accessed":{"date-parts":[["2022",11,29]]},"issued":{"date-parts":[["2022",11,23]]}}}],"schema":"https://github.com/citation-style-language/schema/raw/master/csl-citation.json"} </w:instrText>
      </w:r>
      <w:r w:rsidRPr="004C7F6F">
        <w:rPr>
          <w:lang w:val="en-GB"/>
        </w:rPr>
        <w:fldChar w:fldCharType="separate"/>
      </w:r>
      <w:r w:rsidRPr="00F22C28">
        <w:rPr>
          <w:rFonts w:ascii="Calibri" w:hAnsi="Calibri" w:cs="Calibri"/>
          <w:szCs w:val="24"/>
          <w:vertAlign w:val="superscript"/>
        </w:rPr>
        <w:t>27</w:t>
      </w:r>
      <w:r w:rsidRPr="004C7F6F">
        <w:rPr>
          <w:lang w:val="en-GB"/>
        </w:rPr>
        <w:fldChar w:fldCharType="end"/>
      </w:r>
      <w:r w:rsidRPr="004C7F6F">
        <w:rPr>
          <w:lang w:val="en-GB"/>
        </w:rPr>
        <w:t xml:space="preserve">, a </w:t>
      </w:r>
      <w:r w:rsidRPr="004C7F6F">
        <w:rPr>
          <w:i/>
          <w:iCs/>
          <w:lang w:val="en-GB"/>
        </w:rPr>
        <w:t>k-Means</w:t>
      </w:r>
      <w:r w:rsidRPr="004C7F6F">
        <w:rPr>
          <w:lang w:val="en-GB"/>
        </w:rPr>
        <w:t xml:space="preserve"> algorithm was utilized for frame extraction from videos. Extracted frames were subsequently labelled by a trained annotator (AJR) and validated by an expert annotator (MF). In order to minimize labelling errors interfering with training efficiency, the labelled frames were plotted and checked for accuracy and plausibility before the annotated frame sets were passed into neural network training using 95% of data, leaving the remainder as a test set for performance evaluation. </w:t>
      </w:r>
    </w:p>
    <w:p w14:paraId="161A9969" w14:textId="77777777" w:rsidR="00F470CD" w:rsidRPr="004C7F6F" w:rsidRDefault="00F470CD" w:rsidP="00F470CD">
      <w:pPr>
        <w:spacing w:line="360" w:lineRule="auto"/>
        <w:jc w:val="both"/>
        <w:rPr>
          <w:lang w:val="en-GB"/>
        </w:rPr>
      </w:pPr>
      <w:r w:rsidRPr="004C7F6F">
        <w:rPr>
          <w:lang w:val="en-GB"/>
        </w:rPr>
        <w:t>Moreover, a</w:t>
      </w:r>
      <w:r w:rsidRPr="005743E2">
        <w:t xml:space="preserve"> subset of 10 retrospective clinical videos was held back for an additional out-of-sample validation. Importantly, n</w:t>
      </w:r>
      <w:r w:rsidRPr="004C7F6F">
        <w:rPr>
          <w:lang w:val="en-GB"/>
        </w:rPr>
        <w:t xml:space="preserve">o videos of the prospective cohort were included in CNN training in order to maintain strict separation between training, test and validation datasets across the study arms. In a total of 13 consecutive iterations, the CNN was initialized with ResNet-50 weights and trained using both </w:t>
      </w:r>
      <w:r w:rsidRPr="004C7F6F">
        <w:rPr>
          <w:i/>
          <w:iCs/>
          <w:lang w:val="en-GB"/>
        </w:rPr>
        <w:t>default</w:t>
      </w:r>
      <w:r w:rsidRPr="004C7F6F">
        <w:rPr>
          <w:lang w:val="en-GB"/>
        </w:rPr>
        <w:t xml:space="preserve"> and </w:t>
      </w:r>
      <w:r w:rsidRPr="004C7F6F">
        <w:rPr>
          <w:i/>
          <w:iCs/>
          <w:lang w:val="en-GB"/>
        </w:rPr>
        <w:t xml:space="preserve">imgaug </w:t>
      </w:r>
      <w:r w:rsidRPr="004C7F6F">
        <w:rPr>
          <w:lang w:val="en-GB"/>
        </w:rPr>
        <w:t xml:space="preserve">augmentation approaches. To ensure sufficient convergence of the loss function, the maximum iterations were varied between 500,000 and 1,030,000. </w:t>
      </w:r>
    </w:p>
    <w:p w14:paraId="157C1FBF" w14:textId="77777777" w:rsidR="00F470CD" w:rsidRPr="004C7F6F" w:rsidRDefault="00F470CD" w:rsidP="00F470CD">
      <w:pPr>
        <w:pStyle w:val="Heading2"/>
        <w:rPr>
          <w:lang w:val="en-US"/>
        </w:rPr>
      </w:pPr>
      <w:r w:rsidRPr="004C7F6F">
        <w:rPr>
          <w:lang w:val="en-US"/>
        </w:rPr>
        <w:t xml:space="preserve">Calculation of canonical tremor features </w:t>
      </w:r>
    </w:p>
    <w:p w14:paraId="55DAAA9E" w14:textId="77777777" w:rsidR="00F470CD" w:rsidRPr="004C7F6F" w:rsidRDefault="00F470CD" w:rsidP="00F470CD">
      <w:pPr>
        <w:pStyle w:val="Heading4"/>
        <w:spacing w:line="360" w:lineRule="auto"/>
        <w:jc w:val="both"/>
        <w:rPr>
          <w:lang w:val="en-GB"/>
        </w:rPr>
      </w:pPr>
      <w:r w:rsidRPr="004C7F6F">
        <w:rPr>
          <w:lang w:val="en-GB"/>
        </w:rPr>
        <w:t>Preprocessing of deep learning-derived time series</w:t>
      </w:r>
    </w:p>
    <w:p w14:paraId="40D04D22" w14:textId="77777777" w:rsidR="00F470CD" w:rsidRPr="004C7F6F" w:rsidRDefault="00F470CD" w:rsidP="00F470CD">
      <w:pPr>
        <w:spacing w:line="360" w:lineRule="auto"/>
        <w:jc w:val="both"/>
        <w:rPr>
          <w:lang w:val="en-GB"/>
        </w:rPr>
      </w:pPr>
      <w:r w:rsidRPr="004C7F6F">
        <w:rPr>
          <w:lang w:val="en-GB"/>
        </w:rPr>
        <w:t>As previously reported</w:t>
      </w:r>
      <w:r w:rsidRPr="004C7F6F">
        <w:rPr>
          <w:lang w:val="en-GB"/>
        </w:rPr>
        <w:fldChar w:fldCharType="begin"/>
      </w:r>
      <w:r>
        <w:rPr>
          <w:lang w:val="en-GB"/>
        </w:rPr>
        <w:instrText xml:space="preserve"> ADDIN ZOTERO_ITEM CSL_CITATION {"citationID":"NI4ROQyr","properties":{"formattedCitation":"\\super 27\\nosupersub{}","plainCitation":"27","noteIndex":0},"citationItems":[{"id":1574,"uris":["http://zotero.org/users/8302469/items/U3ZPPIQD"],"itemData":{"id":1574,"type":"article-journal","abstract":"Eye movement abnormalities are commonplace in neurological disorders. However, unaided eye movement assessments lack granularity. Although videooculography (VOG) improves diagnostic accuracy, resource intensiveness precludes its broad use. To bridge this care gap, we here validate a framework for smartphone video-based nystagmography capitalizing on recent computer vision advances.","container-title":"Journal of Neurology","DOI":"10.1007/s00415-022-11493-1","ISSN":"1432-1459","journalAbbreviation":"J Neurol","language":"en","source":"Springer Link","title":"Smartphone video nystagmography using convolutional neural networks: ConVNG","title-short":"Smartphone video nystagmography using convolutional neural networks","URL":"https://doi.org/10.1007/s00415-022-11493-1","author":[{"family":"Friedrich","given":"Maximilian U."},{"family":"Schneider","given":"Erich"},{"family":"Buerklein","given":"Miriam"},{"family":"Taeger","given":"Johannes"},{"family":"Hartig","given":"Johannes"},{"family":"Volkmann","given":"Jens"},{"family":"Peach","given":"Robert"},{"family":"Zeller","given":"Daniel"}],"accessed":{"date-parts":[["2022",11,29]]},"issued":{"date-parts":[["2022",11,23]]}}}],"schema":"https://github.com/citation-style-language/schema/raw/master/csl-citation.json"} </w:instrText>
      </w:r>
      <w:r w:rsidRPr="004C7F6F">
        <w:rPr>
          <w:lang w:val="en-GB"/>
        </w:rPr>
        <w:fldChar w:fldCharType="separate"/>
      </w:r>
      <w:r w:rsidRPr="00F22C28">
        <w:rPr>
          <w:rFonts w:ascii="Calibri" w:hAnsi="Calibri" w:cs="Calibri"/>
          <w:szCs w:val="24"/>
          <w:vertAlign w:val="superscript"/>
        </w:rPr>
        <w:t>27</w:t>
      </w:r>
      <w:r w:rsidRPr="004C7F6F">
        <w:rPr>
          <w:lang w:val="en-GB"/>
        </w:rPr>
        <w:fldChar w:fldCharType="end"/>
      </w:r>
      <w:r w:rsidRPr="004C7F6F">
        <w:rPr>
          <w:lang w:val="en-GB"/>
        </w:rPr>
        <w:t xml:space="preserve">, an inverse relationship of the DLC-RCNN’s tracking performance and spatial resolution of the videos was observed. Therefore, videos were resampled to 1280x720 px. This value offered the optimal trade-off of spatial information for landmark tracking and favourable tracking performance. </w:t>
      </w:r>
    </w:p>
    <w:p w14:paraId="122BF41C" w14:textId="77777777" w:rsidR="00F470CD" w:rsidRPr="004C7F6F" w:rsidRDefault="00F470CD" w:rsidP="00F470CD">
      <w:pPr>
        <w:spacing w:line="360" w:lineRule="auto"/>
        <w:jc w:val="both"/>
        <w:rPr>
          <w:lang w:val="en-GB"/>
        </w:rPr>
      </w:pPr>
      <w:r w:rsidRPr="004C7F6F">
        <w:rPr>
          <w:lang w:val="en-GB"/>
        </w:rPr>
        <w:t>Kinematic analysis of limb movements was implemented in Python 3.9 using standard scientific analysis packages (pandas, sklearn, numpy, scipy) and a custom analysis pipeline. Two-dimensional coordinate time series were conditioned by removing low likelihood marker data points (confidence/likelihood &lt; 0.5, default setting in MediaPipe). Mediapipe outputs three-dimensional marker coordinates, but for fair comparison to the two-dimensional DLC-RCNN, only the x and y coordinates were used. The missing points were then interpolated using a linear filter. Furthermore, a high pass filter was implemented to remove remaining low frequency components associated with slow arm drifts unrelated to tremor frequency. Given its consistency at successful tracking across videos and its clinical relevance we tracked the middle finger’s distal phalanx for postural tremor analysis (Mediapipe marker “middle finger tip”) and tracked the index finger’s distal phalanx (Mediapipe marker “index finger tip”) for kinetic tremor quantification. A bandpass filter was implemented (postural: low cut = 1 Hz, high cut = 10 Hz), removing both high frequency noise (such as “prediction jitter” introduced by frame-to-frame tracking variability or, failure) and low frequency large-scale movements (such as slow arm drifts unrelated to tremor frequency). To correct for occasional poor tracking, an additional spiking threshold was applied that identified markers that differed from the previous marker coordinates by over 100px and removed them prior to linear interpolation (this was only relevant in a minority of kinetic tremor videos).</w:t>
      </w:r>
    </w:p>
    <w:p w14:paraId="3B409915" w14:textId="77777777" w:rsidR="00F470CD" w:rsidRPr="004C7F6F" w:rsidRDefault="00F470CD" w:rsidP="00F470CD">
      <w:pPr>
        <w:spacing w:line="360" w:lineRule="auto"/>
        <w:jc w:val="both"/>
        <w:rPr>
          <w:lang w:val="en-GB"/>
        </w:rPr>
      </w:pPr>
      <w:r w:rsidRPr="004C7F6F">
        <w:rPr>
          <w:lang w:val="en-GB"/>
        </w:rPr>
        <w:t>For pixel-to-metric conversion, an individual scaling factor was calculated for each retrospective clinical video in which no systematic calibration information (i. e. checkerboard) was available. To this end, the interpupillary distance (IPD, pupil center to pupil center) was used, as previously described</w:t>
      </w:r>
      <w:r w:rsidRPr="004C7F6F">
        <w:rPr>
          <w:lang w:val="en-GB"/>
        </w:rPr>
        <w:fldChar w:fldCharType="begin"/>
      </w:r>
      <w:r>
        <w:rPr>
          <w:lang w:val="en-GB"/>
        </w:rPr>
        <w:instrText xml:space="preserve"> ADDIN ZOTERO_ITEM CSL_CITATION {"citationID":"B1bSvXxV","properties":{"formattedCitation":"\\super 27\\nosupersub{}","plainCitation":"27","noteIndex":0},"citationItems":[{"id":1574,"uris":["http://zotero.org/users/8302469/items/U3ZPPIQD"],"itemData":{"id":1574,"type":"article-journal","abstract":"Eye movement abnormalities are commonplace in neurological disorders. However, unaided eye movement assessments lack granularity. Although videooculography (VOG) improves diagnostic accuracy, resource intensiveness precludes its broad use. To bridge this care gap, we here validate a framework for smartphone video-based nystagmography capitalizing on recent computer vision advances.","container-title":"Journal of Neurology","DOI":"10.1007/s00415-022-11493-1","ISSN":"1432-1459","journalAbbreviation":"J Neurol","language":"en","source":"Springer Link","title":"Smartphone video nystagmography using convolutional neural networks: ConVNG","title-short":"Smartphone video nystagmography using convolutional neural networks","URL":"https://doi.org/10.1007/s00415-022-11493-1","author":[{"family":"Friedrich","given":"Maximilian U."},{"family":"Schneider","given":"Erich"},{"family":"Buerklein","given":"Miriam"},{"family":"Taeger","given":"Johannes"},{"family":"Hartig","given":"Johannes"},{"family":"Volkmann","given":"Jens"},{"family":"Peach","given":"Robert"},{"family":"Zeller","given":"Daniel"}],"accessed":{"date-parts":[["2022",11,29]]},"issued":{"date-parts":[["2022",11,23]]}}}],"schema":"https://github.com/citation-style-language/schema/raw/master/csl-citation.json"} </w:instrText>
      </w:r>
      <w:r w:rsidRPr="004C7F6F">
        <w:rPr>
          <w:lang w:val="en-GB"/>
        </w:rPr>
        <w:fldChar w:fldCharType="separate"/>
      </w:r>
      <w:r w:rsidRPr="00F22C28">
        <w:rPr>
          <w:rFonts w:ascii="Calibri" w:hAnsi="Calibri" w:cs="Calibri"/>
          <w:szCs w:val="24"/>
          <w:vertAlign w:val="superscript"/>
        </w:rPr>
        <w:t>27</w:t>
      </w:r>
      <w:r w:rsidRPr="004C7F6F">
        <w:rPr>
          <w:lang w:val="en-GB"/>
        </w:rPr>
        <w:fldChar w:fldCharType="end"/>
      </w:r>
      <w:r w:rsidRPr="004C7F6F">
        <w:rPr>
          <w:lang w:val="en-GB"/>
        </w:rPr>
        <w:t>. The ground truth metric IPD was derived from each individual’s preoperative structural T1w-MRI scans (averaged over three measurements) using Suretune 3 (Medtronic Inc., Minneapolis, MN, USA). A patient specific scaling factor was then calculated by the real IPD (in mm) divided by the video IPD (in px) measured with the open-source software GIMP 2.8.22 (GNU Image Manipulation Program). In the prospective videos, a ChArUco board was used for pixel-to-metric conversion. Using these scaling factors and the known temporal video resolution, the time series could be spatiotemporally transformed to facilitate meaningful comparisons with clinical tremor scores, which mainly rely on tremor amplitude estimates, as well as previous tremor research.</w:t>
      </w:r>
    </w:p>
    <w:p w14:paraId="383D9C56" w14:textId="77777777" w:rsidR="00F470CD" w:rsidRPr="004C7F6F" w:rsidRDefault="00F470CD" w:rsidP="00F470CD">
      <w:pPr>
        <w:pStyle w:val="Heading4"/>
        <w:spacing w:line="360" w:lineRule="auto"/>
        <w:jc w:val="both"/>
        <w:rPr>
          <w:lang w:val="en-GB"/>
        </w:rPr>
      </w:pPr>
      <w:r w:rsidRPr="004C7F6F">
        <w:rPr>
          <w:lang w:val="en-GB"/>
        </w:rPr>
        <w:t>Computation of canonical tremor features from motion capture and computer vision</w:t>
      </w:r>
    </w:p>
    <w:p w14:paraId="2EA363B0" w14:textId="77777777" w:rsidR="00F470CD" w:rsidRPr="004C7F6F" w:rsidRDefault="00F470CD" w:rsidP="00F470CD">
      <w:pPr>
        <w:spacing w:line="360" w:lineRule="auto"/>
        <w:jc w:val="both"/>
        <w:rPr>
          <w:lang w:val="en-GB"/>
        </w:rPr>
      </w:pPr>
      <w:r w:rsidRPr="306DCA93">
        <w:rPr>
          <w:lang w:val="en-GB"/>
        </w:rPr>
        <w:t xml:space="preserve">Amplitude was calculated by first computing a spectrogram of the tremor signal which describes the power density </w:t>
      </w:r>
      <w:r w:rsidRPr="306DCA93">
        <w:rPr>
          <w:rFonts w:ascii="Calibri" w:eastAsia="Calibri" w:hAnsi="Calibri" w:cs="Calibri"/>
          <w:lang w:val="en-GB"/>
        </w:rPr>
        <w:t xml:space="preserve">of frequencies of a signal as it varies with time. The frequency bin with the maximum power is identified for each frame and the associated amplitude and frequency for that frame is stored. </w:t>
      </w:r>
      <w:r w:rsidRPr="306DCA93">
        <w:rPr>
          <w:lang w:val="en-GB"/>
        </w:rPr>
        <w:t xml:space="preserve">Finally, resulting feature time series were collapsed per experimental condition (i. e. task, DBS status) into their aggregated </w:t>
      </w:r>
      <w:r w:rsidRPr="306DCA93">
        <w:rPr>
          <w:i/>
          <w:iCs/>
          <w:lang w:val="en-GB"/>
        </w:rPr>
        <w:t>mean</w:t>
      </w:r>
      <w:r w:rsidRPr="306DCA93">
        <w:rPr>
          <w:lang w:val="en-GB"/>
        </w:rPr>
        <w:t xml:space="preserve"> and </w:t>
      </w:r>
      <w:r w:rsidRPr="306DCA93">
        <w:rPr>
          <w:i/>
          <w:iCs/>
          <w:lang w:val="en-GB"/>
        </w:rPr>
        <w:t xml:space="preserve">peak </w:t>
      </w:r>
      <w:r w:rsidRPr="306DCA93">
        <w:rPr>
          <w:lang w:val="en-GB"/>
        </w:rPr>
        <w:t>values</w:t>
      </w:r>
      <w:r w:rsidRPr="306DCA93">
        <w:rPr>
          <w:i/>
          <w:iCs/>
          <w:lang w:val="en-GB"/>
        </w:rPr>
        <w:t xml:space="preserve">. </w:t>
      </w:r>
      <w:r w:rsidRPr="306DCA93">
        <w:rPr>
          <w:lang w:val="en-GB"/>
        </w:rPr>
        <w:t>In accordance with</w:t>
      </w:r>
      <w:r>
        <w:rPr>
          <w:lang w:val="en-GB"/>
        </w:rPr>
        <w:t xml:space="preserve"> the</w:t>
      </w:r>
      <w:r w:rsidRPr="306DCA93">
        <w:rPr>
          <w:lang w:val="en-GB"/>
        </w:rPr>
        <w:t xml:space="preserve"> clinical scoring</w:t>
      </w:r>
      <w:r>
        <w:rPr>
          <w:lang w:val="en-GB"/>
        </w:rPr>
        <w:t xml:space="preserve"> assessing maximal amplitude</w:t>
      </w:r>
      <w:r w:rsidRPr="306DCA93">
        <w:rPr>
          <w:lang w:val="en-GB"/>
        </w:rPr>
        <w:t>,</w:t>
      </w:r>
      <w:r w:rsidRPr="306DCA93">
        <w:rPr>
          <w:i/>
          <w:iCs/>
          <w:lang w:val="en-GB"/>
        </w:rPr>
        <w:t xml:space="preserve"> peak</w:t>
      </w:r>
      <w:r w:rsidRPr="306DCA93">
        <w:rPr>
          <w:lang w:val="en-GB"/>
        </w:rPr>
        <w:t xml:space="preserve"> values were </w:t>
      </w:r>
      <w:r>
        <w:rPr>
          <w:lang w:val="en-GB"/>
        </w:rPr>
        <w:t xml:space="preserve">primarily </w:t>
      </w:r>
      <w:r w:rsidRPr="306DCA93">
        <w:rPr>
          <w:lang w:val="en-GB"/>
        </w:rPr>
        <w:t>used for subsequent comparisons and correlations</w:t>
      </w:r>
      <w:r>
        <w:rPr>
          <w:lang w:val="en-GB"/>
        </w:rPr>
        <w:t xml:space="preserve">. Of note, all main results were reproducible using </w:t>
      </w:r>
      <w:r w:rsidRPr="006C1882">
        <w:rPr>
          <w:i/>
          <w:iCs/>
          <w:lang w:val="en-GB"/>
        </w:rPr>
        <w:t>mean</w:t>
      </w:r>
      <w:r>
        <w:rPr>
          <w:lang w:val="en-GB"/>
        </w:rPr>
        <w:t xml:space="preserve"> instead of </w:t>
      </w:r>
      <w:r w:rsidRPr="006C1882">
        <w:rPr>
          <w:i/>
          <w:iCs/>
          <w:lang w:val="en-GB"/>
        </w:rPr>
        <w:t>peak</w:t>
      </w:r>
      <w:r>
        <w:rPr>
          <w:lang w:val="en-GB"/>
        </w:rPr>
        <w:t xml:space="preserve"> amplitudes (Supplementary Figures 3-4).</w:t>
      </w:r>
    </w:p>
    <w:p w14:paraId="4D34259D" w14:textId="77777777" w:rsidR="00F470CD" w:rsidRPr="004C7F6F" w:rsidRDefault="00F470CD" w:rsidP="00F470CD">
      <w:pPr>
        <w:pStyle w:val="Heading4"/>
        <w:spacing w:line="360" w:lineRule="auto"/>
        <w:jc w:val="both"/>
        <w:rPr>
          <w:lang w:val="en-GB"/>
        </w:rPr>
      </w:pPr>
      <w:r w:rsidRPr="004C7F6F">
        <w:rPr>
          <w:lang w:val="en-GB"/>
        </w:rPr>
        <w:t>Computation of tremor frequency from wrist-worn accelerometer</w:t>
      </w:r>
    </w:p>
    <w:p w14:paraId="6493C73C" w14:textId="77777777" w:rsidR="00F470CD" w:rsidRPr="004C7F6F" w:rsidRDefault="00F470CD" w:rsidP="00F470CD">
      <w:pPr>
        <w:spacing w:line="360" w:lineRule="auto"/>
        <w:jc w:val="both"/>
        <w:rPr>
          <w:lang w:val="en-GB"/>
        </w:rPr>
      </w:pPr>
      <w:r w:rsidRPr="004C7F6F">
        <w:rPr>
          <w:lang w:val="en-GB"/>
        </w:rPr>
        <w:t xml:space="preserve">Firstly, the axis with the highest range of variation in acceleration was identified for further analysis. The data underwent pre-processing, involving bandpass filtering between 1-10 Hz using a 5th order Butterworth filter. The trials were then segmented based on the type of tremor. Postural tremor trials were segmented by means of synchronized video recordings (VIXTA, BTS, Italy), by excluding any initial or final voluntary arm movements. Kinetic tremor trials were segmented by thresholding the moving average of the absolute value of the signal. For both types of tremor, power spectral density (PSD) of the accelerometric signal was calculated using the </w:t>
      </w:r>
      <w:r w:rsidRPr="004C7F6F">
        <w:rPr>
          <w:i/>
          <w:iCs/>
          <w:lang w:val="en-GB"/>
        </w:rPr>
        <w:t>pwelch</w:t>
      </w:r>
      <w:r w:rsidRPr="004C7F6F">
        <w:rPr>
          <w:lang w:val="en-GB"/>
        </w:rPr>
        <w:t xml:space="preserve"> method with a rectangular window of 1 s duration and a 0.5 s overlap. Frequency peaks in the PSD were identified, and average values and standard deviations across trials were calculated for each patient and condition.</w:t>
      </w:r>
    </w:p>
    <w:p w14:paraId="144F226A" w14:textId="77777777" w:rsidR="00F470CD" w:rsidRPr="004C7F6F" w:rsidRDefault="00F470CD" w:rsidP="00F470CD">
      <w:pPr>
        <w:pStyle w:val="Heading4"/>
        <w:rPr>
          <w:lang w:val="en-GB"/>
        </w:rPr>
      </w:pPr>
      <w:r w:rsidRPr="004C7F6F">
        <w:rPr>
          <w:lang w:val="en-GB"/>
        </w:rPr>
        <w:t>Computation of advanced diagnostic features from motion capture and computer vision</w:t>
      </w:r>
    </w:p>
    <w:p w14:paraId="3AE7F946" w14:textId="77777777" w:rsidR="00F470CD" w:rsidRPr="004C7F6F" w:rsidRDefault="00F470CD" w:rsidP="00F470CD">
      <w:pPr>
        <w:pStyle w:val="Heading2"/>
        <w:spacing w:line="360" w:lineRule="auto"/>
        <w:jc w:val="both"/>
        <w:rPr>
          <w:rFonts w:asciiTheme="minorHAnsi" w:eastAsiaTheme="minorHAnsi" w:hAnsiTheme="minorHAnsi" w:cstheme="minorBidi"/>
          <w:color w:val="auto"/>
          <w:sz w:val="22"/>
          <w:szCs w:val="22"/>
          <w:lang w:val="en-GB"/>
        </w:rPr>
      </w:pPr>
      <w:r w:rsidRPr="004C7F6F">
        <w:rPr>
          <w:rFonts w:asciiTheme="minorHAnsi" w:eastAsiaTheme="minorHAnsi" w:hAnsiTheme="minorHAnsi" w:cstheme="minorBidi"/>
          <w:color w:val="auto"/>
          <w:sz w:val="22"/>
          <w:szCs w:val="22"/>
          <w:lang w:val="en-GB"/>
        </w:rPr>
        <w:t>To further characterize the nature of the tremor, we analyzed</w:t>
      </w:r>
      <w:r w:rsidRPr="009874E0">
        <w:rPr>
          <w:rFonts w:asciiTheme="minorHAnsi" w:eastAsiaTheme="minorHAnsi" w:hAnsiTheme="minorHAnsi" w:cstheme="minorBidi"/>
          <w:color w:val="auto"/>
          <w:sz w:val="22"/>
          <w:szCs w:val="22"/>
          <w:lang w:val="en-GB"/>
        </w:rPr>
        <w:t xml:space="preserve"> </w:t>
      </w:r>
      <w:r w:rsidRPr="004C7F6F">
        <w:rPr>
          <w:rFonts w:asciiTheme="minorHAnsi" w:eastAsiaTheme="minorHAnsi" w:hAnsiTheme="minorHAnsi" w:cstheme="minorBidi"/>
          <w:color w:val="auto"/>
          <w:sz w:val="22"/>
          <w:szCs w:val="22"/>
          <w:lang w:val="en-GB"/>
        </w:rPr>
        <w:t>harmonics based on the spectrograms derived from each method. Beyond the dominant frequency, we identif</w:t>
      </w:r>
      <w:r>
        <w:rPr>
          <w:rFonts w:asciiTheme="minorHAnsi" w:eastAsiaTheme="minorHAnsi" w:hAnsiTheme="minorHAnsi" w:cstheme="minorBidi"/>
          <w:color w:val="auto"/>
          <w:sz w:val="22"/>
          <w:szCs w:val="22"/>
          <w:lang w:val="en-GB"/>
        </w:rPr>
        <w:t xml:space="preserve">ied </w:t>
      </w:r>
      <w:r w:rsidRPr="004C7F6F">
        <w:rPr>
          <w:rFonts w:asciiTheme="minorHAnsi" w:eastAsiaTheme="minorHAnsi" w:hAnsiTheme="minorHAnsi" w:cstheme="minorBidi"/>
          <w:color w:val="auto"/>
          <w:sz w:val="22"/>
          <w:szCs w:val="22"/>
          <w:lang w:val="en-GB"/>
        </w:rPr>
        <w:t xml:space="preserve">additional peaks, indicative of potential harmonics. To determine the nature of these harmonics, we focused on the second most prominent peak in the spectrogram. The frequency of this </w:t>
      </w:r>
      <w:r>
        <w:rPr>
          <w:rFonts w:asciiTheme="minorHAnsi" w:eastAsiaTheme="minorHAnsi" w:hAnsiTheme="minorHAnsi" w:cstheme="minorBidi"/>
          <w:color w:val="auto"/>
          <w:sz w:val="22"/>
          <w:szCs w:val="22"/>
          <w:lang w:val="en-GB"/>
        </w:rPr>
        <w:t xml:space="preserve">second </w:t>
      </w:r>
      <w:r w:rsidRPr="004C7F6F">
        <w:rPr>
          <w:rFonts w:asciiTheme="minorHAnsi" w:eastAsiaTheme="minorHAnsi" w:hAnsiTheme="minorHAnsi" w:cstheme="minorBidi"/>
          <w:color w:val="auto"/>
          <w:sz w:val="22"/>
          <w:szCs w:val="22"/>
          <w:lang w:val="en-GB"/>
        </w:rPr>
        <w:t xml:space="preserve">peak was divided by the dominant frequency to </w:t>
      </w:r>
      <w:r>
        <w:rPr>
          <w:rFonts w:asciiTheme="minorHAnsi" w:eastAsiaTheme="minorHAnsi" w:hAnsiTheme="minorHAnsi" w:cstheme="minorBidi"/>
          <w:color w:val="auto"/>
          <w:sz w:val="22"/>
          <w:szCs w:val="22"/>
          <w:lang w:val="en-GB"/>
        </w:rPr>
        <w:t>determine</w:t>
      </w:r>
      <w:r w:rsidRPr="004C7F6F">
        <w:rPr>
          <w:rFonts w:asciiTheme="minorHAnsi" w:eastAsiaTheme="minorHAnsi" w:hAnsiTheme="minorHAnsi" w:cstheme="minorBidi"/>
          <w:color w:val="auto"/>
          <w:sz w:val="22"/>
          <w:szCs w:val="22"/>
          <w:lang w:val="en-GB"/>
        </w:rPr>
        <w:t xml:space="preserve"> </w:t>
      </w:r>
      <w:r>
        <w:rPr>
          <w:rFonts w:asciiTheme="minorHAnsi" w:eastAsiaTheme="minorHAnsi" w:hAnsiTheme="minorHAnsi" w:cstheme="minorBidi"/>
          <w:color w:val="auto"/>
          <w:sz w:val="22"/>
          <w:szCs w:val="22"/>
          <w:lang w:val="en-GB"/>
        </w:rPr>
        <w:t>the</w:t>
      </w:r>
      <w:r w:rsidRPr="004C7F6F">
        <w:rPr>
          <w:rFonts w:asciiTheme="minorHAnsi" w:eastAsiaTheme="minorHAnsi" w:hAnsiTheme="minorHAnsi" w:cstheme="minorBidi"/>
          <w:color w:val="auto"/>
          <w:sz w:val="22"/>
          <w:szCs w:val="22"/>
          <w:lang w:val="en-GB"/>
        </w:rPr>
        <w:t xml:space="preserve"> harmonic relationship. A resulting value of 2 </w:t>
      </w:r>
      <w:r>
        <w:rPr>
          <w:rFonts w:asciiTheme="minorHAnsi" w:eastAsiaTheme="minorHAnsi" w:hAnsiTheme="minorHAnsi" w:cstheme="minorBidi"/>
          <w:color w:val="auto"/>
          <w:sz w:val="22"/>
          <w:szCs w:val="22"/>
          <w:lang w:val="en-GB"/>
        </w:rPr>
        <w:t xml:space="preserve">would </w:t>
      </w:r>
      <w:r w:rsidRPr="004C7F6F">
        <w:rPr>
          <w:rFonts w:asciiTheme="minorHAnsi" w:eastAsiaTheme="minorHAnsi" w:hAnsiTheme="minorHAnsi" w:cstheme="minorBidi"/>
          <w:color w:val="auto"/>
          <w:sz w:val="22"/>
          <w:szCs w:val="22"/>
          <w:lang w:val="en-GB"/>
        </w:rPr>
        <w:t>indicate that the second peak is an even</w:t>
      </w:r>
      <w:r>
        <w:rPr>
          <w:rFonts w:asciiTheme="minorHAnsi" w:eastAsiaTheme="minorHAnsi" w:hAnsiTheme="minorHAnsi" w:cstheme="minorBidi"/>
          <w:color w:val="auto"/>
          <w:sz w:val="22"/>
          <w:szCs w:val="22"/>
          <w:lang w:val="en-GB"/>
        </w:rPr>
        <w:t>-numbered</w:t>
      </w:r>
      <w:r w:rsidRPr="004C7F6F">
        <w:rPr>
          <w:rFonts w:asciiTheme="minorHAnsi" w:eastAsiaTheme="minorHAnsi" w:hAnsiTheme="minorHAnsi" w:cstheme="minorBidi"/>
          <w:color w:val="auto"/>
          <w:sz w:val="22"/>
          <w:szCs w:val="22"/>
          <w:lang w:val="en-GB"/>
        </w:rPr>
        <w:t xml:space="preserve"> harmonic, which </w:t>
      </w:r>
      <w:r>
        <w:rPr>
          <w:rFonts w:asciiTheme="minorHAnsi" w:eastAsiaTheme="minorHAnsi" w:hAnsiTheme="minorHAnsi" w:cstheme="minorBidi"/>
          <w:color w:val="auto"/>
          <w:sz w:val="22"/>
          <w:szCs w:val="22"/>
          <w:lang w:val="en-GB"/>
        </w:rPr>
        <w:t>has previously been reported to be differential</w:t>
      </w:r>
      <w:r w:rsidRPr="004C7F6F">
        <w:rPr>
          <w:rFonts w:asciiTheme="minorHAnsi" w:eastAsiaTheme="minorHAnsi" w:hAnsiTheme="minorHAnsi" w:cstheme="minorBidi"/>
          <w:color w:val="auto"/>
          <w:sz w:val="22"/>
          <w:szCs w:val="22"/>
          <w:lang w:val="en-GB"/>
        </w:rPr>
        <w:t xml:space="preserve"> diagnostically relevant</w:t>
      </w:r>
      <w:r w:rsidRPr="004C7F6F">
        <w:rPr>
          <w:rFonts w:asciiTheme="minorHAnsi" w:eastAsiaTheme="minorHAnsi" w:hAnsiTheme="minorHAnsi" w:cstheme="minorBidi"/>
          <w:color w:val="auto"/>
          <w:sz w:val="22"/>
          <w:szCs w:val="22"/>
          <w:lang w:val="en-GB"/>
        </w:rPr>
        <w:fldChar w:fldCharType="begin"/>
      </w:r>
      <w:r>
        <w:rPr>
          <w:rFonts w:asciiTheme="minorHAnsi" w:eastAsiaTheme="minorHAnsi" w:hAnsiTheme="minorHAnsi" w:cstheme="minorBidi"/>
          <w:color w:val="auto"/>
          <w:sz w:val="22"/>
          <w:szCs w:val="22"/>
          <w:lang w:val="en-GB"/>
        </w:rPr>
        <w:instrText xml:space="preserve"> ADDIN ZOTERO_ITEM CSL_CITATION {"citationID":"ly1rnRoQ","properties":{"formattedCitation":"\\super 51\\nosupersub{}","plainCitation":"51","noteIndex":0},"citationItems":[{"id":2880,"uris":["http://zotero.org/users/8302469/items/MAEIDXGZ"],"itemData":{"id":2880,"type":"article-journal","abstract":"BACKGROUND: Clinical distinction between advanced essential tremor and tremulous Parkinson's disease can be difficult.\nMETHODS: In selected power spectra of accelerometric postural tremor recordings on the more affected side of 41 patients with essential tremor and 39 patients with tremulous Parkinson's disease being indistinguishable by tremor frequency, peak power or number of harmonic peaks, waveform asymmetry (autocorrelation decay), and mean peak power of all harmonic peaks were computed. Cutoff for essential tremor-Parkinson's disease distinction was determined by receiver operating characteristics. Diagnostic yield was tested in 12 clinically unclear patients with monosymptomatic tremor, subsequently definitively diagnosed with essential tremor (n = 2) or Parkinson's disease (n = 10) by 123-I FP-CIT-single-photon emission computed tomography, fluorodopa-positron emission tomography, or clinical course.\nRESULTS: By autocorrelation decay 64%, by mean harmonic peak power 94% (Parkinson's disease &gt; essential tremor) of patients with a definite clinical diagnosis, and 11 of 12 clinically unclear patients were classified correctly.\nCONCLUSIONS: Mean harmonic power is a useful measure to separate clinically difficult cases of advanced essential tremor from tremulous Parkinson's disease.","container-title":"Movement Disorders: Official Journal of the Movement Disorder Society","DOI":"10.1002/mds.23672","ISSN":"1531-8257","issue":"8","journalAbbreviation":"Mov Disord","language":"eng","note":"PMID: 21520285","page":"1548-1552","source":"PubMed","title":"A new diagnostic test to distinguish tremulous Parkinson's disease from advanced essential tremor","volume":"26","author":[{"family":"Muthuraman","given":"Muthuraman"},{"family":"Hossen","given":"Abdulnasir"},{"family":"Heute","given":"Ulrich"},{"family":"Deuschl","given":"Günther"},{"family":"Raethjen","given":"Jan"}],"issued":{"date-parts":[["2011",7]]}}}],"schema":"https://github.com/citation-style-language/schema/raw/master/csl-citation.json"} </w:instrText>
      </w:r>
      <w:r w:rsidRPr="004C7F6F">
        <w:rPr>
          <w:rFonts w:asciiTheme="minorHAnsi" w:eastAsiaTheme="minorHAnsi" w:hAnsiTheme="minorHAnsi" w:cstheme="minorBidi"/>
          <w:color w:val="auto"/>
          <w:sz w:val="22"/>
          <w:szCs w:val="22"/>
          <w:lang w:val="en-GB"/>
        </w:rPr>
        <w:fldChar w:fldCharType="separate"/>
      </w:r>
      <w:r w:rsidRPr="00F44C08">
        <w:rPr>
          <w:rFonts w:ascii="Calibri" w:hAnsi="Calibri" w:cs="Calibri"/>
          <w:sz w:val="22"/>
          <w:szCs w:val="24"/>
          <w:vertAlign w:val="superscript"/>
        </w:rPr>
        <w:t>51</w:t>
      </w:r>
      <w:r w:rsidRPr="004C7F6F">
        <w:rPr>
          <w:rFonts w:asciiTheme="minorHAnsi" w:eastAsiaTheme="minorHAnsi" w:hAnsiTheme="minorHAnsi" w:cstheme="minorBidi"/>
          <w:color w:val="auto"/>
          <w:sz w:val="22"/>
          <w:szCs w:val="22"/>
          <w:lang w:val="en-GB"/>
        </w:rPr>
        <w:fldChar w:fldCharType="end"/>
      </w:r>
      <w:r w:rsidRPr="004C7F6F">
        <w:rPr>
          <w:rFonts w:asciiTheme="minorHAnsi" w:eastAsiaTheme="minorHAnsi" w:hAnsiTheme="minorHAnsi" w:cstheme="minorBidi"/>
          <w:color w:val="auto"/>
          <w:sz w:val="22"/>
          <w:szCs w:val="22"/>
          <w:lang w:val="en-GB"/>
        </w:rPr>
        <w:t>.</w:t>
      </w:r>
      <w:r>
        <w:rPr>
          <w:rFonts w:asciiTheme="minorHAnsi" w:eastAsiaTheme="minorHAnsi" w:hAnsiTheme="minorHAnsi" w:cstheme="minorBidi"/>
          <w:color w:val="auto"/>
          <w:sz w:val="22"/>
          <w:szCs w:val="22"/>
          <w:lang w:val="en-GB"/>
        </w:rPr>
        <w:t xml:space="preserve"> Also, we analyzed </w:t>
      </w:r>
      <w:r w:rsidRPr="004C7F6F">
        <w:rPr>
          <w:rFonts w:asciiTheme="minorHAnsi" w:eastAsiaTheme="minorHAnsi" w:hAnsiTheme="minorHAnsi" w:cstheme="minorBidi"/>
          <w:color w:val="auto"/>
          <w:sz w:val="22"/>
          <w:szCs w:val="22"/>
          <w:lang w:val="en-GB"/>
        </w:rPr>
        <w:t>the inter</w:t>
      </w:r>
      <w:r>
        <w:rPr>
          <w:rFonts w:asciiTheme="minorHAnsi" w:eastAsiaTheme="minorHAnsi" w:hAnsiTheme="minorHAnsi" w:cstheme="minorBidi"/>
          <w:color w:val="auto"/>
          <w:sz w:val="22"/>
          <w:szCs w:val="22"/>
          <w:lang w:val="en-GB"/>
        </w:rPr>
        <w:t>-</w:t>
      </w:r>
      <w:r w:rsidRPr="004C7F6F">
        <w:rPr>
          <w:rFonts w:asciiTheme="minorHAnsi" w:eastAsiaTheme="minorHAnsi" w:hAnsiTheme="minorHAnsi" w:cstheme="minorBidi"/>
          <w:color w:val="auto"/>
          <w:sz w:val="22"/>
          <w:szCs w:val="22"/>
          <w:lang w:val="en-GB"/>
        </w:rPr>
        <w:t>limb coherence between the tremor signals of both hands. Inter</w:t>
      </w:r>
      <w:r>
        <w:rPr>
          <w:rFonts w:asciiTheme="minorHAnsi" w:eastAsiaTheme="minorHAnsi" w:hAnsiTheme="minorHAnsi" w:cstheme="minorBidi"/>
          <w:color w:val="auto"/>
          <w:sz w:val="22"/>
          <w:szCs w:val="22"/>
          <w:lang w:val="en-GB"/>
        </w:rPr>
        <w:t>-</w:t>
      </w:r>
      <w:r w:rsidRPr="004C7F6F">
        <w:rPr>
          <w:rFonts w:asciiTheme="minorHAnsi" w:eastAsiaTheme="minorHAnsi" w:hAnsiTheme="minorHAnsi" w:cstheme="minorBidi"/>
          <w:color w:val="auto"/>
          <w:sz w:val="22"/>
          <w:szCs w:val="22"/>
          <w:lang w:val="en-GB"/>
        </w:rPr>
        <w:t xml:space="preserve">limb coherence provides a measure of the synchrony or similarity between the tremor oscillations in the two hands. For </w:t>
      </w:r>
      <w:r>
        <w:rPr>
          <w:rFonts w:asciiTheme="minorHAnsi" w:eastAsiaTheme="minorHAnsi" w:hAnsiTheme="minorHAnsi" w:cstheme="minorBidi"/>
          <w:color w:val="auto"/>
          <w:sz w:val="22"/>
          <w:szCs w:val="22"/>
          <w:lang w:val="en-GB"/>
        </w:rPr>
        <w:t>essential tremor</w:t>
      </w:r>
      <w:r w:rsidRPr="004C7F6F">
        <w:rPr>
          <w:rFonts w:asciiTheme="minorHAnsi" w:eastAsiaTheme="minorHAnsi" w:hAnsiTheme="minorHAnsi" w:cstheme="minorBidi"/>
          <w:color w:val="auto"/>
          <w:sz w:val="22"/>
          <w:szCs w:val="22"/>
          <w:lang w:val="en-GB"/>
        </w:rPr>
        <w:t>, a diagnostic feature is the presence of non-coherent tremors between the two hands, as previously described</w:t>
      </w:r>
      <w:r w:rsidRPr="004C7F6F">
        <w:rPr>
          <w:rFonts w:asciiTheme="minorHAnsi" w:eastAsiaTheme="minorHAnsi" w:hAnsiTheme="minorHAnsi" w:cstheme="minorBidi"/>
          <w:color w:val="auto"/>
          <w:sz w:val="22"/>
          <w:szCs w:val="22"/>
          <w:lang w:val="en-GB"/>
        </w:rPr>
        <w:fldChar w:fldCharType="begin"/>
      </w:r>
      <w:r>
        <w:rPr>
          <w:rFonts w:asciiTheme="minorHAnsi" w:eastAsiaTheme="minorHAnsi" w:hAnsiTheme="minorHAnsi" w:cstheme="minorBidi"/>
          <w:color w:val="auto"/>
          <w:sz w:val="22"/>
          <w:szCs w:val="22"/>
          <w:lang w:val="en-GB"/>
        </w:rPr>
        <w:instrText xml:space="preserve"> ADDIN ZOTERO_ITEM CSL_CITATION {"citationID":"OkE7iW1e","properties":{"formattedCitation":"\\super 52\\nosupersub{}","plainCitation":"52","noteIndex":0},"citationItems":[{"id":2877,"uris":["http://zotero.org/users/8302469/items/8DXUZNAF"],"itemData":{"id":2877,"type":"article-journal","abstract":"OBJECTIVE: Many tremors occur always or often bilaterally. The question arises whether this could be explained by a common source or commonly transmitting pathways or by bilaterally represented, independent structures with the same oscillatory properties. A similar tremor frequency does not provide sufficient information to clarify this question.\nMETHODS: We analyze coherencies between surface electromyographies (EMG) to investigate if bilateral physiologic (PT), essential (ET), Parkinsonian (PD) and orthostatic (OT) tremors originate from a common source for both sides of the body. We show that commonly used techniques to test whether coherencies are significant could lead to false positive results for tremor EMGs. A new estimation procedure is proposed to test EMG tremor time series on their linear independence. We apply this test to bilateral tremors.\nRESULTS: All measured EMG-pairs in OT (n = 7) were highly coherent between both sides with reproducible coherency values of up to 0.99. All other investigated tremors, i.e. PT and enhanced physiological tremors (EPT, n = 117), ET (n = 76) and PD resting and postural tremors (n = 70) do not show a significant side-to-side correlation.\nCONCLUSIONS: This finding shows that the pathophysiologies of OT and other pathological tremors are definitely different. Either they have different origins or different kinds of transmitting pathways. The proposed method might also be used to investigate other electrophysiological data and is a helpful, easy to use investigation for a daily clinical routine.","container-title":"Clinical Neurophysiology: Official Journal of the International Federation of Clinical Neurophysiology","DOI":"10.1016/s1388-2457(99)00130-3","ISSN":"1388-2457","issue":"10","journalAbbreviation":"Clin Neurophysiol","language":"eng","note":"PMID: 10574292","page":"1774-1783","source":"PubMed","title":"Side-to-side correlation of muscle activity in physiological and pathological human tremors","volume":"110","author":[{"family":"Lauk","given":"M."},{"family":"Köster","given":"B."},{"family":"Timmer","given":"J."},{"family":"Guschlbauer","given":"B."},{"family":"Deuschl","given":"G."},{"family":"Lücking","given":"C. H."}],"issued":{"date-parts":[["1999",10]]}}}],"schema":"https://github.com/citation-style-language/schema/raw/master/csl-citation.json"} </w:instrText>
      </w:r>
      <w:r w:rsidRPr="004C7F6F">
        <w:rPr>
          <w:rFonts w:asciiTheme="minorHAnsi" w:eastAsiaTheme="minorHAnsi" w:hAnsiTheme="minorHAnsi" w:cstheme="minorBidi"/>
          <w:color w:val="auto"/>
          <w:sz w:val="22"/>
          <w:szCs w:val="22"/>
          <w:lang w:val="en-GB"/>
        </w:rPr>
        <w:fldChar w:fldCharType="separate"/>
      </w:r>
      <w:r w:rsidRPr="005743E2">
        <w:rPr>
          <w:rFonts w:ascii="Calibri" w:hAnsi="Calibri" w:cs="Calibri"/>
          <w:sz w:val="22"/>
          <w:szCs w:val="24"/>
          <w:vertAlign w:val="superscript"/>
        </w:rPr>
        <w:t>52</w:t>
      </w:r>
      <w:r w:rsidRPr="004C7F6F">
        <w:rPr>
          <w:rFonts w:asciiTheme="minorHAnsi" w:eastAsiaTheme="minorHAnsi" w:hAnsiTheme="minorHAnsi" w:cstheme="minorBidi"/>
          <w:color w:val="auto"/>
          <w:sz w:val="22"/>
          <w:szCs w:val="22"/>
          <w:lang w:val="en-GB"/>
        </w:rPr>
        <w:fldChar w:fldCharType="end"/>
      </w:r>
      <w:r w:rsidRPr="004C7F6F">
        <w:rPr>
          <w:rFonts w:asciiTheme="minorHAnsi" w:eastAsiaTheme="minorHAnsi" w:hAnsiTheme="minorHAnsi" w:cstheme="minorBidi"/>
          <w:color w:val="auto"/>
          <w:sz w:val="22"/>
          <w:szCs w:val="22"/>
          <w:lang w:val="en-GB"/>
        </w:rPr>
        <w:t xml:space="preserve">. To quantitatively determine the coherence, we calculated the coherence value between the tremor signals of the two hands, derived from both motion capture and computer vision. Based on the length of the time series data, a significance threshold of 0.15 was established. Coherence values below this threshold were considered as non-coherent, consistent with </w:t>
      </w:r>
      <w:r>
        <w:rPr>
          <w:rFonts w:asciiTheme="minorHAnsi" w:eastAsiaTheme="minorHAnsi" w:hAnsiTheme="minorHAnsi" w:cstheme="minorBidi"/>
          <w:color w:val="auto"/>
          <w:sz w:val="22"/>
          <w:szCs w:val="22"/>
          <w:lang w:val="en-GB"/>
        </w:rPr>
        <w:t>essential tremor</w:t>
      </w:r>
      <w:r w:rsidRPr="004C7F6F">
        <w:rPr>
          <w:rFonts w:asciiTheme="minorHAnsi" w:eastAsiaTheme="minorHAnsi" w:hAnsiTheme="minorHAnsi" w:cstheme="minorBidi"/>
          <w:color w:val="auto"/>
          <w:sz w:val="22"/>
          <w:szCs w:val="22"/>
          <w:lang w:val="en-GB"/>
        </w:rPr>
        <w:t>, while values above this threshold suggested coherent tremor activity between the hands.</w:t>
      </w:r>
    </w:p>
    <w:p w14:paraId="7052D82E" w14:textId="77777777" w:rsidR="00F470CD" w:rsidRPr="004C7F6F" w:rsidRDefault="00F470CD" w:rsidP="00F470CD">
      <w:pPr>
        <w:pStyle w:val="Heading2"/>
        <w:spacing w:line="360" w:lineRule="auto"/>
        <w:jc w:val="both"/>
        <w:rPr>
          <w:rFonts w:asciiTheme="minorHAnsi" w:eastAsiaTheme="minorHAnsi" w:hAnsiTheme="minorHAnsi" w:cstheme="minorBidi"/>
          <w:color w:val="auto"/>
          <w:sz w:val="22"/>
          <w:szCs w:val="22"/>
          <w:lang w:val="en-GB"/>
        </w:rPr>
      </w:pPr>
    </w:p>
    <w:p w14:paraId="353C502D" w14:textId="77777777" w:rsidR="00F470CD" w:rsidRPr="004C7F6F" w:rsidRDefault="00F470CD" w:rsidP="00F470CD">
      <w:pPr>
        <w:pStyle w:val="Heading2"/>
        <w:rPr>
          <w:lang w:val="en-US"/>
        </w:rPr>
      </w:pPr>
      <w:r w:rsidRPr="004C7F6F">
        <w:rPr>
          <w:lang w:val="en-US"/>
        </w:rPr>
        <w:t>Equivalence testing</w:t>
      </w:r>
    </w:p>
    <w:p w14:paraId="65DCA4BD" w14:textId="77777777" w:rsidR="00F470CD" w:rsidRPr="004C7F6F" w:rsidRDefault="00F470CD" w:rsidP="00F470CD">
      <w:pPr>
        <w:spacing w:line="360" w:lineRule="auto"/>
        <w:jc w:val="both"/>
        <w:rPr>
          <w:lang w:val="en-GB"/>
        </w:rPr>
      </w:pPr>
      <w:r w:rsidRPr="004C7F6F">
        <w:rPr>
          <w:lang w:val="en-GB"/>
        </w:rPr>
        <w:t>The smallest effect size of interest (SESOI)</w:t>
      </w:r>
      <w:r w:rsidRPr="004C7F6F">
        <w:rPr>
          <w:lang w:val="en-GB"/>
        </w:rPr>
        <w:fldChar w:fldCharType="begin"/>
      </w:r>
      <w:r>
        <w:rPr>
          <w:lang w:val="en-GB"/>
        </w:rPr>
        <w:instrText xml:space="preserve"> ADDIN ZOTERO_ITEM CSL_CITATION {"citationID":"dapLLeAy","properties":{"formattedCitation":"\\super 46,76\\nosupersub{}","plainCitation":"46,76","noteIndex":0},"citationItems":[{"id":"O1teipoB/fFs5ohOP","uris":["http://zotero.org/users/local/PPdTUNu5/items/T9A2GVKE"],"itemData":{"id":"PO2m5LFC/3urAgfRx","type":"article-journal","abstract":"Effect sizes are an important outcome of quantitative research, but few guidelines exist that explain how researchers can determine which effect sizes are meaningful. Psychologists often want to study effects that are large enough to make a difference to people's subjective experience. Thus, subjective experience is one way to gauge the meaningfulness of an effect. We propose and illustrate one method for how to quantify the smallest subjectively experienced difference—the smallest change in an outcome measure that individuals consider to be meaningful enough in their subjective experience such that they are willing to rate themselves as feeling different—using an anchor-based method with a global rating of change question applied to the positive and negative affect scale. We provide a step-by-step guide for the questions that researchers need to consider in deciding whether and how to use the anchor-based method, and we make explicit the assumptions of the method that future research can examine. For researchers interested in people's subjective experiences, this anchor-based method provides one way to specify a smallest effect size of interest, which allows researchers to interpret observed results in terms of their theoretical and practical significance.","container-title":"Journal of Experimental Social Psychology","DOI":"10.1016/j.jesp.2021.104159","ISSN":"0022-1031","journalAbbreviation":"Journal of Experimental Social Psychology","language":"en","page":"104159","source":"ScienceDirect","title":"Using anchor-based methods to determine the smallest effect size of interest","volume":"96","author":[{"family":"Anvari","given":"Farid"},{"family":"Lakens","given":"Daniël"}],"issued":{"date-parts":[["2021",9,1]]}}},{"id":701,"uris":["http://zotero.org/users/8302469/items/RB8MME6D"],"itemData":{"id":701,"type":"article-journal","abstract":"Scientists should be able to provide support for the absence of a meaningful effect. Currently, researchers often incorrectly conclude an effect is absent based a nonsignificant result. A widely recommended approach within a frequentist framework is to test for equivalence. In equivalence tests, such as the two one-sided tests (TOST) procedure discussed in this article, an upper and lower equivalence bound is specified based on the smallest effect size of interest. The TOST procedure can be used to statistically reject the presence of effects large enough to be considered worthwhile. This practical primer with accompanying spreadsheet and R package enables psychologists to easily perform equivalence tests (and power analyses) by setting equivalence bounds based on standardized effect sizes and provides recommendations to prespecify equivalence bounds. Extending your statistical tool kit with equivalence tests is an easy way to improve your statistical and theoretical inferences.","container-title":"Social Psychological and Personality Science","DOI":"10.1177/1948550617697177","ISSN":"1948-5506","issue":"4","journalAbbreviation":"Social Psychological and Personality Science","language":"en","note":"publisher: SAGE Publications Inc","page":"355-362","source":"SAGE Journals","title":"Equivalence Tests: A Practical Primer for t Tests, Correlations, and Meta-Analyses","title-short":"Equivalence Tests","volume":"8","author":[{"family":"Lakens","given":"Daniël"}],"issued":{"date-parts":[["2017",5,1]]}}}],"schema":"https://github.com/citation-style-language/schema/raw/master/csl-citation.json"} </w:instrText>
      </w:r>
      <w:r w:rsidRPr="004C7F6F">
        <w:rPr>
          <w:lang w:val="en-GB"/>
        </w:rPr>
        <w:fldChar w:fldCharType="separate"/>
      </w:r>
      <w:r w:rsidRPr="00F44C08">
        <w:rPr>
          <w:rFonts w:ascii="Calibri" w:hAnsi="Calibri" w:cs="Calibri"/>
          <w:szCs w:val="24"/>
          <w:vertAlign w:val="superscript"/>
        </w:rPr>
        <w:t>46,76</w:t>
      </w:r>
      <w:r w:rsidRPr="004C7F6F">
        <w:rPr>
          <w:lang w:val="en-GB"/>
        </w:rPr>
        <w:fldChar w:fldCharType="end"/>
      </w:r>
      <w:r w:rsidRPr="004C7F6F">
        <w:rPr>
          <w:lang w:val="en-GB"/>
        </w:rPr>
        <w:t xml:space="preserve"> for the definition of equivalence boundaries was oriented on the anchor intervals used in the Tremor scale. We reasoned that the minimal clinically relevant difference of tremor amplitudes most likely corresponds to the boundary between score 0, “no tremor” and score 1, “slight tremor”. However, no amplitude estimate is used as an anchor for this differentiation in the Tremor scale. Based on the 20 mm intervals used to differentiate the subsequent score levels 2-4, which align with our clinical experience in terms of tremor relevance to everyday life, as well as previous technical validations of sensor-based tremor amplitude measurements achieving accuracies ±10 mm</w:t>
      </w:r>
      <w:r w:rsidRPr="004C7F6F">
        <w:rPr>
          <w:lang w:val="en-GB"/>
        </w:rPr>
        <w:fldChar w:fldCharType="begin"/>
      </w:r>
      <w:r>
        <w:rPr>
          <w:lang w:val="en-GB"/>
        </w:rPr>
        <w:instrText xml:space="preserve"> ADDIN ZOTERO_ITEM CSL_CITATION {"citationID":"HfUDhM8Y","properties":{"formattedCitation":"\\super 77\\nosupersub{}","plainCitation":"77","noteIndex":0},"citationItems":[{"id":2196,"uris":["http://zotero.org/users/8302469/items/CTHZ8HDQ"],"itemData":{"id":2196,"type":"article-journal","abstract":"Background Assessment of essential tremor is often done by a trained clinician who observes the limbs during different postures and actions and subsequently rates the tremor. While this method has been shown to be reliable, the inter- and intra-rater reliability and need for training can make the use of this method for symptom progression difficult. Many limitations of clinical rating scales can potentially be overcome by using inertial sensors, but to date many algorithms designed to quantify tremor have key limitations. Methods We propose a novel algorithm to characterize tremor using inertial sensors. It uses a two-stage approach that 1) estimates the tremor frequency of a subject and only quantifies tremor near that range; 2) estimates the tremor amplitude as the portion of signal power above baseline activity during recording, allowing tremor estimation even in the presence of other activity; and 3) estimates tremor amplitude in physical units of translation (cm) and rotation (°), consistent with current tremor rating scales. We validated the algorithm technically using a robotic arm and clinically by comparing algorithm output with data reported by a trained clinician administering a tremor rating scale to a cohort of essential tremor patients. Results Technical validation demonstrated rotational amplitude accuracy better than ±0.2 degrees and position amplitude accuracy better than ±0.1 cm. Clinical validation revealed that both rotation and position components were significantly correlated with tremor rating scale scores. Conclusion We demonstrate that our algorithm can quantify tremor accurately even in the presence of other activities, perhaps providing a step forward for at-home monitoring.","container-title":"IEEE Journal of Translational Engineering in Health and Medicine","DOI":"10.1109/JTEHM.2020.3032924","ISSN":"2168-2372","journalAbbreviation":"IEEE J Transl Eng Health Med","note":"PMID: 33150096\nPMCID: PMC7608862","page":"2700110","source":"PubMed Central","title":"Quantifying Tremor in Essential Tremor Using Inertial Sensors—Validation of an Algorithm","volume":"9","issued":{"date-parts":[["2020",10,21]]}}}],"schema":"https://github.com/citation-style-language/schema/raw/master/csl-citation.json"} </w:instrText>
      </w:r>
      <w:r w:rsidRPr="004C7F6F">
        <w:rPr>
          <w:lang w:val="en-GB"/>
        </w:rPr>
        <w:fldChar w:fldCharType="separate"/>
      </w:r>
      <w:r w:rsidRPr="00843341">
        <w:rPr>
          <w:rFonts w:ascii="Calibri" w:hAnsi="Calibri" w:cs="Calibri"/>
          <w:szCs w:val="24"/>
          <w:vertAlign w:val="superscript"/>
        </w:rPr>
        <w:t>77</w:t>
      </w:r>
      <w:r w:rsidRPr="004C7F6F">
        <w:rPr>
          <w:lang w:val="en-GB"/>
        </w:rPr>
        <w:fldChar w:fldCharType="end"/>
      </w:r>
      <w:r w:rsidRPr="004C7F6F">
        <w:rPr>
          <w:lang w:val="en-GB"/>
        </w:rPr>
        <w:t>, a SESOI of 10 mm was empirically derived. Half of the Tremor score anchor interval, this value was intended to reflect a rather conservative estimate of the minimally clinical important difference. For tremor frequency, a SESOI of 0.5 Hz was chosen in accordance with similar previous work</w:t>
      </w:r>
      <w:r w:rsidRPr="004C7F6F">
        <w:rPr>
          <w:lang w:val="en-GB"/>
        </w:rPr>
        <w:fldChar w:fldCharType="begin"/>
      </w:r>
      <w:r>
        <w:rPr>
          <w:lang w:val="en-GB"/>
        </w:rPr>
        <w:instrText xml:space="preserve"> ADDIN ZOTERO_ITEM CSL_CITATION {"citationID":"gSGc6vZO","properties":{"formattedCitation":"\\super 23\\nosupersub{}","plainCitation":"23","noteIndex":0},"citationItems":[{"id":1230,"uris":["http://zotero.org/users/8302469/items/BAA8623B"],"itemData":{"id":1230,"type":"article-journal","abstract":"Background Computer vision can measure movement from video without the time and access limitations of hospital accelerometry/electromyography or the requirement to hold or strap a smartphone accelerometer. Objective To compare computer vision measurement of hand tremor frequency from smartphone video with a gold standard measure accelerometer. Methods A total of 37 smartphone videos of hands, at rest and in posture, were recorded from 15 participants with tremor diagnoses (9 Parkinson's disease, 5 essential tremor, 1 functional tremor). Video pixel movement was measured using the computing technique of optical flow, with contemporaneous accelerometer recording. Fast Fourier transform and Bland-Altman analysis were applied. Tremor amplitude was scored by 2 clinicians. Results Bland-Altman analysis of dominant tremor frequency from smartphone video compared with accelerometer showed excellent agreement: 95% limits of agreement −0.38 Hz to +0.35 Hz. In 36 of 37 videos (97%), there was &lt;0.5 Hz difference between computer vision and accelerometer measurement. There was no significant correlation between the level of agreement and tremor amplitude. Conclusion The study suggests a potential new, contactless point-and-press measure of tremor frequency within standard clinical settings, research studies, or telemedicine.","container-title":"Movement Disorders Clinical Practice","DOI":"10.1002/mdc3.13119","ISSN":"2330-1619","issue":"1","language":"en","note":"_eprint: https://onlinelibrary.wiley.com/doi/pdf/10.1002/mdc3.13119","page":"69-75","source":"Wiley Online Library","title":"Accuracy of Smartphone Video for Contactless Measurement of Hand Tremor Frequency","volume":"8","author":[{"family":"Williams","given":"Stefan"},{"family":"Fang","given":"Hui"},{"family":"Relton","given":"Samuel D."},{"family":"Wong","given":"David C."},{"family":"Alam","given":"Taimour"},{"family":"Alty","given":"Jane E."}],"issued":{"date-parts":[["2021"]]}}}],"schema":"https://github.com/citation-style-language/schema/raw/master/csl-citation.json"} </w:instrText>
      </w:r>
      <w:r w:rsidRPr="004C7F6F">
        <w:rPr>
          <w:lang w:val="en-GB"/>
        </w:rPr>
        <w:fldChar w:fldCharType="separate"/>
      </w:r>
      <w:r w:rsidRPr="00F22C28">
        <w:rPr>
          <w:rFonts w:ascii="Calibri" w:hAnsi="Calibri" w:cs="Calibri"/>
          <w:szCs w:val="24"/>
          <w:vertAlign w:val="superscript"/>
        </w:rPr>
        <w:t>23</w:t>
      </w:r>
      <w:r w:rsidRPr="004C7F6F">
        <w:rPr>
          <w:lang w:val="en-GB"/>
        </w:rPr>
        <w:fldChar w:fldCharType="end"/>
      </w:r>
      <w:r w:rsidRPr="004C7F6F">
        <w:rPr>
          <w:lang w:val="en-GB"/>
        </w:rPr>
        <w:t>. For precision metrics, no a priori information was available. In line with previous work</w:t>
      </w:r>
      <w:r w:rsidRPr="004C7F6F">
        <w:rPr>
          <w:lang w:val="en-GB"/>
        </w:rPr>
        <w:fldChar w:fldCharType="begin"/>
      </w:r>
      <w:r>
        <w:rPr>
          <w:lang w:val="en-GB"/>
        </w:rPr>
        <w:instrText xml:space="preserve"> ADDIN ZOTERO_ITEM CSL_CITATION {"citationID":"FvFZCU3m","properties":{"formattedCitation":"\\super 27\\nosupersub{}","plainCitation":"27","noteIndex":0},"citationItems":[{"id":1574,"uris":["http://zotero.org/users/8302469/items/U3ZPPIQD"],"itemData":{"id":1574,"type":"article-journal","abstract":"Eye movement abnormalities are commonplace in neurological disorders. However, unaided eye movement assessments lack granularity. Although videooculography (VOG) improves diagnostic accuracy, resource intensiveness precludes its broad use. To bridge this care gap, we here validate a framework for smartphone video-based nystagmography capitalizing on recent computer vision advances.","container-title":"Journal of Neurology","DOI":"10.1007/s00415-022-11493-1","ISSN":"1432-1459","journalAbbreviation":"J Neurol","language":"en","source":"Springer Link","title":"Smartphone video nystagmography using convolutional neural networks: ConVNG","title-short":"Smartphone video nystagmography using convolutional neural networks","URL":"https://doi.org/10.1007/s00415-022-11493-1","author":[{"family":"Friedrich","given":"Maximilian U."},{"family":"Schneider","given":"Erich"},{"family":"Buerklein","given":"Miriam"},{"family":"Taeger","given":"Johannes"},{"family":"Hartig","given":"Johannes"},{"family":"Volkmann","given":"Jens"},{"family":"Peach","given":"Robert"},{"family":"Zeller","given":"Daniel"}],"accessed":{"date-parts":[["2022",11,29]]},"issued":{"date-parts":[["2022",11,23]]}}}],"schema":"https://github.com/citation-style-language/schema/raw/master/csl-citation.json"} </w:instrText>
      </w:r>
      <w:r w:rsidRPr="004C7F6F">
        <w:rPr>
          <w:lang w:val="en-GB"/>
        </w:rPr>
        <w:fldChar w:fldCharType="separate"/>
      </w:r>
      <w:r w:rsidRPr="00F22C28">
        <w:rPr>
          <w:rFonts w:ascii="Calibri" w:hAnsi="Calibri" w:cs="Calibri"/>
          <w:szCs w:val="24"/>
          <w:vertAlign w:val="superscript"/>
        </w:rPr>
        <w:t>27</w:t>
      </w:r>
      <w:r w:rsidRPr="004C7F6F">
        <w:rPr>
          <w:lang w:val="en-GB"/>
        </w:rPr>
        <w:fldChar w:fldCharType="end"/>
      </w:r>
      <w:r w:rsidRPr="004C7F6F">
        <w:rPr>
          <w:lang w:val="en-GB"/>
        </w:rPr>
        <w:t xml:space="preserve">, the respective SESOI was anchored at the minimum precision calculated from gold standard, accelerometry. To exclude significant confounding by potential outliers, equivalence boundaries were empirically lowered to determine a hypothetical minimum given the data. Equivalence was assessed with the two one-sample t-test (TOST) method as implemented in JAMOVI Version 2.2.5.0. </w:t>
      </w:r>
    </w:p>
    <w:p w14:paraId="5CA8D10F" w14:textId="77777777" w:rsidR="00F470CD" w:rsidRPr="004C7F6F" w:rsidRDefault="00F470CD" w:rsidP="00F470CD">
      <w:pPr>
        <w:pStyle w:val="Heading2"/>
        <w:rPr>
          <w:lang w:val="en-GB"/>
        </w:rPr>
      </w:pPr>
      <w:r w:rsidRPr="004C7F6F">
        <w:rPr>
          <w:lang w:val="en-GB"/>
        </w:rPr>
        <w:t>LOOCV analysis</w:t>
      </w:r>
    </w:p>
    <w:p w14:paraId="2ECE17BE" w14:textId="53690397" w:rsidR="00000000" w:rsidRDefault="00F470CD" w:rsidP="00F470CD">
      <w:r w:rsidRPr="004C7F6F">
        <w:rPr>
          <w:lang w:val="en-US"/>
        </w:rPr>
        <w:t xml:space="preserve">Leave-One-Out Cross-Validation (LOOCV) was used to evaluate the performance of the logistic regression model for DBS outcome prediction. We used kinematic features and the binarized outcome variable based on a </w:t>
      </w:r>
      <w:r w:rsidRPr="004C7F6F">
        <w:rPr>
          <w:rFonts w:cstheme="minorHAnsi"/>
          <w:lang w:val="en-US"/>
        </w:rPr>
        <w:t>≥</w:t>
      </w:r>
      <w:r w:rsidRPr="004C7F6F">
        <w:rPr>
          <w:lang w:val="en-US"/>
        </w:rPr>
        <w:t>30% kinetic tremor amplitude increase for analysis. The LOOCV procedure involved iteratively training the model on all samples except one, which was then used as the test set. This process was repeated for each sample, resulting in multiple rounds of training and testing. Performance metrics, such as accuracy, precision, recall, F1-score, AUROC, balanced accuracy, and the confusion matrix, were calculated to assess the model's predictive capability. Additionally, we performed a Wald test to determine the significance of each selected feature as an independent predictor of the outcome. The LOOCV and associated performance evaluation were executed using Python and various libraries, including scikit-learn, statsmodels, and seaborn, to support the analysis and generate high-resolution plots for visualization.</w:t>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0CD"/>
    <w:rsid w:val="003107CE"/>
    <w:rsid w:val="00316534"/>
    <w:rsid w:val="00373D83"/>
    <w:rsid w:val="005C224D"/>
    <w:rsid w:val="00622525"/>
    <w:rsid w:val="006B2C4D"/>
    <w:rsid w:val="00786892"/>
    <w:rsid w:val="007A60A6"/>
    <w:rsid w:val="00A0389B"/>
    <w:rsid w:val="00A62BE7"/>
    <w:rsid w:val="00B1250C"/>
    <w:rsid w:val="00D50CFA"/>
    <w:rsid w:val="00EA60E3"/>
    <w:rsid w:val="00F47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F8AC5"/>
  <w15:chartTrackingRefBased/>
  <w15:docId w15:val="{2AD8A78F-D543-4603-83D8-112A9D7B5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0CD"/>
    <w:rPr>
      <w:kern w:val="0"/>
      <w:lang w:val="sv-SE"/>
      <w14:ligatures w14:val="none"/>
    </w:rPr>
  </w:style>
  <w:style w:type="paragraph" w:styleId="Heading1">
    <w:name w:val="heading 1"/>
    <w:basedOn w:val="Normal"/>
    <w:next w:val="Normal"/>
    <w:link w:val="Heading1Char"/>
    <w:uiPriority w:val="9"/>
    <w:qFormat/>
    <w:rsid w:val="00F470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470C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470C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470C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70CD"/>
    <w:rPr>
      <w:rFonts w:asciiTheme="majorHAnsi" w:eastAsiaTheme="majorEastAsia" w:hAnsiTheme="majorHAnsi" w:cstheme="majorBidi"/>
      <w:color w:val="2F5496" w:themeColor="accent1" w:themeShade="BF"/>
      <w:kern w:val="0"/>
      <w:sz w:val="32"/>
      <w:szCs w:val="32"/>
      <w:lang w:val="sv-SE"/>
      <w14:ligatures w14:val="none"/>
    </w:rPr>
  </w:style>
  <w:style w:type="character" w:customStyle="1" w:styleId="Heading2Char">
    <w:name w:val="Heading 2 Char"/>
    <w:basedOn w:val="DefaultParagraphFont"/>
    <w:link w:val="Heading2"/>
    <w:uiPriority w:val="9"/>
    <w:rsid w:val="00F470CD"/>
    <w:rPr>
      <w:rFonts w:asciiTheme="majorHAnsi" w:eastAsiaTheme="majorEastAsia" w:hAnsiTheme="majorHAnsi" w:cstheme="majorBidi"/>
      <w:color w:val="2F5496" w:themeColor="accent1" w:themeShade="BF"/>
      <w:kern w:val="0"/>
      <w:sz w:val="26"/>
      <w:szCs w:val="26"/>
      <w:lang w:val="sv-SE"/>
      <w14:ligatures w14:val="none"/>
    </w:rPr>
  </w:style>
  <w:style w:type="character" w:customStyle="1" w:styleId="Heading3Char">
    <w:name w:val="Heading 3 Char"/>
    <w:basedOn w:val="DefaultParagraphFont"/>
    <w:link w:val="Heading3"/>
    <w:uiPriority w:val="9"/>
    <w:rsid w:val="00F470CD"/>
    <w:rPr>
      <w:rFonts w:asciiTheme="majorHAnsi" w:eastAsiaTheme="majorEastAsia" w:hAnsiTheme="majorHAnsi" w:cstheme="majorBidi"/>
      <w:color w:val="1F3763" w:themeColor="accent1" w:themeShade="7F"/>
      <w:kern w:val="0"/>
      <w:sz w:val="24"/>
      <w:szCs w:val="24"/>
      <w:lang w:val="sv-SE"/>
      <w14:ligatures w14:val="none"/>
    </w:rPr>
  </w:style>
  <w:style w:type="character" w:customStyle="1" w:styleId="Heading4Char">
    <w:name w:val="Heading 4 Char"/>
    <w:basedOn w:val="DefaultParagraphFont"/>
    <w:link w:val="Heading4"/>
    <w:uiPriority w:val="9"/>
    <w:rsid w:val="00F470CD"/>
    <w:rPr>
      <w:rFonts w:asciiTheme="majorHAnsi" w:eastAsiaTheme="majorEastAsia" w:hAnsiTheme="majorHAnsi" w:cstheme="majorBidi"/>
      <w:i/>
      <w:iCs/>
      <w:color w:val="2F5496" w:themeColor="accent1" w:themeShade="BF"/>
      <w:kern w:val="0"/>
      <w:lang w:val="sv-SE"/>
      <w14:ligatures w14:val="none"/>
    </w:rPr>
  </w:style>
  <w:style w:type="paragraph" w:styleId="Caption">
    <w:name w:val="caption"/>
    <w:basedOn w:val="Normal"/>
    <w:next w:val="Normal"/>
    <w:uiPriority w:val="35"/>
    <w:unhideWhenUsed/>
    <w:qFormat/>
    <w:rsid w:val="00F470C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12339</Words>
  <Characters>70334</Characters>
  <Application>Microsoft Office Word</Application>
  <DocSecurity>0</DocSecurity>
  <Lines>586</Lines>
  <Paragraphs>165</Paragraphs>
  <ScaleCrop>false</ScaleCrop>
  <Company/>
  <LinksUpToDate>false</LinksUpToDate>
  <CharactersWithSpaces>82508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Yong-Sheng Hu</dc:creator>
  <cp:keywords/>
  <dc:description/>
  <cp:lastModifiedBy>Yong-Sheng Hu</cp:lastModifiedBy>
  <cp:revision>1</cp:revision>
  <dcterms:created xsi:type="dcterms:W3CDTF">2023-12-01T20:08:00Z</dcterms:created>
  <dcterms:modified xsi:type="dcterms:W3CDTF">2023-12-01T20:09:00Z</dcterms:modified>
</cp:coreProperties>
</file>