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03206" w14:textId="468277BE" w:rsidR="00A176C4" w:rsidRDefault="00A176C4"/>
    <w:p w14:paraId="163895F5" w14:textId="13DD9AFE" w:rsidR="002E1256" w:rsidRDefault="002E1256"/>
    <w:p w14:paraId="378FC496" w14:textId="77777777" w:rsidR="002E1256" w:rsidRDefault="002E1256">
      <w:pPr>
        <w:rPr>
          <w:rFonts w:hint="eastAsia"/>
        </w:rPr>
      </w:pPr>
    </w:p>
    <w:p w14:paraId="045F5A2A" w14:textId="0E1D661E" w:rsidR="009156C2" w:rsidRDefault="009156C2" w:rsidP="009156C2">
      <w:pPr>
        <w:spacing w:line="276" w:lineRule="auto"/>
        <w:rPr>
          <w:rFonts w:ascii="Times New Roman" w:hAnsi="Times New Roman" w:cs="Times New Roman"/>
          <w:color w:val="000000"/>
          <w:kern w:val="0"/>
          <w:szCs w:val="20"/>
        </w:rPr>
      </w:pPr>
      <w:bookmarkStart w:id="0" w:name="_Hlk32432265"/>
      <w:r w:rsidRPr="007D7963">
        <w:rPr>
          <w:rFonts w:ascii="Times New Roman" w:hAnsi="Times New Roman" w:cs="Times New Roman"/>
          <w:b/>
          <w:bCs/>
          <w:color w:val="000000"/>
          <w:kern w:val="0"/>
          <w:szCs w:val="20"/>
        </w:rPr>
        <w:t>Figure.</w:t>
      </w:r>
      <w:r>
        <w:rPr>
          <w:rFonts w:ascii="Times New Roman" w:hAnsi="Times New Roman" w:cs="Times New Roman"/>
          <w:b/>
          <w:bCs/>
          <w:color w:val="000000"/>
          <w:kern w:val="0"/>
          <w:szCs w:val="20"/>
        </w:rPr>
        <w:t xml:space="preserve"> </w:t>
      </w:r>
      <w:r w:rsidRPr="007D7963">
        <w:rPr>
          <w:rFonts w:ascii="Times New Roman" w:hAnsi="Times New Roman" w:cs="Times New Roman"/>
          <w:b/>
          <w:bCs/>
          <w:color w:val="000000"/>
          <w:kern w:val="0"/>
          <w:szCs w:val="20"/>
        </w:rPr>
        <w:t>S1</w:t>
      </w:r>
      <w:bookmarkEnd w:id="0"/>
      <w:r w:rsidRPr="007D7963">
        <w:rPr>
          <w:rFonts w:ascii="Times New Roman" w:hAnsi="Times New Roman" w:cs="Times New Roman"/>
          <w:b/>
          <w:bCs/>
          <w:color w:val="000000"/>
          <w:kern w:val="0"/>
          <w:szCs w:val="20"/>
        </w:rPr>
        <w:t xml:space="preserve"> </w:t>
      </w:r>
      <w:r w:rsidRPr="007D7963">
        <w:rPr>
          <w:rFonts w:ascii="Times New Roman" w:hAnsi="Times New Roman" w:cs="Times New Roman"/>
          <w:color w:val="000000"/>
          <w:kern w:val="0"/>
          <w:szCs w:val="20"/>
        </w:rPr>
        <w:t xml:space="preserve">Gene expression level of 11 IRGs contained in IRGPI (based on </w:t>
      </w:r>
      <w:bookmarkStart w:id="1" w:name="OLE_LINK49"/>
      <w:proofErr w:type="spellStart"/>
      <w:r w:rsidRPr="005A4783">
        <w:rPr>
          <w:rFonts w:ascii="Times New Roman" w:hAnsi="Times New Roman" w:cs="Times New Roman"/>
          <w:color w:val="000000"/>
          <w:kern w:val="0"/>
          <w:szCs w:val="20"/>
        </w:rPr>
        <w:t>Oncomine</w:t>
      </w:r>
      <w:bookmarkEnd w:id="1"/>
      <w:proofErr w:type="spellEnd"/>
      <w:r w:rsidRPr="005A4783">
        <w:rPr>
          <w:rFonts w:ascii="Times New Roman" w:hAnsi="Times New Roman" w:cs="Times New Roman"/>
          <w:color w:val="000000"/>
          <w:kern w:val="0"/>
          <w:szCs w:val="20"/>
        </w:rPr>
        <w:t xml:space="preserve"> da</w:t>
      </w:r>
      <w:r w:rsidRPr="00FC749C">
        <w:rPr>
          <w:rFonts w:ascii="Times New Roman" w:hAnsi="Times New Roman" w:cs="Times New Roman"/>
          <w:color w:val="000000"/>
          <w:kern w:val="0"/>
          <w:szCs w:val="20"/>
        </w:rPr>
        <w:t>tabas</w:t>
      </w:r>
      <w:r w:rsidRPr="007D7963">
        <w:rPr>
          <w:rFonts w:ascii="Times New Roman" w:hAnsi="Times New Roman" w:cs="Times New Roman"/>
          <w:color w:val="000000"/>
          <w:kern w:val="0"/>
          <w:szCs w:val="20"/>
        </w:rPr>
        <w:t>e).</w:t>
      </w:r>
    </w:p>
    <w:p w14:paraId="5912B022" w14:textId="2C55FDF5" w:rsidR="009156C2" w:rsidRDefault="002E1256" w:rsidP="009156C2">
      <w:pPr>
        <w:spacing w:line="276" w:lineRule="auto"/>
        <w:rPr>
          <w:rFonts w:ascii="Times New Roman" w:hAnsi="Times New Roman" w:cs="Times New Roman"/>
          <w:color w:val="000000"/>
          <w:kern w:val="0"/>
          <w:szCs w:val="20"/>
        </w:rPr>
      </w:pPr>
      <w:r>
        <w:rPr>
          <w:rFonts w:ascii="Times New Roman" w:hAnsi="Times New Roman" w:cs="Times New Roman"/>
          <w:noProof/>
          <w:color w:val="000000"/>
          <w:kern w:val="0"/>
          <w:szCs w:val="20"/>
        </w:rPr>
        <w:drawing>
          <wp:anchor distT="0" distB="0" distL="114300" distR="114300" simplePos="0" relativeHeight="251659264" behindDoc="0" locked="0" layoutInCell="1" allowOverlap="1" wp14:anchorId="59FC556D" wp14:editId="51962DE5">
            <wp:simplePos x="0" y="0"/>
            <wp:positionH relativeFrom="margin">
              <wp:align>left</wp:align>
            </wp:positionH>
            <wp:positionV relativeFrom="paragraph">
              <wp:posOffset>359410</wp:posOffset>
            </wp:positionV>
            <wp:extent cx="5133379" cy="3263704"/>
            <wp:effectExtent l="0" t="0" r="0" b="0"/>
            <wp:wrapSquare wrapText="bothSides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379" cy="3263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4398013" w14:textId="4EDDC186" w:rsidR="009156C2" w:rsidRPr="009156C2" w:rsidRDefault="009156C2"/>
    <w:p w14:paraId="280CCD5C" w14:textId="291F2EDC" w:rsidR="009156C2" w:rsidRDefault="009156C2"/>
    <w:p w14:paraId="3E2B813B" w14:textId="2BB10F14" w:rsidR="009156C2" w:rsidRDefault="009156C2"/>
    <w:p w14:paraId="429C4DAE" w14:textId="015CD6C5" w:rsidR="002E1256" w:rsidRDefault="002E1256"/>
    <w:p w14:paraId="61A7ECC6" w14:textId="02336464" w:rsidR="002E1256" w:rsidRDefault="002E1256"/>
    <w:p w14:paraId="089F03F5" w14:textId="57678740" w:rsidR="002E1256" w:rsidRDefault="002E1256"/>
    <w:p w14:paraId="39BC8A64" w14:textId="1115FB51" w:rsidR="002E1256" w:rsidRDefault="002E1256"/>
    <w:p w14:paraId="135715DD" w14:textId="0EEE850C" w:rsidR="002E1256" w:rsidRDefault="002E1256"/>
    <w:p w14:paraId="6F72D4F4" w14:textId="23608C4E" w:rsidR="002E1256" w:rsidRDefault="002E1256"/>
    <w:p w14:paraId="49F342F5" w14:textId="145C9ACE" w:rsidR="002E1256" w:rsidRDefault="002E1256"/>
    <w:p w14:paraId="3FAB9698" w14:textId="34BD232E" w:rsidR="002E1256" w:rsidRDefault="002E1256"/>
    <w:p w14:paraId="56FB6D02" w14:textId="0691C2A4" w:rsidR="002E1256" w:rsidRDefault="002E1256"/>
    <w:p w14:paraId="20E4CA0C" w14:textId="0427F83E" w:rsidR="002E1256" w:rsidRDefault="002E1256"/>
    <w:p w14:paraId="0C6B19C0" w14:textId="03C78936" w:rsidR="002E1256" w:rsidRDefault="002E1256"/>
    <w:p w14:paraId="18E78169" w14:textId="045C53BE" w:rsidR="002E1256" w:rsidRDefault="002E1256"/>
    <w:p w14:paraId="65055525" w14:textId="18A06454" w:rsidR="002E1256" w:rsidRDefault="002E1256"/>
    <w:p w14:paraId="5C35B5F8" w14:textId="1392C190" w:rsidR="002E1256" w:rsidRDefault="002E1256"/>
    <w:p w14:paraId="00187C52" w14:textId="46660272" w:rsidR="002E1256" w:rsidRDefault="002E1256"/>
    <w:p w14:paraId="5278B325" w14:textId="7B7D70D9" w:rsidR="002E1256" w:rsidRDefault="002E1256"/>
    <w:p w14:paraId="165F2FF1" w14:textId="5CBEF4CF" w:rsidR="002E1256" w:rsidRDefault="002E1256"/>
    <w:p w14:paraId="24C2953F" w14:textId="57E468E1" w:rsidR="002E1256" w:rsidRDefault="002E1256"/>
    <w:p w14:paraId="70985527" w14:textId="1F07BC12" w:rsidR="002E1256" w:rsidRDefault="002E1256"/>
    <w:p w14:paraId="1C74C3A6" w14:textId="29A88452" w:rsidR="002E1256" w:rsidRDefault="002E1256">
      <w:pPr>
        <w:rPr>
          <w:rFonts w:hint="eastAsia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7E350A8" wp14:editId="40E904D2">
            <wp:simplePos x="0" y="0"/>
            <wp:positionH relativeFrom="margin">
              <wp:align>center</wp:align>
            </wp:positionH>
            <wp:positionV relativeFrom="paragraph">
              <wp:posOffset>274955</wp:posOffset>
            </wp:positionV>
            <wp:extent cx="5274310" cy="6325870"/>
            <wp:effectExtent l="0" t="0" r="254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745095E" w14:textId="0F98D88C" w:rsidR="009156C2" w:rsidRDefault="009156C2"/>
    <w:p w14:paraId="0A5F24BB" w14:textId="77777777" w:rsidR="002E1256" w:rsidRDefault="002E1256" w:rsidP="009156C2">
      <w:pPr>
        <w:spacing w:line="276" w:lineRule="auto"/>
        <w:rPr>
          <w:rFonts w:ascii="Times New Roman" w:hAnsi="Times New Roman" w:cs="Times New Roman"/>
          <w:b/>
          <w:bCs/>
          <w:color w:val="000000"/>
          <w:kern w:val="0"/>
          <w:szCs w:val="20"/>
        </w:rPr>
      </w:pPr>
    </w:p>
    <w:p w14:paraId="17767CC3" w14:textId="466ACD9F" w:rsidR="009156C2" w:rsidRDefault="009156C2" w:rsidP="009156C2">
      <w:pPr>
        <w:spacing w:line="276" w:lineRule="auto"/>
        <w:rPr>
          <w:rFonts w:ascii="Times New Roman" w:hAnsi="Times New Roman" w:cs="Times New Roman"/>
          <w:color w:val="000000"/>
          <w:kern w:val="0"/>
          <w:szCs w:val="20"/>
        </w:rPr>
      </w:pPr>
      <w:r w:rsidRPr="00E07B79">
        <w:rPr>
          <w:rFonts w:ascii="Times New Roman" w:hAnsi="Times New Roman" w:cs="Times New Roman"/>
          <w:b/>
          <w:bCs/>
          <w:color w:val="000000"/>
          <w:kern w:val="0"/>
          <w:szCs w:val="20"/>
        </w:rPr>
        <w:t>Figure</w:t>
      </w:r>
      <w:r>
        <w:rPr>
          <w:rFonts w:ascii="Times New Roman" w:hAnsi="Times New Roman" w:cs="Times New Roman"/>
          <w:b/>
          <w:bCs/>
          <w:color w:val="000000"/>
          <w:kern w:val="0"/>
          <w:szCs w:val="20"/>
        </w:rPr>
        <w:t>.</w:t>
      </w:r>
      <w:r w:rsidRPr="00E07B79">
        <w:rPr>
          <w:rFonts w:ascii="Times New Roman" w:hAnsi="Times New Roman" w:cs="Times New Roman"/>
          <w:b/>
          <w:bCs/>
          <w:color w:val="000000"/>
          <w:kern w:val="0"/>
          <w:szCs w:val="20"/>
        </w:rPr>
        <w:t xml:space="preserve"> S2</w:t>
      </w:r>
      <w:r w:rsidRPr="00E07B79">
        <w:rPr>
          <w:rFonts w:ascii="Times New Roman" w:hAnsi="Times New Roman" w:cs="Times New Roman"/>
          <w:color w:val="000000"/>
          <w:kern w:val="0"/>
          <w:szCs w:val="20"/>
        </w:rPr>
        <w:t xml:space="preserve"> The relationship between the IRGPI and tumor mutation burden (TMB).</w:t>
      </w:r>
      <w:r>
        <w:rPr>
          <w:rFonts w:ascii="Times New Roman" w:hAnsi="Times New Roman" w:cs="Times New Roman"/>
          <w:color w:val="000000"/>
          <w:kern w:val="0"/>
          <w:szCs w:val="20"/>
        </w:rPr>
        <w:t xml:space="preserve"> </w:t>
      </w:r>
      <w:r w:rsidRPr="00972959">
        <w:rPr>
          <w:rFonts w:ascii="Times New Roman" w:hAnsi="Times New Roman" w:cs="Times New Roman"/>
          <w:bCs/>
          <w:kern w:val="0"/>
          <w:szCs w:val="20"/>
        </w:rPr>
        <w:t>Mutation profile of the high-risk group</w:t>
      </w:r>
      <w:r>
        <w:rPr>
          <w:rFonts w:ascii="Times New Roman" w:hAnsi="Times New Roman" w:cs="Times New Roman"/>
          <w:bCs/>
          <w:kern w:val="0"/>
          <w:szCs w:val="20"/>
        </w:rPr>
        <w:t xml:space="preserve"> </w:t>
      </w:r>
      <w:r w:rsidRPr="009646DA">
        <w:rPr>
          <w:rFonts w:ascii="Times New Roman" w:hAnsi="Times New Roman" w:cs="Times New Roman"/>
          <w:bCs/>
          <w:kern w:val="0"/>
          <w:szCs w:val="20"/>
        </w:rPr>
        <w:t>(A)</w:t>
      </w:r>
      <w:r>
        <w:rPr>
          <w:rFonts w:ascii="Times New Roman" w:hAnsi="Times New Roman" w:cs="Times New Roman"/>
          <w:bCs/>
          <w:kern w:val="0"/>
          <w:szCs w:val="20"/>
        </w:rPr>
        <w:t>,</w:t>
      </w:r>
      <w:r w:rsidRPr="00972959">
        <w:rPr>
          <w:rFonts w:ascii="Times New Roman" w:hAnsi="Times New Roman" w:cs="Times New Roman"/>
          <w:bCs/>
          <w:kern w:val="0"/>
          <w:szCs w:val="20"/>
        </w:rPr>
        <w:t xml:space="preserve"> the low-risk group</w:t>
      </w:r>
      <w:r>
        <w:rPr>
          <w:rFonts w:ascii="Times New Roman" w:hAnsi="Times New Roman" w:cs="Times New Roman"/>
          <w:bCs/>
          <w:kern w:val="0"/>
          <w:szCs w:val="20"/>
        </w:rPr>
        <w:t xml:space="preserve"> </w:t>
      </w:r>
      <w:r w:rsidRPr="00972959">
        <w:rPr>
          <w:rFonts w:ascii="Times New Roman" w:hAnsi="Times New Roman" w:cs="Times New Roman"/>
          <w:bCs/>
          <w:kern w:val="0"/>
          <w:szCs w:val="20"/>
        </w:rPr>
        <w:t>(B). The co-</w:t>
      </w:r>
      <w:proofErr w:type="spellStart"/>
      <w:r w:rsidRPr="00972959">
        <w:rPr>
          <w:rFonts w:ascii="Times New Roman" w:hAnsi="Times New Roman" w:cs="Times New Roman"/>
          <w:bCs/>
          <w:kern w:val="0"/>
          <w:szCs w:val="20"/>
        </w:rPr>
        <w:t>occurence</w:t>
      </w:r>
      <w:proofErr w:type="spellEnd"/>
      <w:r w:rsidRPr="00972959">
        <w:rPr>
          <w:rFonts w:ascii="Times New Roman" w:hAnsi="Times New Roman" w:cs="Times New Roman"/>
          <w:bCs/>
          <w:kern w:val="0"/>
          <w:szCs w:val="20"/>
        </w:rPr>
        <w:t xml:space="preserve"> and exclusive associations across mutant genes in the high-risk group</w:t>
      </w:r>
      <w:r>
        <w:rPr>
          <w:rFonts w:ascii="Times New Roman" w:hAnsi="Times New Roman" w:cs="Times New Roman"/>
          <w:bCs/>
          <w:kern w:val="0"/>
          <w:szCs w:val="20"/>
        </w:rPr>
        <w:t xml:space="preserve"> </w:t>
      </w:r>
      <w:r w:rsidRPr="009646DA">
        <w:rPr>
          <w:rFonts w:ascii="Times New Roman" w:hAnsi="Times New Roman" w:cs="Times New Roman"/>
          <w:bCs/>
          <w:kern w:val="0"/>
          <w:szCs w:val="20"/>
        </w:rPr>
        <w:t>(C)</w:t>
      </w:r>
      <w:r>
        <w:rPr>
          <w:rFonts w:ascii="Times New Roman" w:hAnsi="Times New Roman" w:cs="Times New Roman"/>
          <w:bCs/>
          <w:kern w:val="0"/>
          <w:szCs w:val="20"/>
        </w:rPr>
        <w:t>,</w:t>
      </w:r>
      <w:r w:rsidRPr="00972959">
        <w:rPr>
          <w:rFonts w:ascii="Times New Roman" w:hAnsi="Times New Roman" w:cs="Times New Roman"/>
          <w:bCs/>
          <w:kern w:val="0"/>
          <w:szCs w:val="20"/>
        </w:rPr>
        <w:t xml:space="preserve"> the low-risk group</w:t>
      </w:r>
      <w:r>
        <w:rPr>
          <w:rFonts w:ascii="Times New Roman" w:hAnsi="Times New Roman" w:cs="Times New Roman"/>
          <w:bCs/>
          <w:kern w:val="0"/>
          <w:szCs w:val="20"/>
        </w:rPr>
        <w:t xml:space="preserve"> </w:t>
      </w:r>
      <w:r w:rsidRPr="00972959">
        <w:rPr>
          <w:rFonts w:ascii="Times New Roman" w:hAnsi="Times New Roman" w:cs="Times New Roman"/>
          <w:bCs/>
          <w:kern w:val="0"/>
          <w:szCs w:val="20"/>
        </w:rPr>
        <w:t xml:space="preserve">(D). </w:t>
      </w:r>
      <w:r w:rsidRPr="009646DA">
        <w:rPr>
          <w:rFonts w:ascii="Times New Roman" w:hAnsi="Times New Roman" w:cs="Times New Roman"/>
          <w:bCs/>
          <w:kern w:val="0"/>
          <w:szCs w:val="20"/>
        </w:rPr>
        <w:t>(E)</w:t>
      </w:r>
      <w:r w:rsidRPr="00972959">
        <w:rPr>
          <w:rFonts w:ascii="Times New Roman" w:hAnsi="Times New Roman" w:cs="Times New Roman"/>
          <w:bCs/>
          <w:kern w:val="0"/>
          <w:szCs w:val="20"/>
        </w:rPr>
        <w:t xml:space="preserve"> The relationship between the IRGPI and TMB. (F) The relationship between TMB and OS.</w:t>
      </w:r>
    </w:p>
    <w:p w14:paraId="12CA1B71" w14:textId="12FDB229" w:rsidR="009156C2" w:rsidRDefault="009156C2"/>
    <w:p w14:paraId="16ACC74A" w14:textId="7D66192D" w:rsidR="009156C2" w:rsidRDefault="009156C2"/>
    <w:p w14:paraId="50E0E100" w14:textId="198546E0" w:rsidR="009156C2" w:rsidRDefault="009156C2"/>
    <w:p w14:paraId="28FCAEF5" w14:textId="00D0AD99" w:rsidR="009156C2" w:rsidRDefault="009156C2"/>
    <w:p w14:paraId="60A069B9" w14:textId="0504BF52" w:rsidR="009156C2" w:rsidRDefault="009156C2"/>
    <w:p w14:paraId="08F1E0C7" w14:textId="4248EE50" w:rsidR="009156C2" w:rsidRDefault="009156C2">
      <w:pPr>
        <w:rPr>
          <w:rFonts w:hint="eastAsia"/>
        </w:rPr>
      </w:pPr>
    </w:p>
    <w:p w14:paraId="02EB3980" w14:textId="15098D17" w:rsidR="009156C2" w:rsidRDefault="009156C2"/>
    <w:p w14:paraId="440F3685" w14:textId="16AB778B" w:rsidR="002E1256" w:rsidRPr="002E1256" w:rsidRDefault="009156C2">
      <w:pPr>
        <w:rPr>
          <w:rFonts w:ascii="Times New Roman" w:hAnsi="Times New Roman" w:cs="Times New Roman" w:hint="eastAsia"/>
          <w:color w:val="000000"/>
          <w:kern w:val="0"/>
          <w:szCs w:val="20"/>
        </w:rPr>
      </w:pPr>
      <w:bookmarkStart w:id="2" w:name="OLE_LINK47"/>
      <w:bookmarkStart w:id="3" w:name="OLE_LINK48"/>
      <w:r w:rsidRPr="00157688">
        <w:rPr>
          <w:rFonts w:ascii="Times New Roman" w:hAnsi="Times New Roman" w:cs="Times New Roman"/>
          <w:b/>
          <w:bCs/>
          <w:color w:val="000000"/>
          <w:kern w:val="0"/>
          <w:szCs w:val="20"/>
        </w:rPr>
        <w:t>Table. S1</w:t>
      </w:r>
      <w:bookmarkEnd w:id="2"/>
      <w:bookmarkEnd w:id="3"/>
      <w:r w:rsidRPr="00157688">
        <w:rPr>
          <w:rFonts w:ascii="Times New Roman" w:hAnsi="Times New Roman" w:cs="Times New Roman"/>
          <w:b/>
          <w:bCs/>
          <w:color w:val="000000"/>
          <w:kern w:val="0"/>
          <w:szCs w:val="20"/>
        </w:rPr>
        <w:t xml:space="preserve"> </w:t>
      </w:r>
      <w:bookmarkStart w:id="4" w:name="OLE_LINK60"/>
      <w:bookmarkStart w:id="5" w:name="OLE_LINK61"/>
      <w:r w:rsidRPr="00E37D2C">
        <w:rPr>
          <w:rFonts w:ascii="Times New Roman" w:hAnsi="Times New Roman" w:cs="Times New Roman"/>
          <w:color w:val="000000"/>
          <w:kern w:val="0"/>
          <w:szCs w:val="20"/>
        </w:rPr>
        <w:t xml:space="preserve">Patient demographics and clinical characteristics </w:t>
      </w:r>
      <w:bookmarkEnd w:id="4"/>
      <w:bookmarkEnd w:id="5"/>
      <w:r>
        <w:rPr>
          <w:rFonts w:ascii="Times New Roman" w:hAnsi="Times New Roman" w:cs="Times New Roman"/>
          <w:color w:val="000000"/>
          <w:kern w:val="0"/>
          <w:szCs w:val="20"/>
        </w:rPr>
        <w:t xml:space="preserve">of </w:t>
      </w:r>
      <w:r w:rsidRPr="00D7661C">
        <w:rPr>
          <w:rFonts w:ascii="Times New Roman" w:hAnsi="Times New Roman" w:cs="Times New Roman"/>
          <w:color w:val="000000"/>
          <w:kern w:val="0"/>
          <w:szCs w:val="20"/>
        </w:rPr>
        <w:t>the included datasets</w:t>
      </w:r>
      <w:r>
        <w:rPr>
          <w:rFonts w:ascii="Times New Roman" w:hAnsi="Times New Roman" w:cs="Times New Roman"/>
          <w:color w:val="000000"/>
          <w:kern w:val="0"/>
          <w:szCs w:val="20"/>
        </w:rPr>
        <w:t>.</w: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142"/>
        <w:gridCol w:w="1276"/>
        <w:gridCol w:w="961"/>
        <w:gridCol w:w="1590"/>
        <w:gridCol w:w="1418"/>
        <w:gridCol w:w="1276"/>
        <w:gridCol w:w="1417"/>
      </w:tblGrid>
      <w:tr w:rsidR="009156C2" w:rsidRPr="00050496" w14:paraId="15742EC2" w14:textId="77777777" w:rsidTr="003F4377">
        <w:trPr>
          <w:trHeight w:hRule="exact" w:val="640"/>
        </w:trPr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86EC3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Variables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E032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Group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B167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Entire TCGA cohort (n = 365)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9379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TCGA training set (n=183)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627F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TCGA validating set (n=182)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9259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GSE14520 cohort (n = 221)</w:t>
            </w:r>
          </w:p>
        </w:tc>
      </w:tr>
      <w:tr w:rsidR="009156C2" w:rsidRPr="00050496" w14:paraId="0CB136B0" w14:textId="77777777" w:rsidTr="003F4377">
        <w:trPr>
          <w:trHeight w:hRule="exact" w:val="255"/>
        </w:trPr>
        <w:tc>
          <w:tcPr>
            <w:tcW w:w="237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8997" w14:textId="77777777" w:rsidR="009156C2" w:rsidRPr="00050496" w:rsidRDefault="009156C2" w:rsidP="003F437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Survival time(days)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39C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788±37.81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4B8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828±54.23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4C4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748±52.67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CA3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1213±43.55</w:t>
            </w:r>
          </w:p>
        </w:tc>
      </w:tr>
      <w:tr w:rsidR="009156C2" w:rsidRPr="00050496" w14:paraId="6B80286C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B2D7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Vital status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9EB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Alive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F70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239 (65%)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768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 (64%)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C85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 (66%)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E33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136 (62%)</w:t>
            </w:r>
          </w:p>
        </w:tc>
      </w:tr>
      <w:tr w:rsidR="009156C2" w:rsidRPr="00050496" w14:paraId="58C1DBF2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96EB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98D9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Dead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9F2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 (35%)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C2A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 (36%)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534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 (34%)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518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 (38%)</w:t>
            </w:r>
          </w:p>
        </w:tc>
      </w:tr>
      <w:tr w:rsidR="009156C2" w:rsidRPr="00050496" w14:paraId="721CE0A9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B153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Gender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91E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E8B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119 (33%)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7FE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 (33%)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108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 (32%)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64E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 (14%)</w:t>
            </w:r>
          </w:p>
        </w:tc>
      </w:tr>
      <w:tr w:rsidR="009156C2" w:rsidRPr="00050496" w14:paraId="22A97AC6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9F11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29C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0ED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246 (67%)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D7E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 (67%)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4AB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 (68%)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D0A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191 (86%)</w:t>
            </w:r>
          </w:p>
        </w:tc>
      </w:tr>
      <w:tr w:rsidR="009156C2" w:rsidRPr="00050496" w14:paraId="39F21089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CB2E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87F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&lt;=65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E9E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227 (62%)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B86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122 (67%)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638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 (58%)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7A1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200 (90%)</w:t>
            </w:r>
          </w:p>
        </w:tc>
      </w:tr>
      <w:tr w:rsidR="009156C2" w:rsidRPr="00050496" w14:paraId="35045E2A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307D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E14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&gt;65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780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138 (38%)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609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 (33%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F48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 (42%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86D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 (10%)</w:t>
            </w:r>
          </w:p>
        </w:tc>
      </w:tr>
      <w:tr w:rsidR="009156C2" w:rsidRPr="00050496" w14:paraId="42A7199C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415C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Cancer status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209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Tumor free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32B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231 (63%)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80B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 (62%)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4F2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 (65%)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DD5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35D956D1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3D75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656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With tumor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021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 (30%)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A04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 (32%)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2DB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 (27%)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C8D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56B971EE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55AE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F88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713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 (7%)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35E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 (6%)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C07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 (8%)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CED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700A66B1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AC47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Tumor grade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DA1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63F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 (15%)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031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 (14%)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DD7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 (16%)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73C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1B28FBF6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867D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62B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099C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 (48%)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543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 (49%)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210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 (47%)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4CE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68A1CECC" w14:textId="77777777" w:rsidTr="003F4377">
        <w:trPr>
          <w:gridBefore w:val="1"/>
          <w:wBefore w:w="142" w:type="dxa"/>
          <w:trHeight w:hRule="exact" w:val="25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DA5F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255C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12C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 (32%)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A29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 (33%)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A6D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 (32%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749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677AC8A3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5150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1E7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874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 (3%)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96E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(2%)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661B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(5%)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0AC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59BF5140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0C93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4AC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GX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8DC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 (1%)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46C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(2%)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92A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 (1%)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45D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0DE5A5FD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DFBD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Pathological stage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272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Stage I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018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 (47%)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6E9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 (47%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428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 (46%)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7E0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3F9F06BD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822C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B2B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Stage II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036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 (23%)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4A7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 (24%)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416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 (22%)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E0E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60F1451B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4E0F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87A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Stage III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718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 (23%)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FE7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 (19%)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09F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 (26%)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5B0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059442A1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F8AC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AC7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Stage IV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EE4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(1%)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325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(2%)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2D3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 (0%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432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4AF5DA4F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DFF3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2F5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E49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 (7%)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6A1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 (8%)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BEE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 (5%)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C04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00462838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D340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 stage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343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EB8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 (49%)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8EE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 (50%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281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 (49%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B5D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51B1C2BE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8C6A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8E7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FF7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 (25%)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2D8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 (27%)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8D5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 (23%)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6C8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005E2AD2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D51B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3DB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0F5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 (21%)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5A3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 (19%)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04B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 (24%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A95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0752E4BD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7C14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D12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7F4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 (4%)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3E5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 (4%)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E23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 (3%)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958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08A3E909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EB39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A4E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TX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F86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(1%)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448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(1%)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4A6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 (1%)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321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71D11C45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A17D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 stage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FA2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M0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5C9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263 (72%)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F05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130 (71%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B5A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133 (73%)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F00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3450577F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6EF6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C2C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76C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(1%)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ACD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(2%)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A9E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 (0%)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A47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390FEFB0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71D1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07C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MX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9D7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 (27%)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4E4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 (27%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92E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 (27%)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2F4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186719DF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FE51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 stage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38E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N0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AB3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 (68%)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7C5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 (69%)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6FF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122 (67%)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7C4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2EB1C2AC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4492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769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921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(1%)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534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(1%)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72E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(1%)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026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6965200A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FC33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27D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NX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36F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113 (31%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A5B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 (32%)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FF4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 (30%)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F73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9156C2" w:rsidRPr="00050496" w14:paraId="59545443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089B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ALT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0E8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&lt;=50U/L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4FC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EBEC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9A0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912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130 (59%)</w:t>
            </w:r>
          </w:p>
        </w:tc>
      </w:tr>
      <w:tr w:rsidR="009156C2" w:rsidRPr="00050496" w14:paraId="0745E053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6DCD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14A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&gt;50U/L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54C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B3B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F6E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C99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 (41%)</w:t>
            </w:r>
          </w:p>
        </w:tc>
      </w:tr>
      <w:tr w:rsidR="009156C2" w:rsidRPr="00050496" w14:paraId="67E2D591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946A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Main tumor size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6C3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&lt;=5 cm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6AC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C32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FEC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981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140 (63%)</w:t>
            </w:r>
          </w:p>
        </w:tc>
      </w:tr>
      <w:tr w:rsidR="009156C2" w:rsidRPr="00050496" w14:paraId="4DD01180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F764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776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&gt;5 cm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1CC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FC4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E3B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B8E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 (36%)</w:t>
            </w:r>
          </w:p>
        </w:tc>
      </w:tr>
      <w:tr w:rsidR="009156C2" w:rsidRPr="00050496" w14:paraId="44561CE4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2C76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7BA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151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533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529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ADD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 (0.5%)</w:t>
            </w:r>
          </w:p>
        </w:tc>
      </w:tr>
      <w:tr w:rsidR="009156C2" w:rsidRPr="00050496" w14:paraId="302E8EB9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3B3C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Multinodular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2F9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54B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F38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765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711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176 (80%)</w:t>
            </w:r>
          </w:p>
        </w:tc>
      </w:tr>
      <w:tr w:rsidR="009156C2" w:rsidRPr="00050496" w14:paraId="252255D9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2E98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397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3F3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97D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E6CC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1C3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 (20%)</w:t>
            </w:r>
          </w:p>
        </w:tc>
      </w:tr>
      <w:tr w:rsidR="009156C2" w:rsidRPr="00050496" w14:paraId="0692819F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3BB3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Cirrhosis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220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9AB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3F3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E7A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3D2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 (8%)</w:t>
            </w:r>
          </w:p>
        </w:tc>
      </w:tr>
      <w:tr w:rsidR="009156C2" w:rsidRPr="00050496" w14:paraId="2E17A367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67AF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83E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50B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423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426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DCE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203 (92%)</w:t>
            </w:r>
          </w:p>
        </w:tc>
      </w:tr>
      <w:tr w:rsidR="009156C2" w:rsidRPr="00050496" w14:paraId="527EA07E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7371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TNM staging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ABC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3F6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BA3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B67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849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 (42%)</w:t>
            </w:r>
          </w:p>
        </w:tc>
      </w:tr>
      <w:tr w:rsidR="009156C2" w:rsidRPr="00050496" w14:paraId="73711B68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E3B4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59B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II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905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039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A0B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CB3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 (35%)</w:t>
            </w:r>
          </w:p>
        </w:tc>
      </w:tr>
      <w:tr w:rsidR="009156C2" w:rsidRPr="00050496" w14:paraId="250EEFBD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57B8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204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III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6BD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749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9C4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C26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 (22%)</w:t>
            </w:r>
          </w:p>
        </w:tc>
      </w:tr>
      <w:tr w:rsidR="009156C2" w:rsidRPr="00050496" w14:paraId="61A637B8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D9BC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E45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2F7C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52E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729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50D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(1%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</w:tr>
      <w:tr w:rsidR="009156C2" w:rsidRPr="00050496" w14:paraId="19B616B7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66DC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BCLC staging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D7A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9B7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87C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1C8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960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 (9%)</w:t>
            </w:r>
          </w:p>
        </w:tc>
      </w:tr>
      <w:tr w:rsidR="009156C2" w:rsidRPr="00050496" w14:paraId="32747401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217A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2B9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642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D2D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2AD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9F8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148 (67%)</w:t>
            </w:r>
          </w:p>
        </w:tc>
      </w:tr>
      <w:tr w:rsidR="009156C2" w:rsidRPr="00050496" w14:paraId="017A2A54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22AA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953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F25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BBC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B86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6CA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 (10%)</w:t>
            </w:r>
          </w:p>
        </w:tc>
      </w:tr>
      <w:tr w:rsidR="009156C2" w:rsidRPr="00050496" w14:paraId="27922B84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8732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693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8FC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26CC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3CC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2C0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 (13%)</w:t>
            </w:r>
          </w:p>
        </w:tc>
      </w:tr>
      <w:tr w:rsidR="009156C2" w:rsidRPr="00050496" w14:paraId="2C874265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1D0E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5B1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FD6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A6D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966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5A9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(1%)</w:t>
            </w:r>
          </w:p>
        </w:tc>
      </w:tr>
      <w:tr w:rsidR="009156C2" w:rsidRPr="00050496" w14:paraId="05706B56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EEBD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CLIP staging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9E8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810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B72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CD5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E2B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 (44%</w:t>
            </w: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</w:tr>
      <w:tr w:rsidR="009156C2" w:rsidRPr="00050496" w14:paraId="5EE48DB3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8873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852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3B0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9AE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C42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670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 (33%)</w:t>
            </w:r>
          </w:p>
        </w:tc>
      </w:tr>
      <w:tr w:rsidR="009156C2" w:rsidRPr="00050496" w14:paraId="7BAECA90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E62C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C6C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95B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753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74A1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206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 (16%)</w:t>
            </w:r>
          </w:p>
        </w:tc>
      </w:tr>
      <w:tr w:rsidR="009156C2" w:rsidRPr="00050496" w14:paraId="5CA34412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F5C3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38F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4B8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53FC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DCB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119C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 (4%)</w:t>
            </w:r>
          </w:p>
        </w:tc>
      </w:tr>
      <w:tr w:rsidR="009156C2" w:rsidRPr="00050496" w14:paraId="6CD29786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3B6E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E37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694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981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5E8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8AF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(1%)</w:t>
            </w:r>
          </w:p>
        </w:tc>
      </w:tr>
      <w:tr w:rsidR="009156C2" w:rsidRPr="00050496" w14:paraId="779B38A7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CF70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DAE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646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A72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2D9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5942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 (0.5%)</w:t>
            </w:r>
          </w:p>
        </w:tc>
      </w:tr>
      <w:tr w:rsidR="009156C2" w:rsidRPr="00050496" w14:paraId="404998A0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4C4A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82D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F7F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0590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2873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9406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 (1%)</w:t>
            </w:r>
          </w:p>
        </w:tc>
      </w:tr>
      <w:tr w:rsidR="009156C2" w:rsidRPr="00050496" w14:paraId="3735CEFB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0212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AFP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657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&lt;=300ng/ml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B33D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14A9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67A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ED0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 (53%)</w:t>
            </w:r>
          </w:p>
        </w:tc>
      </w:tr>
      <w:tr w:rsidR="009156C2" w:rsidRPr="00050496" w14:paraId="049F0D97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37D2" w14:textId="77777777" w:rsidR="009156C2" w:rsidRPr="00050496" w:rsidRDefault="009156C2" w:rsidP="003F4377">
            <w:pPr>
              <w:widowControl/>
              <w:spacing w:line="276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357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&gt;300ng/ml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658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C357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852B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B50A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 (45%)</w:t>
            </w:r>
          </w:p>
        </w:tc>
      </w:tr>
      <w:tr w:rsidR="009156C2" w:rsidRPr="00050496" w14:paraId="04D84DC6" w14:textId="77777777" w:rsidTr="003F4377">
        <w:trPr>
          <w:trHeight w:hRule="exact" w:val="255"/>
        </w:trPr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8FBDF" w14:textId="77777777" w:rsidR="009156C2" w:rsidRPr="00050496" w:rsidRDefault="009156C2" w:rsidP="003F4377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385AE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C6518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EE704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15F1F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ADEF5" w14:textId="77777777" w:rsidR="009156C2" w:rsidRPr="00050496" w:rsidRDefault="009156C2" w:rsidP="003F437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050496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 (1%)</w:t>
            </w:r>
          </w:p>
        </w:tc>
      </w:tr>
    </w:tbl>
    <w:p w14:paraId="35779C04" w14:textId="48A91686" w:rsidR="009156C2" w:rsidRDefault="009156C2"/>
    <w:p w14:paraId="19D2010D" w14:textId="287F188E" w:rsidR="009156C2" w:rsidRDefault="009156C2"/>
    <w:p w14:paraId="2EDDC858" w14:textId="0D5B99C2" w:rsidR="009156C2" w:rsidRDefault="009156C2"/>
    <w:p w14:paraId="0E266D63" w14:textId="733F347F" w:rsidR="009156C2" w:rsidRDefault="009156C2"/>
    <w:p w14:paraId="5ACDDB8E" w14:textId="77777777" w:rsidR="009156C2" w:rsidRPr="009156C2" w:rsidRDefault="009156C2"/>
    <w:sectPr w:rsidR="009156C2" w:rsidRPr="009156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AF981B" w14:textId="77777777" w:rsidR="00EA2326" w:rsidRDefault="00EA2326" w:rsidP="009156C2">
      <w:r>
        <w:separator/>
      </w:r>
    </w:p>
  </w:endnote>
  <w:endnote w:type="continuationSeparator" w:id="0">
    <w:p w14:paraId="30E3FDE1" w14:textId="77777777" w:rsidR="00EA2326" w:rsidRDefault="00EA2326" w:rsidP="00915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BA9CED" w14:textId="77777777" w:rsidR="00EA2326" w:rsidRDefault="00EA2326" w:rsidP="009156C2">
      <w:r>
        <w:separator/>
      </w:r>
    </w:p>
  </w:footnote>
  <w:footnote w:type="continuationSeparator" w:id="0">
    <w:p w14:paraId="5BA6AE64" w14:textId="77777777" w:rsidR="00EA2326" w:rsidRDefault="00EA2326" w:rsidP="009156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F37"/>
    <w:rsid w:val="002E1256"/>
    <w:rsid w:val="009156C2"/>
    <w:rsid w:val="00A176C4"/>
    <w:rsid w:val="00CB1F37"/>
    <w:rsid w:val="00EA2326"/>
    <w:rsid w:val="00F6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929919"/>
  <w15:chartTrackingRefBased/>
  <w15:docId w15:val="{0434DE52-454B-4039-BFFE-6D2DAB32D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6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6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6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</dc:creator>
  <cp:keywords/>
  <dc:description/>
  <cp:lastModifiedBy>LEO</cp:lastModifiedBy>
  <cp:revision>3</cp:revision>
  <dcterms:created xsi:type="dcterms:W3CDTF">2020-06-18T09:55:00Z</dcterms:created>
  <dcterms:modified xsi:type="dcterms:W3CDTF">2020-06-18T12:23:00Z</dcterms:modified>
</cp:coreProperties>
</file>