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8F6BCD" w14:textId="77777777" w:rsidR="00C84866" w:rsidRPr="00851B96" w:rsidRDefault="00C84866" w:rsidP="00C84866">
      <w:pPr>
        <w:suppressLineNumbers/>
        <w:spacing w:line="276" w:lineRule="auto"/>
        <w:jc w:val="both"/>
        <w:rPr>
          <w:rFonts w:ascii="Arial" w:hAnsi="Arial" w:cs="Arial"/>
          <w:b/>
          <w:bCs/>
          <w:color w:val="941651"/>
          <w:sz w:val="21"/>
          <w:szCs w:val="21"/>
        </w:rPr>
      </w:pPr>
      <w:r w:rsidRPr="00851B96">
        <w:rPr>
          <w:rFonts w:ascii="Arial" w:hAnsi="Arial" w:cs="Arial"/>
          <w:b/>
          <w:bCs/>
          <w:color w:val="941651"/>
          <w:sz w:val="21"/>
          <w:szCs w:val="21"/>
        </w:rPr>
        <w:t>Extended Data</w:t>
      </w:r>
    </w:p>
    <w:p w14:paraId="1D277762" w14:textId="77777777" w:rsidR="00C84866" w:rsidRPr="008F7591" w:rsidRDefault="00C84866" w:rsidP="00C84866">
      <w:pPr>
        <w:suppressLineNumbers/>
      </w:pPr>
      <w:r>
        <w:rPr>
          <w:noProof/>
        </w:rPr>
        <w:drawing>
          <wp:inline distT="0" distB="0" distL="0" distR="0" wp14:anchorId="0A454A21" wp14:editId="1F39987A">
            <wp:extent cx="5731510" cy="8608695"/>
            <wp:effectExtent l="0" t="0" r="0" b="1905"/>
            <wp:docPr id="13" name="Picture 13" descr="A screenshot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screenshot of a char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8608695"/>
                    </a:xfrm>
                    <a:prstGeom prst="rect">
                      <a:avLst/>
                    </a:prstGeom>
                  </pic:spPr>
                </pic:pic>
              </a:graphicData>
            </a:graphic>
          </wp:inline>
        </w:drawing>
      </w:r>
      <w:r w:rsidRPr="008F7591">
        <w:t xml:space="preserve"> </w:t>
      </w:r>
    </w:p>
    <w:p w14:paraId="0E1BB143" w14:textId="77777777" w:rsidR="00C84866" w:rsidRDefault="00C84866" w:rsidP="00C84866">
      <w:pPr>
        <w:suppressLineNumbers/>
        <w:spacing w:line="276" w:lineRule="auto"/>
        <w:jc w:val="both"/>
        <w:rPr>
          <w:rFonts w:ascii="Arial" w:hAnsi="Arial" w:cs="Arial"/>
          <w:b/>
          <w:bCs/>
          <w:sz w:val="20"/>
          <w:szCs w:val="20"/>
        </w:rPr>
      </w:pPr>
      <w:r>
        <w:rPr>
          <w:rFonts w:ascii="Arial" w:hAnsi="Arial" w:cs="Arial"/>
          <w:b/>
          <w:bCs/>
          <w:noProof/>
          <w:sz w:val="20"/>
          <w:szCs w:val="20"/>
        </w:rPr>
        <w:lastRenderedPageBreak/>
        <w:drawing>
          <wp:inline distT="0" distB="0" distL="0" distR="0" wp14:anchorId="7F9B348B" wp14:editId="6545A3DB">
            <wp:extent cx="4963160" cy="8863330"/>
            <wp:effectExtent l="0" t="0" r="2540" b="1270"/>
            <wp:docPr id="22" name="Picture 2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screenshot of a computer screen&#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963160" cy="8863330"/>
                    </a:xfrm>
                    <a:prstGeom prst="rect">
                      <a:avLst/>
                    </a:prstGeom>
                  </pic:spPr>
                </pic:pic>
              </a:graphicData>
            </a:graphic>
          </wp:inline>
        </w:drawing>
      </w:r>
    </w:p>
    <w:p w14:paraId="576C15D4" w14:textId="77777777" w:rsidR="00C84866" w:rsidRPr="008F7591" w:rsidRDefault="00C84866" w:rsidP="00C84866">
      <w:pPr>
        <w:suppressLineNumbers/>
        <w:spacing w:line="276" w:lineRule="auto"/>
        <w:jc w:val="both"/>
        <w:rPr>
          <w:rFonts w:ascii="Arial" w:hAnsi="Arial" w:cs="Arial"/>
          <w:b/>
          <w:bCs/>
          <w:sz w:val="20"/>
          <w:szCs w:val="20"/>
        </w:rPr>
      </w:pPr>
      <w:r>
        <w:rPr>
          <w:rFonts w:ascii="Arial" w:hAnsi="Arial" w:cs="Arial"/>
          <w:b/>
          <w:bCs/>
          <w:noProof/>
          <w:sz w:val="20"/>
          <w:szCs w:val="20"/>
        </w:rPr>
        <w:lastRenderedPageBreak/>
        <w:drawing>
          <wp:inline distT="0" distB="0" distL="0" distR="0" wp14:anchorId="0BE1F6F5" wp14:editId="76CBC09C">
            <wp:extent cx="5731510" cy="6510655"/>
            <wp:effectExtent l="0" t="0" r="0" b="4445"/>
            <wp:docPr id="23" name="Picture 23" descr="A screenshot of a screen shot of a d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screenshot of a screen shot of a data&#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6510655"/>
                    </a:xfrm>
                    <a:prstGeom prst="rect">
                      <a:avLst/>
                    </a:prstGeom>
                  </pic:spPr>
                </pic:pic>
              </a:graphicData>
            </a:graphic>
          </wp:inline>
        </w:drawing>
      </w:r>
    </w:p>
    <w:p w14:paraId="688E5296" w14:textId="77777777" w:rsidR="00C84866" w:rsidRPr="008F7591" w:rsidRDefault="00C84866" w:rsidP="00C84866">
      <w:pPr>
        <w:suppressLineNumbers/>
        <w:spacing w:line="276" w:lineRule="auto"/>
        <w:jc w:val="both"/>
        <w:rPr>
          <w:rFonts w:ascii="Arial" w:hAnsi="Arial" w:cs="Arial"/>
          <w:b/>
          <w:bCs/>
          <w:sz w:val="20"/>
          <w:szCs w:val="20"/>
        </w:rPr>
      </w:pPr>
    </w:p>
    <w:p w14:paraId="370325E6" w14:textId="77777777" w:rsidR="00C84866" w:rsidRPr="008F7591" w:rsidRDefault="00C84866" w:rsidP="00C84866">
      <w:pPr>
        <w:suppressLineNumbers/>
        <w:spacing w:line="276" w:lineRule="auto"/>
        <w:jc w:val="both"/>
        <w:rPr>
          <w:rFonts w:ascii="Arial" w:hAnsi="Arial" w:cs="Arial"/>
          <w:sz w:val="20"/>
          <w:szCs w:val="20"/>
        </w:rPr>
      </w:pPr>
      <w:r>
        <w:rPr>
          <w:rFonts w:ascii="Arial" w:hAnsi="Arial" w:cs="Arial"/>
          <w:b/>
          <w:bCs/>
          <w:sz w:val="20"/>
          <w:szCs w:val="20"/>
        </w:rPr>
        <w:t>Extended Data</w:t>
      </w:r>
      <w:r w:rsidRPr="008F7591">
        <w:rPr>
          <w:rFonts w:ascii="Arial" w:hAnsi="Arial" w:cs="Arial"/>
          <w:b/>
          <w:bCs/>
          <w:sz w:val="20"/>
          <w:szCs w:val="20"/>
        </w:rPr>
        <w:t xml:space="preserve"> Figure 1</w:t>
      </w:r>
      <w:r w:rsidRPr="008F7591">
        <w:rPr>
          <w:rFonts w:ascii="Arial" w:hAnsi="Arial" w:cs="Arial"/>
          <w:sz w:val="20"/>
          <w:szCs w:val="20"/>
        </w:rPr>
        <w:t xml:space="preserve"> (</w:t>
      </w:r>
      <w:r>
        <w:rPr>
          <w:rFonts w:ascii="Arial" w:hAnsi="Arial" w:cs="Arial"/>
          <w:b/>
          <w:bCs/>
          <w:sz w:val="20"/>
          <w:szCs w:val="20"/>
        </w:rPr>
        <w:t>a</w:t>
      </w:r>
      <w:r w:rsidRPr="008F7591">
        <w:rPr>
          <w:rFonts w:ascii="Arial" w:hAnsi="Arial" w:cs="Arial"/>
          <w:sz w:val="20"/>
          <w:szCs w:val="20"/>
        </w:rPr>
        <w:t xml:space="preserve">) The </w:t>
      </w:r>
      <w:r w:rsidRPr="008F7591">
        <w:rPr>
          <w:rFonts w:ascii="Arial" w:hAnsi="Arial" w:cs="Arial"/>
          <w:sz w:val="20"/>
          <w:szCs w:val="20"/>
          <w:vertAlign w:val="superscript"/>
        </w:rPr>
        <w:t>1</w:t>
      </w:r>
      <w:r w:rsidRPr="008F7591">
        <w:rPr>
          <w:rFonts w:ascii="Arial" w:hAnsi="Arial" w:cs="Arial"/>
          <w:sz w:val="20"/>
          <w:szCs w:val="20"/>
        </w:rPr>
        <w:t>H/</w:t>
      </w:r>
      <w:r w:rsidRPr="008F7591">
        <w:rPr>
          <w:rFonts w:ascii="Arial" w:hAnsi="Arial" w:cs="Arial"/>
          <w:sz w:val="20"/>
          <w:szCs w:val="20"/>
          <w:vertAlign w:val="superscript"/>
        </w:rPr>
        <w:t>15</w:t>
      </w:r>
      <w:r w:rsidRPr="008F7591">
        <w:rPr>
          <w:rFonts w:ascii="Arial" w:hAnsi="Arial" w:cs="Arial"/>
          <w:sz w:val="20"/>
          <w:szCs w:val="20"/>
        </w:rPr>
        <w:t xml:space="preserve">N-HSQC of the previously described </w:t>
      </w:r>
      <w:r w:rsidRPr="008F7591">
        <w:rPr>
          <w:rFonts w:ascii="Arial" w:hAnsi="Arial" w:cs="Arial"/>
          <w:color w:val="202124"/>
          <w:sz w:val="20"/>
          <w:szCs w:val="20"/>
          <w:shd w:val="clear" w:color="auto" w:fill="FFFFFF"/>
        </w:rPr>
        <w:t>Δ</w:t>
      </w:r>
      <w:r w:rsidRPr="008F7591">
        <w:rPr>
          <w:rFonts w:ascii="Arial" w:hAnsi="Arial" w:cs="Arial"/>
          <w:sz w:val="20"/>
          <w:szCs w:val="20"/>
        </w:rPr>
        <w:t>470-508 deletion in the PRY/SPRY domain (</w:t>
      </w:r>
      <w:r w:rsidRPr="008F7591">
        <w:rPr>
          <w:rFonts w:ascii="Arial" w:hAnsi="Arial" w:cs="Arial"/>
          <w:color w:val="202124"/>
          <w:sz w:val="20"/>
          <w:szCs w:val="20"/>
          <w:shd w:val="clear" w:color="auto" w:fill="FFFFFF"/>
        </w:rPr>
        <w:t>Δ</w:t>
      </w:r>
      <w:r w:rsidRPr="008F7591">
        <w:rPr>
          <w:rFonts w:ascii="Arial" w:hAnsi="Arial" w:cs="Arial"/>
          <w:sz w:val="20"/>
          <w:szCs w:val="20"/>
        </w:rPr>
        <w:t xml:space="preserve">RBD by </w:t>
      </w:r>
      <w:r w:rsidRPr="008F7591">
        <w:rPr>
          <w:rFonts w:ascii="Arial" w:hAnsi="Arial" w:cs="Arial"/>
          <w:color w:val="4472C4" w:themeColor="accent1"/>
          <w:sz w:val="20"/>
          <w:szCs w:val="20"/>
        </w:rPr>
        <w:t>Choudhury et al. 2017</w:t>
      </w:r>
      <w:r w:rsidRPr="008F7591">
        <w:rPr>
          <w:rFonts w:ascii="Arial" w:hAnsi="Arial" w:cs="Arial"/>
          <w:color w:val="000000"/>
          <w:sz w:val="20"/>
          <w:szCs w:val="20"/>
          <w:vertAlign w:val="superscript"/>
        </w:rPr>
        <w:t>1</w:t>
      </w:r>
      <w:r w:rsidRPr="008F7591">
        <w:rPr>
          <w:rFonts w:ascii="Arial" w:hAnsi="Arial" w:cs="Arial"/>
          <w:sz w:val="20"/>
          <w:szCs w:val="20"/>
        </w:rPr>
        <w:t>)</w:t>
      </w:r>
      <w:r>
        <w:rPr>
          <w:rFonts w:ascii="Arial" w:hAnsi="Arial" w:cs="Arial"/>
          <w:sz w:val="20"/>
          <w:szCs w:val="20"/>
        </w:rPr>
        <w:t xml:space="preserve"> shows that the deletion construct is unfolded and prone to aggregation</w:t>
      </w:r>
      <w:r w:rsidRPr="008F7591">
        <w:rPr>
          <w:rFonts w:ascii="Arial" w:hAnsi="Arial" w:cs="Arial"/>
          <w:sz w:val="20"/>
          <w:szCs w:val="20"/>
        </w:rPr>
        <w:t xml:space="preserve">. </w:t>
      </w:r>
      <w:r w:rsidRPr="008F7591">
        <w:rPr>
          <w:rFonts w:ascii="Arial" w:hAnsi="Arial" w:cs="Arial"/>
          <w:b/>
          <w:bCs/>
          <w:sz w:val="20"/>
          <w:szCs w:val="20"/>
        </w:rPr>
        <w:t>(</w:t>
      </w:r>
      <w:r>
        <w:rPr>
          <w:rFonts w:ascii="Arial" w:hAnsi="Arial" w:cs="Arial"/>
          <w:b/>
          <w:bCs/>
          <w:sz w:val="20"/>
          <w:szCs w:val="20"/>
        </w:rPr>
        <w:t>b</w:t>
      </w:r>
      <w:r w:rsidRPr="008F7591">
        <w:rPr>
          <w:rFonts w:ascii="Arial" w:hAnsi="Arial" w:cs="Arial"/>
          <w:sz w:val="20"/>
          <w:szCs w:val="20"/>
        </w:rPr>
        <w:t>) Predicted structures of the RNAs used in this study. All RNA structures were predicted using the RNAfold webserver.</w:t>
      </w:r>
      <w:sdt>
        <w:sdtPr>
          <w:rPr>
            <w:rFonts w:ascii="Arial" w:hAnsi="Arial" w:cs="Arial"/>
            <w:color w:val="000000"/>
            <w:sz w:val="20"/>
            <w:szCs w:val="20"/>
            <w:vertAlign w:val="superscript"/>
          </w:rPr>
          <w:tag w:val="MENDELEY_CITATION_v3_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"/>
          <w:id w:val="419694110"/>
          <w:placeholder>
            <w:docPart w:val="7273298E058345D09F9D6DC26393F03A"/>
          </w:placeholder>
        </w:sdtPr>
        <w:sdtContent>
          <w:r w:rsidRPr="002176A6">
            <w:rPr>
              <w:rFonts w:ascii="Arial" w:hAnsi="Arial" w:cs="Arial"/>
              <w:color w:val="000000"/>
              <w:sz w:val="20"/>
              <w:szCs w:val="20"/>
              <w:vertAlign w:val="superscript"/>
            </w:rPr>
            <w:t>48</w:t>
          </w:r>
        </w:sdtContent>
      </w:sdt>
      <w:r w:rsidRPr="008F7591">
        <w:rPr>
          <w:rFonts w:ascii="Arial" w:hAnsi="Arial" w:cs="Arial"/>
          <w:sz w:val="20"/>
          <w:szCs w:val="20"/>
        </w:rPr>
        <w:t xml:space="preserve"> </w:t>
      </w:r>
      <w:r w:rsidRPr="008F7591">
        <w:rPr>
          <w:rFonts w:ascii="Arial" w:hAnsi="Arial" w:cs="Arial"/>
          <w:b/>
          <w:bCs/>
          <w:sz w:val="20"/>
          <w:szCs w:val="20"/>
        </w:rPr>
        <w:t>(</w:t>
      </w:r>
      <w:r>
        <w:rPr>
          <w:rFonts w:ascii="Arial" w:hAnsi="Arial" w:cs="Arial"/>
          <w:b/>
          <w:bCs/>
          <w:sz w:val="20"/>
          <w:szCs w:val="20"/>
        </w:rPr>
        <w:t>c</w:t>
      </w:r>
      <w:r w:rsidRPr="008F7591">
        <w:rPr>
          <w:rFonts w:ascii="Arial" w:hAnsi="Arial" w:cs="Arial"/>
          <w:b/>
          <w:bCs/>
          <w:sz w:val="20"/>
          <w:szCs w:val="20"/>
        </w:rPr>
        <w:t xml:space="preserve">) </w:t>
      </w:r>
      <w:r w:rsidRPr="008F7591">
        <w:rPr>
          <w:rFonts w:ascii="Arial" w:hAnsi="Arial" w:cs="Arial"/>
          <w:sz w:val="20"/>
          <w:szCs w:val="20"/>
        </w:rPr>
        <w:t>The</w:t>
      </w:r>
      <w:r w:rsidRPr="008F7591">
        <w:rPr>
          <w:rFonts w:ascii="Arial" w:hAnsi="Arial" w:cs="Arial"/>
          <w:sz w:val="20"/>
          <w:szCs w:val="20"/>
          <w:vertAlign w:val="superscript"/>
        </w:rPr>
        <w:t xml:space="preserve"> </w:t>
      </w:r>
      <w:r w:rsidRPr="008F7591">
        <w:rPr>
          <w:rFonts w:ascii="Arial" w:hAnsi="Arial" w:cs="Arial"/>
          <w:sz w:val="20"/>
          <w:szCs w:val="20"/>
        </w:rPr>
        <w:t>observation of peaks in the imino region (10-15 ppm) in</w:t>
      </w:r>
      <w:r w:rsidRPr="008F7591">
        <w:rPr>
          <w:rFonts w:ascii="Arial" w:hAnsi="Arial" w:cs="Arial"/>
          <w:sz w:val="20"/>
          <w:szCs w:val="20"/>
          <w:vertAlign w:val="superscript"/>
        </w:rPr>
        <w:t xml:space="preserve"> 1</w:t>
      </w:r>
      <w:r w:rsidRPr="008F7591">
        <w:rPr>
          <w:rFonts w:ascii="Arial" w:hAnsi="Arial" w:cs="Arial"/>
          <w:sz w:val="20"/>
          <w:szCs w:val="20"/>
        </w:rPr>
        <w:t>H/</w:t>
      </w:r>
      <w:r w:rsidRPr="008F7591">
        <w:rPr>
          <w:rFonts w:ascii="Arial" w:hAnsi="Arial" w:cs="Arial"/>
          <w:sz w:val="20"/>
          <w:szCs w:val="20"/>
          <w:vertAlign w:val="superscript"/>
        </w:rPr>
        <w:t>1</w:t>
      </w:r>
      <w:r w:rsidRPr="008F7591">
        <w:rPr>
          <w:rFonts w:ascii="Arial" w:hAnsi="Arial" w:cs="Arial"/>
          <w:sz w:val="20"/>
          <w:szCs w:val="20"/>
        </w:rPr>
        <w:t>H-2D-NOESYs confirm that stem-loops used in this study form double-stranded regions. Overlay of the NOESYs of pre-let-7a-1@2 and the truncated pre-let-7 stem show very similar imino-regions indicating that both constructs form double-stranded RNA with similar structures. (</w:t>
      </w:r>
      <w:r>
        <w:rPr>
          <w:rFonts w:ascii="Arial" w:hAnsi="Arial" w:cs="Arial"/>
          <w:b/>
          <w:bCs/>
          <w:sz w:val="20"/>
          <w:szCs w:val="20"/>
        </w:rPr>
        <w:t>d</w:t>
      </w:r>
      <w:r w:rsidRPr="008F7591">
        <w:rPr>
          <w:rFonts w:ascii="Arial" w:hAnsi="Arial" w:cs="Arial"/>
          <w:sz w:val="20"/>
          <w:szCs w:val="20"/>
        </w:rPr>
        <w:t xml:space="preserve">) NMR titrations with different RNAs: The Dengue virus subgenomic stem-loop DENV-SL, the long non-coding RNA lnczc3h7a and a 28-mer duplex RNA show CSPs in binding site 1 and 2. The loop region of lnczc3h7a binds selectively to binding site 1 on the PRY/SPRY, similar to pre-let-7-loop, but with weaker affinity. </w:t>
      </w:r>
      <w:r w:rsidRPr="008F7591">
        <w:rPr>
          <w:rFonts w:ascii="Arial" w:hAnsi="Arial" w:cs="Arial"/>
          <w:b/>
          <w:bCs/>
          <w:sz w:val="20"/>
          <w:szCs w:val="20"/>
        </w:rPr>
        <w:t>(</w:t>
      </w:r>
      <w:r>
        <w:rPr>
          <w:rFonts w:ascii="Arial" w:hAnsi="Arial" w:cs="Arial"/>
          <w:b/>
          <w:bCs/>
          <w:sz w:val="20"/>
          <w:szCs w:val="20"/>
        </w:rPr>
        <w:t>e</w:t>
      </w:r>
      <w:r w:rsidRPr="008F7591">
        <w:rPr>
          <w:rFonts w:ascii="Arial" w:hAnsi="Arial" w:cs="Arial"/>
          <w:b/>
          <w:bCs/>
          <w:sz w:val="20"/>
          <w:szCs w:val="20"/>
        </w:rPr>
        <w:t xml:space="preserve">) </w:t>
      </w:r>
      <w:r w:rsidRPr="008F7591">
        <w:rPr>
          <w:rFonts w:ascii="Arial" w:hAnsi="Arial" w:cs="Arial"/>
          <w:sz w:val="20"/>
          <w:szCs w:val="20"/>
        </w:rPr>
        <w:t xml:space="preserve">Binding isotherms of TRIM25 PRY/SPRY titrated by DENV-SL, lnczc3h7a, pre-let-7-loop and lnczc3h7a-loop. </w:t>
      </w:r>
      <w:r w:rsidRPr="008F7591">
        <w:rPr>
          <w:rFonts w:ascii="Arial" w:hAnsi="Arial"/>
          <w:sz w:val="20"/>
          <w:szCs w:val="20"/>
        </w:rPr>
        <w:t xml:space="preserve">The value shown in the figure is the average of the different replicates. All </w:t>
      </w:r>
      <w:r w:rsidRPr="008F7591">
        <w:rPr>
          <w:rFonts w:ascii="Arial" w:hAnsi="Arial"/>
          <w:sz w:val="20"/>
          <w:szCs w:val="20"/>
        </w:rPr>
        <w:lastRenderedPageBreak/>
        <w:t xml:space="preserve">experimental setups and ITC measurements </w:t>
      </w:r>
      <w:r>
        <w:rPr>
          <w:rFonts w:ascii="Arial" w:hAnsi="Arial"/>
          <w:sz w:val="20"/>
          <w:szCs w:val="20"/>
        </w:rPr>
        <w:t>including</w:t>
      </w:r>
      <w:r w:rsidRPr="008F7591">
        <w:rPr>
          <w:rFonts w:ascii="Arial" w:hAnsi="Arial"/>
          <w:sz w:val="20"/>
          <w:szCs w:val="20"/>
        </w:rPr>
        <w:t xml:space="preserve"> replicates can be found in </w:t>
      </w:r>
      <w:r w:rsidRPr="008F7591">
        <w:rPr>
          <w:rFonts w:ascii="Arial" w:hAnsi="Arial"/>
          <w:color w:val="ED7D31" w:themeColor="accent2"/>
          <w:sz w:val="20"/>
          <w:szCs w:val="20"/>
        </w:rPr>
        <w:t>Supplementary Table 1</w:t>
      </w:r>
      <w:r w:rsidRPr="008F7591">
        <w:rPr>
          <w:rFonts w:ascii="Arial" w:hAnsi="Arial"/>
          <w:sz w:val="20"/>
          <w:szCs w:val="20"/>
        </w:rPr>
        <w:t xml:space="preserve">. </w:t>
      </w:r>
      <w:r w:rsidRPr="008F7591">
        <w:rPr>
          <w:rFonts w:ascii="Arial" w:hAnsi="Arial" w:cs="Arial"/>
          <w:sz w:val="20"/>
          <w:szCs w:val="20"/>
        </w:rPr>
        <w:t>(</w:t>
      </w:r>
      <w:r>
        <w:rPr>
          <w:rFonts w:ascii="Arial" w:hAnsi="Arial" w:cs="Arial"/>
          <w:b/>
          <w:bCs/>
          <w:sz w:val="20"/>
          <w:szCs w:val="20"/>
        </w:rPr>
        <w:t>f</w:t>
      </w:r>
      <w:r w:rsidRPr="008F7591">
        <w:rPr>
          <w:rFonts w:ascii="Arial" w:hAnsi="Arial" w:cs="Arial"/>
          <w:sz w:val="20"/>
          <w:szCs w:val="20"/>
        </w:rPr>
        <w:t xml:space="preserve">) The </w:t>
      </w:r>
      <w:r w:rsidRPr="008F7591">
        <w:rPr>
          <w:rFonts w:ascii="Arial" w:hAnsi="Arial" w:cs="Arial"/>
          <w:sz w:val="20"/>
          <w:szCs w:val="20"/>
          <w:vertAlign w:val="superscript"/>
        </w:rPr>
        <w:t>1</w:t>
      </w:r>
      <w:r w:rsidRPr="008F7591">
        <w:rPr>
          <w:rFonts w:ascii="Arial" w:hAnsi="Arial" w:cs="Arial"/>
          <w:sz w:val="20"/>
          <w:szCs w:val="20"/>
        </w:rPr>
        <w:t>H/</w:t>
      </w:r>
      <w:r w:rsidRPr="008F7591">
        <w:rPr>
          <w:rFonts w:ascii="Arial" w:hAnsi="Arial" w:cs="Arial"/>
          <w:sz w:val="20"/>
          <w:szCs w:val="20"/>
          <w:vertAlign w:val="superscript"/>
        </w:rPr>
        <w:t>15</w:t>
      </w:r>
      <w:r w:rsidRPr="008F7591">
        <w:rPr>
          <w:rFonts w:ascii="Arial" w:hAnsi="Arial" w:cs="Arial"/>
          <w:sz w:val="20"/>
          <w:szCs w:val="20"/>
        </w:rPr>
        <w:t xml:space="preserve">N-HSQC of the </w:t>
      </w:r>
      <w:r w:rsidRPr="008F7591">
        <w:rPr>
          <w:rFonts w:ascii="Arial" w:hAnsi="Arial" w:cs="Arial"/>
          <w:color w:val="000000" w:themeColor="text1"/>
          <w:sz w:val="20"/>
          <w:szCs w:val="20"/>
        </w:rPr>
        <w:t>PRY/SPRY-</w:t>
      </w:r>
      <w:r>
        <w:rPr>
          <w:rFonts w:ascii="Arial" w:hAnsi="Arial" w:cs="Arial"/>
          <w:color w:val="202124"/>
          <w:sz w:val="20"/>
          <w:szCs w:val="20"/>
          <w:shd w:val="clear" w:color="auto" w:fill="FFFFFF"/>
        </w:rPr>
        <w:t>m</w:t>
      </w:r>
      <w:r w:rsidRPr="008F7591">
        <w:rPr>
          <w:rFonts w:ascii="Arial" w:hAnsi="Arial" w:cs="Arial"/>
          <w:color w:val="000000" w:themeColor="text1"/>
          <w:sz w:val="20"/>
          <w:szCs w:val="20"/>
        </w:rPr>
        <w:t xml:space="preserve">3 </w:t>
      </w:r>
      <w:r w:rsidRPr="008F7591">
        <w:rPr>
          <w:rFonts w:ascii="Arial" w:hAnsi="Arial" w:cs="Arial"/>
          <w:sz w:val="20"/>
          <w:szCs w:val="20"/>
        </w:rPr>
        <w:t xml:space="preserve">described here is very similar to the wildtype with only </w:t>
      </w:r>
      <w:r>
        <w:rPr>
          <w:rFonts w:ascii="Arial" w:hAnsi="Arial" w:cs="Arial"/>
          <w:sz w:val="20"/>
          <w:szCs w:val="20"/>
        </w:rPr>
        <w:t>minor</w:t>
      </w:r>
      <w:r w:rsidRPr="008F7591">
        <w:rPr>
          <w:rFonts w:ascii="Arial" w:hAnsi="Arial" w:cs="Arial"/>
          <w:sz w:val="20"/>
          <w:szCs w:val="20"/>
        </w:rPr>
        <w:t xml:space="preserve"> chemical shift perturbations</w:t>
      </w:r>
      <w:r>
        <w:rPr>
          <w:rFonts w:ascii="Arial" w:hAnsi="Arial" w:cs="Arial"/>
          <w:sz w:val="20"/>
          <w:szCs w:val="20"/>
        </w:rPr>
        <w:t xml:space="preserve"> of peaks corresponding</w:t>
      </w:r>
      <w:r w:rsidRPr="008F7591">
        <w:rPr>
          <w:rFonts w:ascii="Arial" w:hAnsi="Arial" w:cs="Arial"/>
          <w:sz w:val="20"/>
          <w:szCs w:val="20"/>
        </w:rPr>
        <w:t xml:space="preserve"> </w:t>
      </w:r>
      <w:r>
        <w:rPr>
          <w:rFonts w:ascii="Arial" w:hAnsi="Arial" w:cs="Arial"/>
          <w:sz w:val="20"/>
          <w:szCs w:val="20"/>
        </w:rPr>
        <w:t>to</w:t>
      </w:r>
      <w:r w:rsidRPr="008F7591">
        <w:rPr>
          <w:rFonts w:ascii="Arial" w:hAnsi="Arial" w:cs="Arial"/>
          <w:sz w:val="20"/>
          <w:szCs w:val="20"/>
        </w:rPr>
        <w:t xml:space="preserve"> residues neighboring the mutation site.</w:t>
      </w:r>
      <w:r>
        <w:rPr>
          <w:rFonts w:ascii="Arial" w:hAnsi="Arial" w:cs="Arial"/>
          <w:sz w:val="20"/>
          <w:szCs w:val="20"/>
        </w:rPr>
        <w:t xml:space="preserve"> This indicates that structural changes are small and local.</w:t>
      </w:r>
      <w:r w:rsidRPr="008F7591">
        <w:rPr>
          <w:rFonts w:ascii="Arial" w:hAnsi="Arial" w:cs="Arial"/>
          <w:sz w:val="20"/>
          <w:szCs w:val="20"/>
        </w:rPr>
        <w:t xml:space="preserve"> (</w:t>
      </w:r>
      <w:r>
        <w:rPr>
          <w:rFonts w:ascii="Arial" w:hAnsi="Arial" w:cs="Arial"/>
          <w:b/>
          <w:bCs/>
          <w:sz w:val="20"/>
          <w:szCs w:val="20"/>
        </w:rPr>
        <w:t>g</w:t>
      </w:r>
      <w:r w:rsidRPr="008F7591">
        <w:rPr>
          <w:rFonts w:ascii="Arial" w:hAnsi="Arial" w:cs="Arial"/>
          <w:sz w:val="20"/>
          <w:szCs w:val="20"/>
        </w:rPr>
        <w:t>) Global alignment of the PRY/SPRY domain of all human TRIM proteins belonging to group IV</w:t>
      </w:r>
      <w:sdt>
        <w:sdtPr>
          <w:rPr>
            <w:rFonts w:ascii="Arial" w:hAnsi="Arial" w:cs="Arial"/>
            <w:color w:val="000000"/>
            <w:sz w:val="20"/>
            <w:szCs w:val="20"/>
            <w:vertAlign w:val="superscript"/>
          </w:rPr>
          <w:tag w:val="MENDELEY_CITATION_v3_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"/>
          <w:id w:val="1586411757"/>
          <w:placeholder>
            <w:docPart w:val="7273298E058345D09F9D6DC26393F03A"/>
          </w:placeholder>
        </w:sdtPr>
        <w:sdtContent>
          <w:r w:rsidRPr="002176A6">
            <w:rPr>
              <w:rFonts w:ascii="Arial" w:hAnsi="Arial" w:cs="Arial"/>
              <w:color w:val="000000"/>
              <w:sz w:val="20"/>
              <w:szCs w:val="20"/>
              <w:vertAlign w:val="superscript"/>
            </w:rPr>
            <w:t>9</w:t>
          </w:r>
        </w:sdtContent>
      </w:sdt>
      <w:r w:rsidRPr="008F7591">
        <w:rPr>
          <w:rFonts w:ascii="Arial" w:hAnsi="Arial" w:cs="Arial"/>
          <w:sz w:val="20"/>
          <w:szCs w:val="20"/>
        </w:rPr>
        <w:t xml:space="preserve">  and Riplet (RN135). The amino acid colour code used is the Clustal X colour scheme from Jalview, where hydrophobic residues are shown in blue, positive charges in red, negative charges in magenta, polar residues in green, cysteines in pink, glycines in orange, prolines in yellow and aromatic residues in cyan. The red arrows show the conservation of residues H505 and K508, belonging to binding site 1, and the blue arrow shows the conservation of K602, belonging to binding site 2.</w:t>
      </w:r>
      <w:r w:rsidRPr="008F7591" w:rsidDel="00464109">
        <w:rPr>
          <w:rFonts w:ascii="Arial" w:hAnsi="Arial" w:cs="Arial"/>
          <w:sz w:val="20"/>
          <w:szCs w:val="20"/>
        </w:rPr>
        <w:t xml:space="preserve"> </w:t>
      </w:r>
      <w:r w:rsidRPr="008F7591">
        <w:rPr>
          <w:rFonts w:ascii="Arial" w:hAnsi="Arial" w:cs="Arial"/>
          <w:sz w:val="20"/>
          <w:szCs w:val="20"/>
        </w:rPr>
        <w:t>(</w:t>
      </w:r>
      <w:r>
        <w:rPr>
          <w:rFonts w:ascii="Arial" w:hAnsi="Arial" w:cs="Arial"/>
          <w:b/>
          <w:bCs/>
          <w:sz w:val="20"/>
          <w:szCs w:val="20"/>
        </w:rPr>
        <w:t>h</w:t>
      </w:r>
      <w:r w:rsidRPr="008F7591">
        <w:rPr>
          <w:rFonts w:ascii="Arial" w:hAnsi="Arial" w:cs="Arial"/>
          <w:sz w:val="20"/>
          <w:szCs w:val="20"/>
        </w:rPr>
        <w:t xml:space="preserve">) Global alignment of the PRY/SPRY domain of TRIM25 proteins from </w:t>
      </w:r>
      <w:r>
        <w:rPr>
          <w:rFonts w:ascii="Arial" w:hAnsi="Arial" w:cs="Arial"/>
          <w:sz w:val="20"/>
          <w:szCs w:val="20"/>
        </w:rPr>
        <w:t>20</w:t>
      </w:r>
      <w:r w:rsidRPr="008F7591">
        <w:rPr>
          <w:rFonts w:ascii="Arial" w:hAnsi="Arial" w:cs="Arial"/>
          <w:sz w:val="20"/>
          <w:szCs w:val="20"/>
        </w:rPr>
        <w:t xml:space="preserve"> different species obtained from ENSEMBL (See </w:t>
      </w:r>
      <w:r>
        <w:rPr>
          <w:rFonts w:ascii="Arial" w:hAnsi="Arial" w:cs="Arial"/>
          <w:sz w:val="20"/>
          <w:szCs w:val="20"/>
        </w:rPr>
        <w:t>m</w:t>
      </w:r>
      <w:r w:rsidRPr="008F7591">
        <w:rPr>
          <w:rFonts w:ascii="Arial" w:hAnsi="Arial" w:cs="Arial"/>
          <w:sz w:val="20"/>
          <w:szCs w:val="20"/>
        </w:rPr>
        <w:t xml:space="preserve">aterial and methods for more information and </w:t>
      </w:r>
      <w:r w:rsidRPr="000A4C2C">
        <w:rPr>
          <w:rFonts w:ascii="Arial" w:hAnsi="Arial" w:cs="Arial"/>
          <w:color w:val="ED7D31" w:themeColor="accent2"/>
          <w:sz w:val="20"/>
          <w:szCs w:val="20"/>
        </w:rPr>
        <w:t xml:space="preserve">Supplementary File Table 2 </w:t>
      </w:r>
      <w:r w:rsidRPr="008F7591">
        <w:rPr>
          <w:rFonts w:ascii="Arial" w:hAnsi="Arial" w:cs="Arial"/>
          <w:sz w:val="20"/>
          <w:szCs w:val="20"/>
        </w:rPr>
        <w:t xml:space="preserve">for </w:t>
      </w:r>
      <w:r>
        <w:rPr>
          <w:rFonts w:ascii="Arial" w:hAnsi="Arial" w:cs="Arial"/>
          <w:sz w:val="20"/>
          <w:szCs w:val="20"/>
        </w:rPr>
        <w:t>details regarding the species</w:t>
      </w:r>
      <w:r w:rsidRPr="008F7591">
        <w:rPr>
          <w:rFonts w:ascii="Arial" w:hAnsi="Arial" w:cs="Arial"/>
          <w:sz w:val="20"/>
          <w:szCs w:val="20"/>
        </w:rPr>
        <w:t>). Conservation of sequence features of the PRY/SPRY domains within TRIM25 from different species. Residues responsible for RNA binding are shown in red or blue, depending on the binding site to which they belong. The height of the stack of letters at each position indicates the degree of conservation.</w:t>
      </w:r>
    </w:p>
    <w:p w14:paraId="0ED1C77E" w14:textId="77777777" w:rsidR="00C84866" w:rsidRPr="008F7591" w:rsidRDefault="00C84866" w:rsidP="00C84866">
      <w:pPr>
        <w:suppressLineNumbers/>
        <w:spacing w:line="276" w:lineRule="auto"/>
        <w:jc w:val="both"/>
        <w:rPr>
          <w:rFonts w:ascii="Arial" w:hAnsi="Arial" w:cs="Arial"/>
          <w:sz w:val="20"/>
          <w:szCs w:val="20"/>
        </w:rPr>
      </w:pPr>
    </w:p>
    <w:p w14:paraId="20DEE592" w14:textId="77777777" w:rsidR="00C84866" w:rsidRPr="008F7591" w:rsidRDefault="00C84866" w:rsidP="00C84866">
      <w:pPr>
        <w:suppressLineNumbers/>
        <w:rPr>
          <w:rFonts w:ascii="Arial" w:hAnsi="Arial" w:cs="Arial"/>
          <w:sz w:val="20"/>
          <w:szCs w:val="20"/>
        </w:rPr>
      </w:pPr>
      <w:r>
        <w:rPr>
          <w:rFonts w:ascii="Arial" w:hAnsi="Arial" w:cs="Arial"/>
          <w:noProof/>
          <w:sz w:val="20"/>
          <w:szCs w:val="20"/>
        </w:rPr>
        <w:lastRenderedPageBreak/>
        <w:drawing>
          <wp:inline distT="0" distB="0" distL="0" distR="0" wp14:anchorId="01A92451" wp14:editId="50E2E129">
            <wp:extent cx="5731510" cy="7840980"/>
            <wp:effectExtent l="0" t="0" r="0" b="0"/>
            <wp:docPr id="18" name="Picture 18"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close-up of a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7840980"/>
                    </a:xfrm>
                    <a:prstGeom prst="rect">
                      <a:avLst/>
                    </a:prstGeom>
                  </pic:spPr>
                </pic:pic>
              </a:graphicData>
            </a:graphic>
          </wp:inline>
        </w:drawing>
      </w:r>
    </w:p>
    <w:p w14:paraId="2219DFBE" w14:textId="77777777" w:rsidR="00C84866" w:rsidRPr="008F7591" w:rsidRDefault="00C84866" w:rsidP="00C84866">
      <w:pPr>
        <w:suppressLineNumbers/>
        <w:spacing w:line="276" w:lineRule="auto"/>
        <w:jc w:val="both"/>
        <w:rPr>
          <w:rFonts w:ascii="Arial" w:hAnsi="Arial" w:cs="Arial"/>
          <w:sz w:val="20"/>
          <w:szCs w:val="20"/>
        </w:rPr>
      </w:pPr>
      <w:r>
        <w:rPr>
          <w:rFonts w:ascii="Arial" w:hAnsi="Arial" w:cs="Arial"/>
          <w:b/>
          <w:bCs/>
          <w:sz w:val="20"/>
          <w:szCs w:val="20"/>
        </w:rPr>
        <w:t>Extended Data</w:t>
      </w:r>
      <w:r w:rsidRPr="008F7591">
        <w:rPr>
          <w:rFonts w:ascii="Arial" w:hAnsi="Arial" w:cs="Arial"/>
          <w:b/>
          <w:bCs/>
          <w:sz w:val="20"/>
          <w:szCs w:val="20"/>
        </w:rPr>
        <w:t xml:space="preserve"> Figure 2</w:t>
      </w:r>
      <w:r w:rsidRPr="008F7591">
        <w:rPr>
          <w:rFonts w:ascii="Arial" w:hAnsi="Arial" w:cs="Arial"/>
          <w:sz w:val="20"/>
          <w:szCs w:val="20"/>
        </w:rPr>
        <w:t xml:space="preserve"> </w:t>
      </w:r>
      <w:r w:rsidRPr="008F7591">
        <w:rPr>
          <w:rFonts w:ascii="Arial" w:hAnsi="Arial" w:cs="Arial"/>
          <w:b/>
          <w:bCs/>
          <w:sz w:val="20"/>
          <w:szCs w:val="20"/>
        </w:rPr>
        <w:t>(</w:t>
      </w:r>
      <w:r>
        <w:rPr>
          <w:rFonts w:ascii="Arial" w:hAnsi="Arial" w:cs="Arial"/>
          <w:b/>
          <w:bCs/>
          <w:color w:val="000000" w:themeColor="text1"/>
          <w:sz w:val="20"/>
          <w:szCs w:val="20"/>
        </w:rPr>
        <w:t>a</w:t>
      </w:r>
      <w:r w:rsidRPr="008F7591">
        <w:rPr>
          <w:rFonts w:ascii="Arial" w:hAnsi="Arial" w:cs="Arial"/>
          <w:sz w:val="20"/>
          <w:szCs w:val="20"/>
        </w:rPr>
        <w:t>)</w:t>
      </w:r>
      <w:r>
        <w:rPr>
          <w:rFonts w:ascii="Arial" w:hAnsi="Arial" w:cs="Arial"/>
          <w:sz w:val="20"/>
          <w:szCs w:val="20"/>
        </w:rPr>
        <w:t xml:space="preserve"> </w:t>
      </w:r>
      <w:r w:rsidRPr="008F7591">
        <w:rPr>
          <w:rFonts w:ascii="Arial" w:hAnsi="Arial" w:cs="Arial"/>
          <w:sz w:val="20"/>
          <w:szCs w:val="20"/>
        </w:rPr>
        <w:t xml:space="preserve">The </w:t>
      </w:r>
      <w:r w:rsidRPr="008F7591">
        <w:rPr>
          <w:rFonts w:ascii="Arial" w:hAnsi="Arial" w:cs="Arial"/>
          <w:sz w:val="20"/>
          <w:szCs w:val="20"/>
          <w:vertAlign w:val="superscript"/>
        </w:rPr>
        <w:t>1</w:t>
      </w:r>
      <w:r w:rsidRPr="008F7591">
        <w:rPr>
          <w:rFonts w:ascii="Arial" w:hAnsi="Arial" w:cs="Arial"/>
          <w:sz w:val="20"/>
          <w:szCs w:val="20"/>
        </w:rPr>
        <w:t>H/</w:t>
      </w:r>
      <w:r w:rsidRPr="008F7591">
        <w:rPr>
          <w:rFonts w:ascii="Arial" w:hAnsi="Arial" w:cs="Arial"/>
          <w:sz w:val="20"/>
          <w:szCs w:val="20"/>
          <w:vertAlign w:val="superscript"/>
        </w:rPr>
        <w:t>15</w:t>
      </w:r>
      <w:r w:rsidRPr="008F7591">
        <w:rPr>
          <w:rFonts w:ascii="Arial" w:hAnsi="Arial" w:cs="Arial"/>
          <w:sz w:val="20"/>
          <w:szCs w:val="20"/>
        </w:rPr>
        <w:t xml:space="preserve">N-HSQC spectrum of the </w:t>
      </w:r>
      <w:r w:rsidRPr="008F7591">
        <w:rPr>
          <w:rFonts w:ascii="Arial" w:hAnsi="Arial" w:cs="Arial"/>
          <w:color w:val="000000" w:themeColor="text1"/>
          <w:sz w:val="20"/>
          <w:szCs w:val="20"/>
        </w:rPr>
        <w:t xml:space="preserve">CC domain shows only peaks corresponding </w:t>
      </w:r>
      <w:r>
        <w:rPr>
          <w:rFonts w:ascii="Arial" w:hAnsi="Arial" w:cs="Arial"/>
          <w:color w:val="000000" w:themeColor="text1"/>
          <w:sz w:val="20"/>
          <w:szCs w:val="20"/>
        </w:rPr>
        <w:t xml:space="preserve">to </w:t>
      </w:r>
      <w:r w:rsidRPr="008F7591">
        <w:rPr>
          <w:rFonts w:ascii="Arial" w:hAnsi="Arial" w:cs="Arial"/>
          <w:color w:val="000000" w:themeColor="text1"/>
          <w:sz w:val="20"/>
          <w:szCs w:val="20"/>
        </w:rPr>
        <w:t xml:space="preserve">residues of the flexible termini due to its elongated conformation and large size. Therefore, NMR is not suitable for </w:t>
      </w:r>
      <w:r>
        <w:rPr>
          <w:rFonts w:ascii="Arial" w:hAnsi="Arial" w:cs="Arial"/>
          <w:color w:val="000000" w:themeColor="text1"/>
          <w:sz w:val="20"/>
          <w:szCs w:val="20"/>
        </w:rPr>
        <w:t>identifying</w:t>
      </w:r>
      <w:r w:rsidRPr="008F7591">
        <w:rPr>
          <w:rFonts w:ascii="Arial" w:hAnsi="Arial" w:cs="Arial"/>
          <w:color w:val="000000" w:themeColor="text1"/>
          <w:sz w:val="20"/>
          <w:szCs w:val="20"/>
        </w:rPr>
        <w:t xml:space="preserve"> RNA binding</w:t>
      </w:r>
      <w:r>
        <w:rPr>
          <w:rFonts w:ascii="Arial" w:hAnsi="Arial" w:cs="Arial"/>
          <w:color w:val="000000" w:themeColor="text1"/>
          <w:sz w:val="20"/>
          <w:szCs w:val="20"/>
        </w:rPr>
        <w:t xml:space="preserve"> residues</w:t>
      </w:r>
      <w:r w:rsidRPr="008F7591">
        <w:rPr>
          <w:rFonts w:ascii="Arial" w:hAnsi="Arial" w:cs="Arial"/>
          <w:color w:val="000000" w:themeColor="text1"/>
          <w:sz w:val="20"/>
          <w:szCs w:val="20"/>
        </w:rPr>
        <w:t>.</w:t>
      </w:r>
      <w:r w:rsidRPr="008F7591">
        <w:rPr>
          <w:rFonts w:eastAsiaTheme="minorHAnsi"/>
          <w:sz w:val="20"/>
          <w:szCs w:val="20"/>
          <w:lang w:eastAsia="en-US"/>
        </w:rPr>
        <w:t xml:space="preserve"> </w:t>
      </w:r>
      <w:r w:rsidRPr="008F7591">
        <w:rPr>
          <w:rFonts w:ascii="Arial" w:hAnsi="Arial" w:cs="Arial"/>
          <w:sz w:val="20"/>
          <w:szCs w:val="20"/>
        </w:rPr>
        <w:t>(</w:t>
      </w:r>
      <w:r>
        <w:rPr>
          <w:rFonts w:ascii="Arial" w:hAnsi="Arial" w:cs="Arial"/>
          <w:b/>
          <w:bCs/>
          <w:sz w:val="20"/>
          <w:szCs w:val="20"/>
        </w:rPr>
        <w:t>b</w:t>
      </w:r>
      <w:r w:rsidRPr="008F7591">
        <w:rPr>
          <w:rFonts w:ascii="Arial" w:hAnsi="Arial" w:cs="Arial"/>
          <w:sz w:val="20"/>
          <w:szCs w:val="20"/>
        </w:rPr>
        <w:t xml:space="preserve">) Binding isotherms of TRIM25 CC domain titrated with lnczc3h7a, pre-let-7 loop and lnczc3h7a-loop. </w:t>
      </w:r>
      <w:r w:rsidRPr="008F7591">
        <w:rPr>
          <w:rFonts w:ascii="Arial" w:hAnsi="Arial"/>
          <w:sz w:val="20"/>
          <w:szCs w:val="20"/>
        </w:rPr>
        <w:t xml:space="preserve">The value shown in the figure is the average of all replicates. All experimental setups and ITC measurements including replicates are listed in </w:t>
      </w:r>
      <w:r w:rsidRPr="008F7591">
        <w:rPr>
          <w:rFonts w:ascii="Arial" w:hAnsi="Arial"/>
          <w:color w:val="ED7D31" w:themeColor="accent2"/>
          <w:sz w:val="20"/>
          <w:szCs w:val="20"/>
        </w:rPr>
        <w:t>Supplementary Table 1</w:t>
      </w:r>
      <w:r w:rsidRPr="008F7591">
        <w:rPr>
          <w:rFonts w:ascii="Arial" w:hAnsi="Arial"/>
          <w:sz w:val="20"/>
          <w:szCs w:val="20"/>
        </w:rPr>
        <w:t xml:space="preserve">. </w:t>
      </w:r>
      <w:r w:rsidRPr="008F7591">
        <w:rPr>
          <w:rFonts w:ascii="Arial" w:hAnsi="Arial" w:cs="Arial"/>
          <w:sz w:val="20"/>
          <w:szCs w:val="20"/>
        </w:rPr>
        <w:t>(</w:t>
      </w:r>
      <w:r>
        <w:rPr>
          <w:rFonts w:ascii="Arial" w:hAnsi="Arial" w:cs="Arial"/>
          <w:b/>
          <w:bCs/>
          <w:sz w:val="20"/>
          <w:szCs w:val="20"/>
        </w:rPr>
        <w:t>c</w:t>
      </w:r>
      <w:r w:rsidRPr="008F7591">
        <w:rPr>
          <w:rFonts w:ascii="Arial" w:hAnsi="Arial" w:cs="Arial"/>
          <w:sz w:val="20"/>
          <w:szCs w:val="20"/>
        </w:rPr>
        <w:t xml:space="preserve">) SEC-MALS molecular weight determination for the CC WT domain </w:t>
      </w:r>
      <w:r w:rsidRPr="008F7591">
        <w:rPr>
          <w:rFonts w:ascii="Arial" w:hAnsi="Arial" w:cs="Arial"/>
          <w:sz w:val="20"/>
          <w:szCs w:val="20"/>
        </w:rPr>
        <w:lastRenderedPageBreak/>
        <w:t>and its mutants. These results show that CC-WT and mutants are dimers in solution. (</w:t>
      </w:r>
      <w:r>
        <w:rPr>
          <w:rFonts w:ascii="Arial" w:hAnsi="Arial" w:cs="Arial"/>
          <w:b/>
          <w:bCs/>
          <w:sz w:val="20"/>
          <w:szCs w:val="20"/>
        </w:rPr>
        <w:t>d</w:t>
      </w:r>
      <w:r w:rsidRPr="008F7591">
        <w:rPr>
          <w:rFonts w:ascii="Arial" w:hAnsi="Arial" w:cs="Arial"/>
          <w:sz w:val="20"/>
          <w:szCs w:val="20"/>
        </w:rPr>
        <w:t>) Circular dichroism spectroscopy curves for CC-WT and mutants showing no prominent changes in secondary structure content upon mutation. (</w:t>
      </w:r>
      <w:r>
        <w:rPr>
          <w:rFonts w:ascii="Arial" w:hAnsi="Arial" w:cs="Arial"/>
          <w:b/>
          <w:bCs/>
          <w:sz w:val="20"/>
          <w:szCs w:val="20"/>
        </w:rPr>
        <w:t>e</w:t>
      </w:r>
      <w:r w:rsidRPr="008F7591">
        <w:rPr>
          <w:rFonts w:ascii="Arial" w:hAnsi="Arial" w:cs="Arial"/>
          <w:sz w:val="20"/>
          <w:szCs w:val="20"/>
        </w:rPr>
        <w:t xml:space="preserve">) Conservation of sequence features of residues within the CC domain peptide detected as RNA binding </w:t>
      </w:r>
      <w:r>
        <w:rPr>
          <w:rFonts w:ascii="Arial" w:hAnsi="Arial" w:cs="Arial"/>
          <w:sz w:val="20"/>
          <w:szCs w:val="20"/>
        </w:rPr>
        <w:t xml:space="preserve">by </w:t>
      </w:r>
      <w:r w:rsidRPr="008F7591">
        <w:rPr>
          <w:rFonts w:ascii="Arial" w:hAnsi="Arial" w:cs="Arial"/>
          <w:sz w:val="20"/>
          <w:szCs w:val="20"/>
        </w:rPr>
        <w:t>CLIR-MS/MS experiments</w:t>
      </w:r>
      <w:r>
        <w:rPr>
          <w:rFonts w:ascii="Arial" w:hAnsi="Arial" w:cs="Arial"/>
          <w:sz w:val="20"/>
          <w:szCs w:val="20"/>
        </w:rPr>
        <w:t xml:space="preserve"> of</w:t>
      </w:r>
      <w:r w:rsidRPr="008F7591">
        <w:rPr>
          <w:rFonts w:ascii="Arial" w:hAnsi="Arial" w:cs="Arial"/>
          <w:sz w:val="20"/>
          <w:szCs w:val="20"/>
        </w:rPr>
        <w:t xml:space="preserve"> </w:t>
      </w:r>
      <w:r>
        <w:rPr>
          <w:rFonts w:ascii="Arial" w:hAnsi="Arial" w:cs="Arial"/>
          <w:sz w:val="20"/>
          <w:szCs w:val="20"/>
        </w:rPr>
        <w:t xml:space="preserve">TRIM25 from 18 </w:t>
      </w:r>
      <w:r w:rsidRPr="008F7591">
        <w:rPr>
          <w:rFonts w:ascii="Arial" w:hAnsi="Arial" w:cs="Arial"/>
          <w:sz w:val="20"/>
          <w:szCs w:val="20"/>
        </w:rPr>
        <w:t>different species</w:t>
      </w:r>
      <w:r>
        <w:rPr>
          <w:rFonts w:ascii="Arial" w:hAnsi="Arial" w:cs="Arial"/>
          <w:sz w:val="20"/>
          <w:szCs w:val="20"/>
        </w:rPr>
        <w:t xml:space="preserve"> (</w:t>
      </w:r>
      <w:r w:rsidRPr="008F7591">
        <w:rPr>
          <w:rFonts w:ascii="Arial" w:hAnsi="Arial" w:cs="Arial"/>
          <w:sz w:val="20"/>
          <w:szCs w:val="20"/>
        </w:rPr>
        <w:t xml:space="preserve">See </w:t>
      </w:r>
      <w:r>
        <w:rPr>
          <w:rFonts w:ascii="Arial" w:hAnsi="Arial" w:cs="Arial"/>
          <w:sz w:val="20"/>
          <w:szCs w:val="20"/>
        </w:rPr>
        <w:t>m</w:t>
      </w:r>
      <w:r w:rsidRPr="008F7591">
        <w:rPr>
          <w:rFonts w:ascii="Arial" w:hAnsi="Arial" w:cs="Arial"/>
          <w:sz w:val="20"/>
          <w:szCs w:val="20"/>
        </w:rPr>
        <w:t xml:space="preserve">aterial and methods for more information and </w:t>
      </w:r>
      <w:r w:rsidRPr="000A4C2C">
        <w:rPr>
          <w:rFonts w:ascii="Arial" w:hAnsi="Arial" w:cs="Arial"/>
          <w:color w:val="ED7D31" w:themeColor="accent2"/>
          <w:sz w:val="20"/>
          <w:szCs w:val="20"/>
        </w:rPr>
        <w:t xml:space="preserve">Supplementary File Table 2 </w:t>
      </w:r>
      <w:r w:rsidRPr="008F7591">
        <w:rPr>
          <w:rFonts w:ascii="Arial" w:hAnsi="Arial" w:cs="Arial"/>
          <w:sz w:val="20"/>
          <w:szCs w:val="20"/>
        </w:rPr>
        <w:t xml:space="preserve">for </w:t>
      </w:r>
      <w:r>
        <w:rPr>
          <w:rFonts w:ascii="Arial" w:hAnsi="Arial" w:cs="Arial"/>
          <w:sz w:val="20"/>
          <w:szCs w:val="20"/>
        </w:rPr>
        <w:t>details regarding the species)</w:t>
      </w:r>
      <w:r w:rsidRPr="008F7591">
        <w:rPr>
          <w:rFonts w:ascii="Arial" w:hAnsi="Arial" w:cs="Arial"/>
          <w:sz w:val="20"/>
          <w:szCs w:val="20"/>
        </w:rPr>
        <w:t>. Residues responsible for RNA binding are shown in purple. The height of the letter stack at each position indicates the degree of conservation. (</w:t>
      </w:r>
      <w:r>
        <w:rPr>
          <w:rFonts w:ascii="Arial" w:hAnsi="Arial" w:cs="Arial"/>
          <w:b/>
          <w:bCs/>
          <w:sz w:val="20"/>
          <w:szCs w:val="20"/>
        </w:rPr>
        <w:t>f</w:t>
      </w:r>
      <w:r w:rsidRPr="008F7591">
        <w:rPr>
          <w:rFonts w:ascii="Arial" w:hAnsi="Arial" w:cs="Arial"/>
          <w:sz w:val="20"/>
          <w:szCs w:val="20"/>
        </w:rPr>
        <w:t>) Global alignment of the CC domain of all human TRIM proteins belonging to group IV</w:t>
      </w:r>
      <w:sdt>
        <w:sdtPr>
          <w:rPr>
            <w:rFonts w:ascii="Arial" w:hAnsi="Arial" w:cs="Arial"/>
            <w:color w:val="000000"/>
            <w:sz w:val="20"/>
            <w:szCs w:val="20"/>
            <w:vertAlign w:val="superscript"/>
          </w:rPr>
          <w:tag w:val="MENDELEY_CITATION_v3_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"/>
          <w:id w:val="-796055162"/>
          <w:placeholder>
            <w:docPart w:val="B5FC3593E6AE4677B9E4050E5EF960BE"/>
          </w:placeholder>
        </w:sdtPr>
        <w:sdtContent>
          <w:r w:rsidRPr="002176A6">
            <w:rPr>
              <w:rFonts w:ascii="Arial" w:hAnsi="Arial" w:cs="Arial"/>
              <w:color w:val="000000"/>
              <w:sz w:val="20"/>
              <w:szCs w:val="20"/>
              <w:vertAlign w:val="superscript"/>
            </w:rPr>
            <w:t>9</w:t>
          </w:r>
        </w:sdtContent>
      </w:sdt>
      <w:r w:rsidRPr="008F7591">
        <w:rPr>
          <w:rFonts w:ascii="Arial" w:hAnsi="Arial" w:cs="Arial"/>
          <w:sz w:val="20"/>
          <w:szCs w:val="20"/>
        </w:rPr>
        <w:t xml:space="preserve">  and Riplet (RN135). The amino acid colour code used is the Clustal X colour scheme from Jalview, where hydrophobic residues are shown in blue, positive charges in red, negative charges in magenta, polar residues in green, cysteines in pink, glycines in orange, prolines in yellow and aromatic residues in cyan.</w:t>
      </w:r>
    </w:p>
    <w:p w14:paraId="55A93D5C" w14:textId="77777777" w:rsidR="00C84866" w:rsidRPr="008F7591" w:rsidRDefault="00C84866" w:rsidP="00C84866">
      <w:pPr>
        <w:suppressLineNumbers/>
        <w:rPr>
          <w:rFonts w:ascii="Arial" w:hAnsi="Arial" w:cs="Arial"/>
          <w:sz w:val="20"/>
          <w:szCs w:val="20"/>
        </w:rPr>
      </w:pPr>
      <w:r w:rsidRPr="008F7591">
        <w:rPr>
          <w:rFonts w:ascii="Arial" w:hAnsi="Arial" w:cs="Arial"/>
          <w:sz w:val="20"/>
          <w:szCs w:val="20"/>
        </w:rPr>
        <w:br w:type="page"/>
      </w:r>
    </w:p>
    <w:p w14:paraId="58A3DB3F" w14:textId="77777777" w:rsidR="00C84866" w:rsidRPr="008F7591" w:rsidRDefault="00C84866" w:rsidP="00C84866">
      <w:pPr>
        <w:suppressLineNumbers/>
        <w:spacing w:line="360" w:lineRule="auto"/>
        <w:rPr>
          <w:rFonts w:ascii="Arial" w:hAnsi="Arial"/>
          <w:sz w:val="20"/>
          <w:szCs w:val="20"/>
        </w:rPr>
      </w:pPr>
      <w:r>
        <w:rPr>
          <w:rFonts w:ascii="Arial" w:hAnsi="Arial"/>
          <w:noProof/>
          <w:sz w:val="20"/>
          <w:szCs w:val="20"/>
        </w:rPr>
        <w:lastRenderedPageBreak/>
        <w:drawing>
          <wp:inline distT="0" distB="0" distL="0" distR="0" wp14:anchorId="2AE4C268" wp14:editId="2502CCED">
            <wp:extent cx="5731510" cy="8538210"/>
            <wp:effectExtent l="0" t="0" r="0" b="0"/>
            <wp:docPr id="2" name="Picture 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creenshot of a graph&#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8538210"/>
                    </a:xfrm>
                    <a:prstGeom prst="rect">
                      <a:avLst/>
                    </a:prstGeom>
                  </pic:spPr>
                </pic:pic>
              </a:graphicData>
            </a:graphic>
          </wp:inline>
        </w:drawing>
      </w:r>
    </w:p>
    <w:p w14:paraId="211EDE26" w14:textId="77777777" w:rsidR="00C84866" w:rsidRPr="008F7591" w:rsidRDefault="00C84866" w:rsidP="00C84866">
      <w:pPr>
        <w:suppressLineNumbers/>
        <w:spacing w:line="276" w:lineRule="auto"/>
        <w:jc w:val="both"/>
        <w:rPr>
          <w:rFonts w:ascii="Arial" w:hAnsi="Arial"/>
          <w:sz w:val="20"/>
          <w:szCs w:val="20"/>
        </w:rPr>
      </w:pPr>
      <w:r>
        <w:rPr>
          <w:rFonts w:ascii="Arial" w:hAnsi="Arial"/>
          <w:b/>
          <w:bCs/>
          <w:sz w:val="20"/>
          <w:szCs w:val="20"/>
        </w:rPr>
        <w:lastRenderedPageBreak/>
        <w:t>Extended Data Figure 3</w:t>
      </w:r>
      <w:r w:rsidRPr="008F7591">
        <w:rPr>
          <w:rFonts w:ascii="Arial" w:hAnsi="Arial"/>
          <w:b/>
          <w:bCs/>
          <w:sz w:val="20"/>
          <w:szCs w:val="20"/>
        </w:rPr>
        <w:t xml:space="preserve"> (</w:t>
      </w:r>
      <w:r>
        <w:rPr>
          <w:rFonts w:ascii="Arial" w:hAnsi="Arial"/>
          <w:b/>
          <w:bCs/>
          <w:sz w:val="20"/>
          <w:szCs w:val="20"/>
        </w:rPr>
        <w:t>a</w:t>
      </w:r>
      <w:r w:rsidRPr="008F7591">
        <w:rPr>
          <w:rFonts w:ascii="Arial" w:hAnsi="Arial"/>
          <w:b/>
          <w:bCs/>
          <w:sz w:val="20"/>
          <w:szCs w:val="20"/>
        </w:rPr>
        <w:t>)</w:t>
      </w:r>
      <w:r w:rsidRPr="008F7591">
        <w:rPr>
          <w:rFonts w:ascii="Arial" w:hAnsi="Arial"/>
          <w:sz w:val="20"/>
          <w:szCs w:val="20"/>
        </w:rPr>
        <w:t xml:space="preserve"> Binding isotherms of TRIM25 CC-PRY/SPRY domain titrated by DENV-SL, lnczc3h7a, pre-let-7 loop, pre-let-7 stem and lnczc3h7a loop and for TRIM25 CC-PRY/SPRY 7KA titrated by pre-let-7. The value shown in the figure is the average </w:t>
      </w:r>
      <w:r>
        <w:rPr>
          <w:rFonts w:ascii="Arial" w:hAnsi="Arial"/>
          <w:sz w:val="20"/>
          <w:szCs w:val="20"/>
        </w:rPr>
        <w:t>of all</w:t>
      </w:r>
      <w:r w:rsidRPr="008F7591">
        <w:rPr>
          <w:rFonts w:ascii="Arial" w:hAnsi="Arial"/>
          <w:sz w:val="20"/>
          <w:szCs w:val="20"/>
        </w:rPr>
        <w:t xml:space="preserve"> replicates. All experimental setups and the results of all ITC measurements </w:t>
      </w:r>
      <w:r>
        <w:rPr>
          <w:rFonts w:ascii="Arial" w:hAnsi="Arial"/>
          <w:sz w:val="20"/>
          <w:szCs w:val="20"/>
        </w:rPr>
        <w:t>including</w:t>
      </w:r>
      <w:r w:rsidRPr="008F7591">
        <w:rPr>
          <w:rFonts w:ascii="Arial" w:hAnsi="Arial"/>
          <w:sz w:val="20"/>
          <w:szCs w:val="20"/>
        </w:rPr>
        <w:t xml:space="preserve"> replicates can be found in </w:t>
      </w:r>
      <w:r w:rsidRPr="008F7591">
        <w:rPr>
          <w:rFonts w:ascii="Arial" w:hAnsi="Arial"/>
          <w:color w:val="ED7D31" w:themeColor="accent2"/>
          <w:sz w:val="20"/>
          <w:szCs w:val="20"/>
        </w:rPr>
        <w:t>Supplementary Table 1</w:t>
      </w:r>
      <w:r w:rsidRPr="008F7591">
        <w:rPr>
          <w:rFonts w:ascii="Arial" w:hAnsi="Arial"/>
          <w:sz w:val="20"/>
          <w:szCs w:val="20"/>
        </w:rPr>
        <w:t xml:space="preserve">. </w:t>
      </w:r>
      <w:r w:rsidRPr="008F7591">
        <w:rPr>
          <w:rFonts w:ascii="Arial" w:hAnsi="Arial"/>
          <w:b/>
          <w:bCs/>
          <w:sz w:val="20"/>
          <w:szCs w:val="20"/>
        </w:rPr>
        <w:t>(</w:t>
      </w:r>
      <w:r>
        <w:rPr>
          <w:rFonts w:ascii="Arial" w:hAnsi="Arial"/>
          <w:b/>
          <w:bCs/>
          <w:sz w:val="20"/>
          <w:szCs w:val="20"/>
        </w:rPr>
        <w:t>b</w:t>
      </w:r>
      <w:r w:rsidRPr="008F7591">
        <w:rPr>
          <w:rFonts w:ascii="Arial" w:hAnsi="Arial"/>
          <w:b/>
          <w:bCs/>
          <w:sz w:val="20"/>
          <w:szCs w:val="20"/>
        </w:rPr>
        <w:t xml:space="preserve">) </w:t>
      </w:r>
      <w:r w:rsidRPr="008F7591">
        <w:rPr>
          <w:rFonts w:ascii="Arial" w:hAnsi="Arial"/>
          <w:sz w:val="20"/>
          <w:szCs w:val="20"/>
        </w:rPr>
        <w:t xml:space="preserve">Overlay of the </w:t>
      </w:r>
      <w:r w:rsidRPr="0084187C">
        <w:rPr>
          <w:rFonts w:ascii="Arial" w:hAnsi="Arial"/>
          <w:sz w:val="20"/>
          <w:szCs w:val="20"/>
          <w:vertAlign w:val="superscript"/>
        </w:rPr>
        <w:t>1</w:t>
      </w:r>
      <w:r w:rsidRPr="008F7591">
        <w:rPr>
          <w:rFonts w:ascii="Arial" w:hAnsi="Arial"/>
          <w:sz w:val="20"/>
          <w:szCs w:val="20"/>
        </w:rPr>
        <w:t>H</w:t>
      </w:r>
      <w:r>
        <w:rPr>
          <w:rFonts w:ascii="Arial" w:hAnsi="Arial"/>
          <w:sz w:val="20"/>
          <w:szCs w:val="20"/>
        </w:rPr>
        <w:t>,</w:t>
      </w:r>
      <w:r w:rsidRPr="0084187C">
        <w:rPr>
          <w:rFonts w:ascii="Arial" w:hAnsi="Arial"/>
          <w:sz w:val="20"/>
          <w:szCs w:val="20"/>
          <w:vertAlign w:val="superscript"/>
        </w:rPr>
        <w:t>15</w:t>
      </w:r>
      <w:r w:rsidRPr="008F7591">
        <w:rPr>
          <w:rFonts w:ascii="Arial" w:hAnsi="Arial"/>
          <w:sz w:val="20"/>
          <w:szCs w:val="20"/>
        </w:rPr>
        <w:t>N</w:t>
      </w:r>
      <w:r>
        <w:rPr>
          <w:rFonts w:ascii="Arial" w:hAnsi="Arial"/>
          <w:sz w:val="20"/>
          <w:szCs w:val="20"/>
        </w:rPr>
        <w:t>-</w:t>
      </w:r>
      <w:r w:rsidRPr="008F7591">
        <w:rPr>
          <w:rFonts w:ascii="Arial" w:hAnsi="Arial"/>
          <w:sz w:val="20"/>
          <w:szCs w:val="20"/>
        </w:rPr>
        <w:t xml:space="preserve">HSQC spectra of TRIM25 PRY/SPRY and CC-PRY/SPRY shows excellent overlap for the </w:t>
      </w:r>
      <w:r>
        <w:rPr>
          <w:rFonts w:ascii="Arial" w:hAnsi="Arial"/>
          <w:sz w:val="20"/>
          <w:szCs w:val="20"/>
        </w:rPr>
        <w:t>dispersed</w:t>
      </w:r>
      <w:r w:rsidRPr="008F7591">
        <w:rPr>
          <w:rFonts w:ascii="Arial" w:hAnsi="Arial"/>
          <w:sz w:val="20"/>
          <w:szCs w:val="20"/>
        </w:rPr>
        <w:t xml:space="preserve"> peaks corresponding to folded regions. However, the signal intensity for these peaks is much weaker for CC-PRY/SPRY than for PRY/SPRY at the same concentration. Together with the absence of CSPs, this suggests that only the unbound state of PRY/SPRY is observed, while the state of PRY/SPRY bound to CC is not. </w:t>
      </w:r>
      <w:r w:rsidRPr="008F7591">
        <w:rPr>
          <w:rFonts w:ascii="Arial" w:hAnsi="Arial"/>
          <w:b/>
          <w:bCs/>
          <w:sz w:val="20"/>
          <w:szCs w:val="20"/>
        </w:rPr>
        <w:t>(</w:t>
      </w:r>
      <w:r>
        <w:rPr>
          <w:rFonts w:ascii="Arial" w:hAnsi="Arial"/>
          <w:b/>
          <w:bCs/>
          <w:sz w:val="20"/>
          <w:szCs w:val="20"/>
        </w:rPr>
        <w:t>c</w:t>
      </w:r>
      <w:r w:rsidRPr="008F7591">
        <w:rPr>
          <w:rFonts w:ascii="Arial" w:hAnsi="Arial"/>
          <w:b/>
          <w:bCs/>
          <w:sz w:val="20"/>
          <w:szCs w:val="20"/>
        </w:rPr>
        <w:t>)</w:t>
      </w:r>
      <w:r w:rsidRPr="008F7591">
        <w:rPr>
          <w:rFonts w:ascii="Arial" w:hAnsi="Arial"/>
          <w:sz w:val="20"/>
          <w:szCs w:val="20"/>
        </w:rPr>
        <w:t xml:space="preserve"> Binding of lnczc3h7a-SL leads to a similar reduction in radius of gyration and similar changes in the pairwise distribution function in SAXS as pre-let-7, indicating that stem-loop binding generally leads to the formation of a more compact complex</w:t>
      </w:r>
      <w:r>
        <w:rPr>
          <w:rFonts w:ascii="Arial" w:hAnsi="Arial"/>
          <w:sz w:val="20"/>
          <w:szCs w:val="20"/>
        </w:rPr>
        <w:t>, where the PRYSPRY is bound via RNA to the CC domain</w:t>
      </w:r>
      <w:r w:rsidRPr="008F7591">
        <w:rPr>
          <w:rFonts w:ascii="Arial" w:hAnsi="Arial"/>
          <w:sz w:val="20"/>
          <w:szCs w:val="20"/>
        </w:rPr>
        <w:t xml:space="preserve">. </w:t>
      </w:r>
      <w:r w:rsidRPr="008F7591">
        <w:rPr>
          <w:rFonts w:ascii="Arial" w:hAnsi="Arial"/>
          <w:b/>
          <w:bCs/>
          <w:sz w:val="20"/>
          <w:szCs w:val="20"/>
        </w:rPr>
        <w:t>(</w:t>
      </w:r>
      <w:r>
        <w:rPr>
          <w:rFonts w:ascii="Arial" w:hAnsi="Arial"/>
          <w:b/>
          <w:bCs/>
          <w:sz w:val="20"/>
          <w:szCs w:val="20"/>
        </w:rPr>
        <w:t>d</w:t>
      </w:r>
      <w:r w:rsidRPr="008F7591">
        <w:rPr>
          <w:rFonts w:ascii="Arial" w:hAnsi="Arial"/>
          <w:b/>
          <w:bCs/>
          <w:sz w:val="20"/>
          <w:szCs w:val="20"/>
        </w:rPr>
        <w:t>)</w:t>
      </w:r>
      <w:r w:rsidRPr="008F7591">
        <w:rPr>
          <w:rFonts w:ascii="Arial" w:hAnsi="Arial"/>
          <w:sz w:val="20"/>
          <w:szCs w:val="20"/>
        </w:rPr>
        <w:t xml:space="preserve"> This is also confirmed by SEC-SAXS data showing that this reduction is not due to the presence of free RNA</w:t>
      </w:r>
      <w:r>
        <w:rPr>
          <w:rFonts w:ascii="Arial" w:hAnsi="Arial"/>
          <w:sz w:val="20"/>
          <w:szCs w:val="20"/>
        </w:rPr>
        <w:t xml:space="preserve"> or aggregation artefacts</w:t>
      </w:r>
      <w:r w:rsidRPr="008F7591">
        <w:rPr>
          <w:rFonts w:ascii="Arial" w:hAnsi="Arial" w:cs="Arial"/>
          <w:sz w:val="20"/>
          <w:szCs w:val="20"/>
        </w:rPr>
        <w:t>.</w:t>
      </w:r>
    </w:p>
    <w:p w14:paraId="383D1E9D" w14:textId="77777777" w:rsidR="00C84866" w:rsidRPr="008F7591" w:rsidRDefault="00C84866" w:rsidP="00C84866">
      <w:pPr>
        <w:suppressLineNumbers/>
        <w:spacing w:line="276" w:lineRule="auto"/>
        <w:jc w:val="both"/>
        <w:rPr>
          <w:rFonts w:ascii="Arial" w:hAnsi="Arial"/>
          <w:sz w:val="20"/>
          <w:szCs w:val="20"/>
        </w:rPr>
      </w:pPr>
    </w:p>
    <w:p w14:paraId="1BCC3977" w14:textId="77777777" w:rsidR="00C84866" w:rsidRPr="008F7591" w:rsidRDefault="00C84866" w:rsidP="00C84866">
      <w:pPr>
        <w:suppressLineNumbers/>
        <w:spacing w:line="276" w:lineRule="auto"/>
        <w:jc w:val="both"/>
        <w:rPr>
          <w:rFonts w:ascii="Arial" w:hAnsi="Arial"/>
          <w:sz w:val="20"/>
          <w:szCs w:val="20"/>
        </w:rPr>
      </w:pPr>
      <w:r>
        <w:rPr>
          <w:rFonts w:ascii="Arial" w:hAnsi="Arial"/>
          <w:noProof/>
          <w:sz w:val="20"/>
          <w:szCs w:val="20"/>
        </w:rPr>
        <w:drawing>
          <wp:inline distT="0" distB="0" distL="0" distR="0" wp14:anchorId="777C5BF6" wp14:editId="78E0F196">
            <wp:extent cx="5731510" cy="5360035"/>
            <wp:effectExtent l="0" t="0" r="0" b="0"/>
            <wp:docPr id="21" name="Picture 2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screenshot of a computer scree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5360035"/>
                    </a:xfrm>
                    <a:prstGeom prst="rect">
                      <a:avLst/>
                    </a:prstGeom>
                  </pic:spPr>
                </pic:pic>
              </a:graphicData>
            </a:graphic>
          </wp:inline>
        </w:drawing>
      </w:r>
    </w:p>
    <w:p w14:paraId="04C54833" w14:textId="77777777" w:rsidR="00C84866" w:rsidRPr="008F7591" w:rsidRDefault="00C84866" w:rsidP="00C84866">
      <w:pPr>
        <w:suppressLineNumbers/>
        <w:spacing w:line="276" w:lineRule="auto"/>
        <w:jc w:val="both"/>
        <w:rPr>
          <w:rFonts w:ascii="Arial" w:hAnsi="Arial" w:cs="Arial"/>
          <w:b/>
          <w:bCs/>
          <w:sz w:val="20"/>
          <w:szCs w:val="20"/>
        </w:rPr>
      </w:pPr>
      <w:r>
        <w:rPr>
          <w:rFonts w:ascii="Arial" w:hAnsi="Arial" w:cs="Arial"/>
          <w:b/>
          <w:bCs/>
          <w:sz w:val="20"/>
          <w:szCs w:val="20"/>
        </w:rPr>
        <w:t>Extended Data Figure</w:t>
      </w:r>
      <w:r w:rsidRPr="008F7591">
        <w:rPr>
          <w:rFonts w:ascii="Arial" w:hAnsi="Arial" w:cs="Arial"/>
          <w:b/>
          <w:bCs/>
          <w:sz w:val="20"/>
          <w:szCs w:val="20"/>
        </w:rPr>
        <w:t xml:space="preserve"> </w:t>
      </w:r>
      <w:r>
        <w:rPr>
          <w:rFonts w:ascii="Arial" w:hAnsi="Arial" w:cs="Arial"/>
          <w:b/>
          <w:bCs/>
          <w:sz w:val="20"/>
          <w:szCs w:val="20"/>
        </w:rPr>
        <w:t xml:space="preserve">4 </w:t>
      </w:r>
      <w:r w:rsidRPr="008F7591">
        <w:rPr>
          <w:rFonts w:ascii="Arial" w:hAnsi="Arial" w:cs="Arial"/>
          <w:b/>
          <w:bCs/>
          <w:sz w:val="20"/>
          <w:szCs w:val="20"/>
        </w:rPr>
        <w:t>(</w:t>
      </w:r>
      <w:r>
        <w:rPr>
          <w:rFonts w:ascii="Arial" w:hAnsi="Arial" w:cs="Arial"/>
          <w:b/>
          <w:bCs/>
          <w:sz w:val="20"/>
          <w:szCs w:val="20"/>
        </w:rPr>
        <w:t>a</w:t>
      </w:r>
      <w:r w:rsidRPr="008F7591">
        <w:rPr>
          <w:rFonts w:ascii="Arial" w:hAnsi="Arial" w:cs="Arial"/>
          <w:b/>
          <w:bCs/>
          <w:sz w:val="20"/>
          <w:szCs w:val="20"/>
        </w:rPr>
        <w:t xml:space="preserve">) </w:t>
      </w:r>
      <w:r w:rsidRPr="008F7591">
        <w:rPr>
          <w:rFonts w:ascii="Arial" w:hAnsi="Arial" w:cs="Arial"/>
          <w:sz w:val="20"/>
          <w:szCs w:val="20"/>
        </w:rPr>
        <w:t xml:space="preserve">Western blot showing the parental cell line (P, HEK293), TRIM25 knockout (KO) and </w:t>
      </w:r>
      <w:r w:rsidRPr="00647989">
        <w:rPr>
          <w:rFonts w:ascii="Arial" w:hAnsi="Arial" w:cs="Arial"/>
          <w:sz w:val="20"/>
          <w:szCs w:val="20"/>
        </w:rPr>
        <w:t xml:space="preserve">TRIM25 KO cells rescued with </w:t>
      </w:r>
      <w:r w:rsidRPr="008F7591">
        <w:rPr>
          <w:rFonts w:ascii="Arial" w:hAnsi="Arial" w:cs="Arial"/>
          <w:sz w:val="20"/>
          <w:szCs w:val="20"/>
        </w:rPr>
        <w:t>TRIM25-WT, TRIM25-</w:t>
      </w:r>
      <w:r>
        <w:rPr>
          <w:rFonts w:ascii="Arial" w:hAnsi="Arial" w:cs="Arial"/>
          <w:sz w:val="20"/>
          <w:szCs w:val="20"/>
        </w:rPr>
        <w:t>m</w:t>
      </w:r>
      <w:r w:rsidRPr="008F7591">
        <w:rPr>
          <w:rFonts w:ascii="Arial" w:hAnsi="Arial" w:cs="Arial"/>
          <w:sz w:val="20"/>
          <w:szCs w:val="20"/>
        </w:rPr>
        <w:t>3, TRIM25-</w:t>
      </w:r>
      <w:r>
        <w:rPr>
          <w:rFonts w:ascii="Arial" w:hAnsi="Arial" w:cs="Arial"/>
          <w:sz w:val="20"/>
          <w:szCs w:val="20"/>
        </w:rPr>
        <w:t>m</w:t>
      </w:r>
      <w:r w:rsidRPr="008F7591">
        <w:rPr>
          <w:rFonts w:ascii="Arial" w:hAnsi="Arial" w:cs="Arial"/>
          <w:sz w:val="20"/>
          <w:szCs w:val="20"/>
        </w:rPr>
        <w:t>9 and TRIM25-E3 ligase dead mutants. The presence or absence of protein bands in these lanes highlights the successful rescue by the different mutants and their effect on protein expression.</w:t>
      </w:r>
      <w:r w:rsidRPr="008F7591">
        <w:rPr>
          <w:rFonts w:ascii="Arial" w:hAnsi="Arial" w:cs="Arial"/>
          <w:b/>
          <w:bCs/>
          <w:sz w:val="20"/>
          <w:szCs w:val="20"/>
        </w:rPr>
        <w:t xml:space="preserve"> (</w:t>
      </w:r>
      <w:r>
        <w:rPr>
          <w:rFonts w:ascii="Arial" w:hAnsi="Arial" w:cs="Arial"/>
          <w:b/>
          <w:bCs/>
          <w:sz w:val="20"/>
          <w:szCs w:val="20"/>
        </w:rPr>
        <w:t>b</w:t>
      </w:r>
      <w:r w:rsidRPr="008F7591">
        <w:rPr>
          <w:rFonts w:ascii="Arial" w:hAnsi="Arial" w:cs="Arial"/>
          <w:b/>
          <w:bCs/>
          <w:sz w:val="20"/>
          <w:szCs w:val="20"/>
        </w:rPr>
        <w:t xml:space="preserve">) </w:t>
      </w:r>
      <w:r w:rsidRPr="008F7591">
        <w:rPr>
          <w:rFonts w:ascii="Arial" w:hAnsi="Arial" w:cs="Arial"/>
          <w:sz w:val="20"/>
          <w:szCs w:val="20"/>
        </w:rPr>
        <w:t>PCA of the different iCLIP2 sequencing data.</w:t>
      </w:r>
      <w:r w:rsidRPr="008F7591">
        <w:rPr>
          <w:rFonts w:ascii="Arial" w:hAnsi="Arial" w:cs="Arial"/>
          <w:b/>
          <w:bCs/>
          <w:sz w:val="20"/>
          <w:szCs w:val="20"/>
        </w:rPr>
        <w:t xml:space="preserve"> (</w:t>
      </w:r>
      <w:r>
        <w:rPr>
          <w:rFonts w:ascii="Arial" w:hAnsi="Arial" w:cs="Arial"/>
          <w:b/>
          <w:bCs/>
          <w:sz w:val="20"/>
          <w:szCs w:val="20"/>
        </w:rPr>
        <w:t>c</w:t>
      </w:r>
      <w:r w:rsidRPr="008F7591">
        <w:rPr>
          <w:rFonts w:ascii="Arial" w:hAnsi="Arial" w:cs="Arial"/>
          <w:b/>
          <w:bCs/>
          <w:sz w:val="20"/>
          <w:szCs w:val="20"/>
        </w:rPr>
        <w:t xml:space="preserve">) </w:t>
      </w:r>
      <w:r w:rsidRPr="008F7591">
        <w:rPr>
          <w:rFonts w:ascii="Arial" w:hAnsi="Arial" w:cs="Arial"/>
          <w:sz w:val="20"/>
          <w:szCs w:val="20"/>
        </w:rPr>
        <w:t xml:space="preserve">Bar plots showing the biotypes of RNAs identified by iCLIP2. </w:t>
      </w:r>
      <w:r w:rsidRPr="008F7591">
        <w:rPr>
          <w:rFonts w:ascii="Arial" w:hAnsi="Arial" w:cs="Arial"/>
          <w:b/>
          <w:bCs/>
          <w:sz w:val="20"/>
          <w:szCs w:val="20"/>
        </w:rPr>
        <w:t>(</w:t>
      </w:r>
      <w:r>
        <w:rPr>
          <w:rFonts w:ascii="Arial" w:hAnsi="Arial" w:cs="Arial"/>
          <w:b/>
          <w:bCs/>
          <w:sz w:val="20"/>
          <w:szCs w:val="20"/>
        </w:rPr>
        <w:t>d</w:t>
      </w:r>
      <w:r w:rsidRPr="008F7591">
        <w:rPr>
          <w:rFonts w:ascii="Arial" w:hAnsi="Arial" w:cs="Arial"/>
          <w:b/>
          <w:bCs/>
          <w:sz w:val="20"/>
          <w:szCs w:val="20"/>
        </w:rPr>
        <w:t xml:space="preserve">) </w:t>
      </w:r>
      <w:r w:rsidRPr="008F7591">
        <w:rPr>
          <w:rFonts w:ascii="Arial" w:hAnsi="Arial" w:cs="Arial"/>
          <w:sz w:val="20"/>
          <w:szCs w:val="20"/>
        </w:rPr>
        <w:t xml:space="preserve">Percentage of </w:t>
      </w:r>
      <w:r w:rsidRPr="008F7591">
        <w:rPr>
          <w:rFonts w:ascii="Arial" w:hAnsi="Arial" w:cs="Arial"/>
          <w:sz w:val="20"/>
          <w:szCs w:val="20"/>
        </w:rPr>
        <w:lastRenderedPageBreak/>
        <w:t xml:space="preserve">paired and unpaired sequences across binding sites from the </w:t>
      </w:r>
      <w:r w:rsidRPr="008F7591">
        <w:rPr>
          <w:rFonts w:ascii="Arial" w:eastAsiaTheme="minorHAnsi" w:hAnsi="Arial" w:cs="Arial"/>
          <w:sz w:val="20"/>
          <w:szCs w:val="20"/>
          <w:lang w:eastAsia="en-US"/>
        </w:rPr>
        <w:t>eCLIP bed files downloaded from the ENCODE database</w:t>
      </w:r>
      <w:r w:rsidRPr="008F7591">
        <w:rPr>
          <w:rFonts w:ascii="Arial" w:hAnsi="Arial" w:cs="Arial"/>
          <w:sz w:val="20"/>
          <w:szCs w:val="20"/>
        </w:rPr>
        <w:t>.</w:t>
      </w:r>
      <w:r w:rsidRPr="008F7591">
        <w:rPr>
          <w:rFonts w:ascii="Arial" w:hAnsi="Arial" w:cs="Arial"/>
          <w:b/>
          <w:bCs/>
          <w:sz w:val="20"/>
          <w:szCs w:val="20"/>
        </w:rPr>
        <w:t xml:space="preserve"> </w:t>
      </w:r>
    </w:p>
    <w:p w14:paraId="1F6F8853" w14:textId="77777777" w:rsidR="00C84866" w:rsidRPr="008F7591" w:rsidRDefault="00C84866" w:rsidP="00C84866">
      <w:pPr>
        <w:suppressLineNumbers/>
        <w:spacing w:line="276" w:lineRule="auto"/>
        <w:jc w:val="both"/>
        <w:rPr>
          <w:rFonts w:ascii="Arial" w:hAnsi="Arial" w:cs="Arial"/>
          <w:b/>
          <w:bCs/>
          <w:sz w:val="20"/>
          <w:szCs w:val="20"/>
        </w:rPr>
      </w:pPr>
    </w:p>
    <w:p w14:paraId="14CD89AF" w14:textId="77777777" w:rsidR="00C84866" w:rsidRPr="008F7591" w:rsidRDefault="00C84866" w:rsidP="00C84866">
      <w:pPr>
        <w:suppressLineNumbers/>
        <w:spacing w:line="276" w:lineRule="auto"/>
        <w:jc w:val="both"/>
        <w:rPr>
          <w:rFonts w:ascii="Arial" w:hAnsi="Arial"/>
          <w:sz w:val="20"/>
          <w:szCs w:val="20"/>
        </w:rPr>
      </w:pPr>
      <w:r>
        <w:rPr>
          <w:rFonts w:ascii="Arial" w:hAnsi="Arial"/>
          <w:noProof/>
          <w:sz w:val="20"/>
          <w:szCs w:val="20"/>
        </w:rPr>
        <w:drawing>
          <wp:inline distT="0" distB="0" distL="0" distR="0" wp14:anchorId="68A10632" wp14:editId="04778C00">
            <wp:extent cx="5731510" cy="3549015"/>
            <wp:effectExtent l="0" t="0" r="0" b="0"/>
            <wp:docPr id="20" name="Picture 20"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close-up of a graph&#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3549015"/>
                    </a:xfrm>
                    <a:prstGeom prst="rect">
                      <a:avLst/>
                    </a:prstGeom>
                  </pic:spPr>
                </pic:pic>
              </a:graphicData>
            </a:graphic>
          </wp:inline>
        </w:drawing>
      </w:r>
    </w:p>
    <w:p w14:paraId="2C27B486" w14:textId="77777777" w:rsidR="00C84866" w:rsidRPr="00851B96" w:rsidRDefault="00C84866" w:rsidP="00C84866">
      <w:pPr>
        <w:suppressLineNumbers/>
        <w:jc w:val="both"/>
      </w:pPr>
      <w:r>
        <w:rPr>
          <w:rFonts w:ascii="Arial" w:hAnsi="Arial" w:cs="Arial"/>
          <w:b/>
          <w:bCs/>
          <w:sz w:val="20"/>
          <w:szCs w:val="20"/>
        </w:rPr>
        <w:t xml:space="preserve">Extended Data </w:t>
      </w:r>
      <w:r w:rsidRPr="008F7591">
        <w:rPr>
          <w:rFonts w:ascii="Arial" w:hAnsi="Arial" w:cs="Arial"/>
          <w:b/>
          <w:bCs/>
          <w:sz w:val="20"/>
          <w:szCs w:val="20"/>
        </w:rPr>
        <w:t>Figure 5 (</w:t>
      </w:r>
      <w:r>
        <w:rPr>
          <w:rFonts w:ascii="Arial" w:hAnsi="Arial" w:cs="Arial"/>
          <w:b/>
          <w:bCs/>
          <w:sz w:val="20"/>
          <w:szCs w:val="20"/>
        </w:rPr>
        <w:t>a</w:t>
      </w:r>
      <w:r w:rsidRPr="008F7591">
        <w:rPr>
          <w:rFonts w:ascii="Arial" w:hAnsi="Arial" w:cs="Arial"/>
          <w:b/>
          <w:bCs/>
          <w:sz w:val="20"/>
          <w:szCs w:val="20"/>
        </w:rPr>
        <w:t>)</w:t>
      </w:r>
      <w:r w:rsidRPr="008F7591">
        <w:rPr>
          <w:rFonts w:ascii="Arial" w:hAnsi="Arial" w:cs="Arial"/>
          <w:sz w:val="20"/>
          <w:szCs w:val="20"/>
        </w:rPr>
        <w:t xml:space="preserve"> Western blot analysis of SINV </w:t>
      </w:r>
      <w:r>
        <w:rPr>
          <w:rFonts w:ascii="Arial" w:hAnsi="Arial" w:cs="Arial"/>
          <w:sz w:val="20"/>
          <w:szCs w:val="20"/>
        </w:rPr>
        <w:t>capsid protein</w:t>
      </w:r>
      <w:r w:rsidRPr="008F7591">
        <w:rPr>
          <w:rFonts w:ascii="Arial" w:hAnsi="Arial" w:cs="Arial"/>
          <w:sz w:val="20"/>
          <w:szCs w:val="20"/>
        </w:rPr>
        <w:t xml:space="preserve"> accumulation in displaying the parental cell line (P, HEK293), TRIM25 knockout (KO), and the cell line with protein rescue using TRIM25-WT infected with SINV for 9 or 18 h.</w:t>
      </w:r>
      <w:r w:rsidRPr="008F7591">
        <w:rPr>
          <w:rFonts w:ascii="Arial" w:hAnsi="Arial" w:cs="Arial"/>
          <w:b/>
          <w:bCs/>
          <w:sz w:val="20"/>
          <w:szCs w:val="20"/>
        </w:rPr>
        <w:t xml:space="preserve"> (</w:t>
      </w:r>
      <w:r>
        <w:rPr>
          <w:rFonts w:ascii="Arial" w:hAnsi="Arial" w:cs="Arial"/>
          <w:b/>
          <w:bCs/>
          <w:sz w:val="20"/>
          <w:szCs w:val="20"/>
        </w:rPr>
        <w:t>b</w:t>
      </w:r>
      <w:r w:rsidRPr="008F7591">
        <w:rPr>
          <w:rFonts w:ascii="Arial" w:hAnsi="Arial" w:cs="Arial"/>
          <w:b/>
          <w:bCs/>
          <w:sz w:val="20"/>
          <w:szCs w:val="20"/>
        </w:rPr>
        <w:t xml:space="preserve">) </w:t>
      </w:r>
      <w:r w:rsidRPr="008F7591">
        <w:rPr>
          <w:rFonts w:ascii="Arial" w:hAnsi="Arial" w:cs="Arial"/>
          <w:sz w:val="20"/>
          <w:szCs w:val="20"/>
        </w:rPr>
        <w:t xml:space="preserve">Schematic representation of SINV and chimeric SINV-mCherry and SINV-nsp3-scarlet genomes. </w:t>
      </w:r>
      <w:r w:rsidRPr="008F7591">
        <w:rPr>
          <w:rFonts w:ascii="Arial" w:hAnsi="Arial" w:cs="Arial"/>
          <w:b/>
          <w:bCs/>
          <w:sz w:val="20"/>
          <w:szCs w:val="20"/>
        </w:rPr>
        <w:t>(</w:t>
      </w:r>
      <w:r>
        <w:rPr>
          <w:rFonts w:ascii="Arial" w:hAnsi="Arial" w:cs="Arial"/>
          <w:b/>
          <w:bCs/>
          <w:sz w:val="20"/>
          <w:szCs w:val="20"/>
        </w:rPr>
        <w:t>c</w:t>
      </w:r>
      <w:r w:rsidRPr="008F7591">
        <w:rPr>
          <w:rFonts w:ascii="Arial" w:hAnsi="Arial" w:cs="Arial"/>
          <w:b/>
          <w:bCs/>
          <w:sz w:val="20"/>
          <w:szCs w:val="20"/>
        </w:rPr>
        <w:t>)</w:t>
      </w:r>
      <w:r w:rsidRPr="008F7591">
        <w:rPr>
          <w:rFonts w:ascii="Arial" w:hAnsi="Arial" w:cs="Arial"/>
          <w:sz w:val="20"/>
          <w:szCs w:val="20"/>
        </w:rPr>
        <w:t xml:space="preserve"> Red fluorescence signal in the parental cell line (P, HEK293), the TRIM25 knockout (KO), and the cell line rescued using TRIM25-WT infected with SINV-nsp3-scarlet. Fluorescence was measured every 15 min in a plate reader with atmospheric control (5% CO</w:t>
      </w:r>
      <w:r w:rsidRPr="008F7591">
        <w:rPr>
          <w:rFonts w:ascii="Arial" w:hAnsi="Arial" w:cs="Arial"/>
          <w:sz w:val="20"/>
          <w:szCs w:val="20"/>
          <w:vertAlign w:val="subscript"/>
        </w:rPr>
        <w:t>2</w:t>
      </w:r>
      <w:r w:rsidRPr="008F7591">
        <w:rPr>
          <w:rFonts w:ascii="Arial" w:hAnsi="Arial" w:cs="Arial"/>
          <w:sz w:val="20"/>
          <w:szCs w:val="20"/>
        </w:rPr>
        <w:t xml:space="preserve"> and 37C). The fluorescence is shown as the mean ± SD of six independent infections.</w:t>
      </w:r>
    </w:p>
    <w:p w14:paraId="43C11BF6" w14:textId="77777777" w:rsidR="00755780" w:rsidRDefault="00755780"/>
    <w:sectPr w:rsidR="00755780" w:rsidSect="003C2B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866"/>
    <w:rsid w:val="00755780"/>
    <w:rsid w:val="00857596"/>
    <w:rsid w:val="00C848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332BC"/>
  <w15:chartTrackingRefBased/>
  <w15:docId w15:val="{4141DDD3-E9E7-49A9-8259-71F8199C3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4866"/>
    <w:pPr>
      <w:spacing w:after="0" w:line="240" w:lineRule="auto"/>
    </w:pPr>
    <w:rPr>
      <w:rFonts w:ascii="Times New Roman" w:eastAsia="Times New Roman" w:hAnsi="Times New Roman" w:cs="Times New Roman"/>
      <w:kern w:val="0"/>
      <w:sz w:val="24"/>
      <w:szCs w:val="24"/>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glossaryDocument" Target="glossary/document.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273298E058345D09F9D6DC26393F03A"/>
        <w:category>
          <w:name w:val="General"/>
          <w:gallery w:val="placeholder"/>
        </w:category>
        <w:types>
          <w:type w:val="bbPlcHdr"/>
        </w:types>
        <w:behaviors>
          <w:behavior w:val="content"/>
        </w:behaviors>
        <w:guid w:val="{F1DDB441-84C2-4662-9B3B-CB0425983D76}"/>
      </w:docPartPr>
      <w:docPartBody>
        <w:p w:rsidR="00000000" w:rsidRDefault="00AD3F1E" w:rsidP="00AD3F1E">
          <w:pPr>
            <w:pStyle w:val="7273298E058345D09F9D6DC26393F03A"/>
          </w:pPr>
          <w:r w:rsidRPr="008B5B75">
            <w:rPr>
              <w:rStyle w:val="PlaceholderText"/>
            </w:rPr>
            <w:t>Click or tap here to enter text.</w:t>
          </w:r>
        </w:p>
      </w:docPartBody>
    </w:docPart>
    <w:docPart>
      <w:docPartPr>
        <w:name w:val="B5FC3593E6AE4677B9E4050E5EF960BE"/>
        <w:category>
          <w:name w:val="General"/>
          <w:gallery w:val="placeholder"/>
        </w:category>
        <w:types>
          <w:type w:val="bbPlcHdr"/>
        </w:types>
        <w:behaviors>
          <w:behavior w:val="content"/>
        </w:behaviors>
        <w:guid w:val="{EA8B0ABE-099A-440E-B4BF-868EE9B926B0}"/>
      </w:docPartPr>
      <w:docPartBody>
        <w:p w:rsidR="00000000" w:rsidRDefault="00AD3F1E" w:rsidP="00AD3F1E">
          <w:pPr>
            <w:pStyle w:val="B5FC3593E6AE4677B9E4050E5EF960BE"/>
          </w:pPr>
          <w:r w:rsidRPr="008B5B7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F1E"/>
    <w:rsid w:val="00AD3F1E"/>
    <w:rsid w:val="00DB3C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D3F1E"/>
    <w:rPr>
      <w:color w:val="808080"/>
    </w:rPr>
  </w:style>
  <w:style w:type="paragraph" w:customStyle="1" w:styleId="7273298E058345D09F9D6DC26393F03A">
    <w:name w:val="7273298E058345D09F9D6DC26393F03A"/>
    <w:rsid w:val="00AD3F1E"/>
  </w:style>
  <w:style w:type="paragraph" w:customStyle="1" w:styleId="B5FC3593E6AE4677B9E4050E5EF960BE">
    <w:name w:val="B5FC3593E6AE4677B9E4050E5EF960BE"/>
    <w:rsid w:val="00AD3F1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1025</Words>
  <Characters>5849</Characters>
  <Application>Microsoft Office Word</Application>
  <DocSecurity>0</DocSecurity>
  <Lines>48</Lines>
  <Paragraphs>13</Paragraphs>
  <ScaleCrop>false</ScaleCrop>
  <Company>Springer Nature</Company>
  <LinksUpToDate>false</LinksUpToDate>
  <CharactersWithSpaces>6861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2023-12-11T06:51:00Z</dcterms:created>
  <dcterms:modified xsi:type="dcterms:W3CDTF">2023-12-11T06:51:00Z</dcterms:modified>
</cp:coreProperties>
</file>