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10D3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b/>
          <w:bCs/>
          <w:sz w:val="22"/>
        </w:rPr>
        <w:t>Table 1</w:t>
      </w:r>
      <w:r w:rsidRPr="00AC4618">
        <w:rPr>
          <w:rFonts w:asciiTheme="majorBidi" w:eastAsia="MS Mincho" w:hAnsiTheme="majorBidi" w:cstheme="majorBidi"/>
          <w:b/>
          <w:bCs/>
          <w:sz w:val="22"/>
        </w:rPr>
        <w:t>.γ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-H2AX foci counts in mouse hepatocytes. </w:t>
      </w:r>
      <w:r w:rsidRPr="00AC4618">
        <w:rPr>
          <w:rFonts w:asciiTheme="majorBidi" w:eastAsia="Times New Roman" w:hAnsiTheme="majorBidi" w:cstheme="majorBidi"/>
          <w:sz w:val="22"/>
        </w:rPr>
        <w:t>The number of foci per cell is shown (n = 10 mice/group).</w:t>
      </w:r>
    </w:p>
    <w:p w14:paraId="598836F5" w14:textId="77777777" w:rsidR="00914ABB" w:rsidRPr="00AC4618" w:rsidRDefault="00914ABB" w:rsidP="00914ABB">
      <w:pPr>
        <w:pStyle w:val="ListParagraph"/>
        <w:spacing w:line="360" w:lineRule="auto"/>
        <w:ind w:left="360" w:firstLine="315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59B139B5" wp14:editId="7EFFB363">
            <wp:extent cx="3168869" cy="1425991"/>
            <wp:effectExtent l="0" t="0" r="0" b="0"/>
            <wp:docPr id="1217" name="Picture 1217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Picture 1217" descr="A picture containing black, darknes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6678" cy="14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6917" w14:textId="77777777" w:rsidR="00F35240" w:rsidRDefault="00F35240"/>
    <w:p w14:paraId="33AF15AB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hAnsiTheme="majorBidi" w:cstheme="majorBidi"/>
          <w:b/>
          <w:sz w:val="22"/>
        </w:rPr>
        <w:t>Table 2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. Number of micronuclei per 1,000 polychromatic erythrocytes (MNPCE) per mouse.</w:t>
      </w:r>
      <w:r w:rsidRPr="00AC4618">
        <w:rPr>
          <w:rFonts w:asciiTheme="majorBidi" w:eastAsia="Times New Roman" w:hAnsiTheme="majorBidi" w:cstheme="majorBidi"/>
          <w:sz w:val="22"/>
        </w:rPr>
        <w:t xml:space="preserve"> Mitomycin C was used as a positive control.</w:t>
      </w:r>
    </w:p>
    <w:p w14:paraId="5EDF0468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4CA7D4EF" wp14:editId="5DA0A55F">
            <wp:extent cx="5077460" cy="1748438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399" cy="17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E7F8" w14:textId="77777777" w:rsidR="00914ABB" w:rsidRPr="00AC4618" w:rsidRDefault="00914ABB" w:rsidP="00914ABB">
      <w:pPr>
        <w:pStyle w:val="ListParagraph"/>
        <w:spacing w:line="360" w:lineRule="auto"/>
        <w:ind w:left="360" w:firstLine="315"/>
        <w:rPr>
          <w:rFonts w:asciiTheme="majorBidi" w:eastAsia="Times New Roman" w:hAnsiTheme="majorBidi" w:cstheme="majorBidi"/>
          <w:sz w:val="22"/>
        </w:rPr>
      </w:pPr>
    </w:p>
    <w:p w14:paraId="49AC81E1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hAnsiTheme="majorBidi" w:cstheme="majorBidi"/>
          <w:b/>
          <w:sz w:val="22"/>
        </w:rPr>
        <w:t>Table 3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. The number of metaphases analyzed and chromosome aberrations common to all cells.</w:t>
      </w:r>
    </w:p>
    <w:p w14:paraId="79FF73E5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580E0C41" wp14:editId="2DF90164">
            <wp:extent cx="4190337" cy="1162887"/>
            <wp:effectExtent l="0" t="0" r="1270" b="0"/>
            <wp:docPr id="1223" name="Picture 1223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Picture 1223" descr="A picture containing black, darknes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3087" cy="117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AB4D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Table 4. Comparison of single nucleotide variant (SNV) rates in exon, intron, and intergenic regions between the Cesium-137 and control groups of A/J mice. </w:t>
      </w:r>
      <w:r w:rsidRPr="00AC4618">
        <w:rPr>
          <w:rFonts w:asciiTheme="majorBidi" w:eastAsia="Times New Roman" w:hAnsiTheme="majorBidi" w:cstheme="majorBidi"/>
          <w:sz w:val="22"/>
        </w:rPr>
        <w:t>SNV rates are shown in mice after 16 generations (G16) in the low-purity line (Origin–F15) and after 18 generations (G18) in the high-purity line (F20–F38). SNV: the number of single nucleotide variants. Frequency: The frequency of SNVs was calculated based on the number of base pairs analyzed in G16 or G18, respectively. Error bars: 95 % CI by Poisson distribution.</w:t>
      </w:r>
    </w:p>
    <w:p w14:paraId="49E0959E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lastRenderedPageBreak/>
        <w:drawing>
          <wp:inline distT="0" distB="0" distL="0" distR="0" wp14:anchorId="5FE8A4BE" wp14:editId="7B04EC8E">
            <wp:extent cx="4965405" cy="2152804"/>
            <wp:effectExtent l="0" t="0" r="635" b="6350"/>
            <wp:docPr id="1226" name="Picture 1226" descr="A picture containing text, screenshot, measuring stick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 descr="A picture containing text, screenshot, measuring stick, numb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9974" cy="21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8B6C6" w14:textId="77777777" w:rsidR="00914ABB" w:rsidRPr="00AC4618" w:rsidRDefault="00914ABB" w:rsidP="00914ABB">
      <w:pPr>
        <w:pStyle w:val="ListParagraph"/>
        <w:spacing w:line="360" w:lineRule="auto"/>
        <w:ind w:left="0" w:firstLine="315"/>
        <w:rPr>
          <w:rFonts w:asciiTheme="majorBidi" w:eastAsia="Times New Roman" w:hAnsiTheme="majorBidi" w:cstheme="majorBidi"/>
          <w:sz w:val="22"/>
        </w:rPr>
      </w:pPr>
    </w:p>
    <w:p w14:paraId="4F1CDE4E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bookmarkStart w:id="0" w:name="_Hlk135891637"/>
      <w:r w:rsidRPr="00AC4618">
        <w:rPr>
          <w:rFonts w:asciiTheme="majorBidi" w:eastAsia="Times New Roman" w:hAnsiTheme="majorBidi" w:cstheme="majorBidi"/>
          <w:b/>
          <w:bCs/>
          <w:sz w:val="22"/>
        </w:rPr>
        <w:t>Table 5. The number of single nucleotide variants related to oxidative stress.</w:t>
      </w:r>
      <w:r w:rsidRPr="00AC4618">
        <w:rPr>
          <w:rFonts w:asciiTheme="majorBidi" w:eastAsia="Times New Roman" w:hAnsiTheme="majorBidi" w:cstheme="majorBidi"/>
          <w:sz w:val="22"/>
        </w:rPr>
        <w:t xml:space="preserve"> (a) After 15 generations (G16) in the low-purity line (Origin–F15). (b) After 18 generations (G18) in the high-purity line (F20–F38).</w:t>
      </w:r>
    </w:p>
    <w:bookmarkEnd w:id="0"/>
    <w:p w14:paraId="21892C81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2A355491" wp14:editId="5AF9FA8B">
            <wp:extent cx="4542020" cy="1801125"/>
            <wp:effectExtent l="0" t="0" r="5080" b="0"/>
            <wp:docPr id="1227" name="Picture 1227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Picture 1227" descr="A picture containing black, darkness&#10;&#10;Description automatically generated"/>
                    <pic:cNvPicPr/>
                  </pic:nvPicPr>
                  <pic:blipFill>
                    <a:blip r:embed="rId8"/>
                    <a:srcRect t="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466" cy="181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D265C" w14:textId="77777777" w:rsidR="00914ABB" w:rsidRPr="00AC4618" w:rsidRDefault="00914ABB" w:rsidP="00914ABB">
      <w:pPr>
        <w:pStyle w:val="ListParagraph"/>
        <w:spacing w:line="360" w:lineRule="auto"/>
        <w:ind w:left="0" w:firstLine="315"/>
        <w:rPr>
          <w:rFonts w:asciiTheme="majorBidi" w:eastAsia="Times New Roman" w:hAnsiTheme="majorBidi" w:cstheme="majorBidi"/>
          <w:sz w:val="22"/>
        </w:rPr>
      </w:pPr>
    </w:p>
    <w:p w14:paraId="5E526F5A" w14:textId="77777777" w:rsidR="00914ABB" w:rsidRPr="00AC4618" w:rsidRDefault="00914ABB" w:rsidP="00914ABB">
      <w:pPr>
        <w:spacing w:line="360" w:lineRule="auto"/>
        <w:rPr>
          <w:rFonts w:asciiTheme="majorBidi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b/>
          <w:bCs/>
          <w:sz w:val="22"/>
        </w:rPr>
        <w:t>Table 6. The number of base insertions and deletions (InDel) in the 18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 generation (G18; F20–F38) of A/J mice with chronic internal exposure to Cesium-137 water (100 Bq/mL).</w:t>
      </w:r>
      <w:r w:rsidRPr="00AC4618">
        <w:rPr>
          <w:rFonts w:asciiTheme="majorBidi" w:eastAsia="Times New Roman" w:hAnsiTheme="majorBidi" w:cstheme="majorBidi"/>
          <w:sz w:val="22"/>
        </w:rPr>
        <w:t xml:space="preserve"> InDel indicates the total number of insertion and deletion locations, while Del (%) indicates the number of occurrences of deletions and the percentage within InDel.</w:t>
      </w:r>
      <w:r w:rsidRPr="00AC4618">
        <w:rPr>
          <w:rFonts w:asciiTheme="majorBidi" w:hAnsiTheme="majorBidi" w:cstheme="majorBidi"/>
          <w:sz w:val="22"/>
        </w:rPr>
        <w:t xml:space="preserve"> The spectrum of single base deletions and the number of occurrences of 1 base deletion to 7 or more are shown.</w:t>
      </w:r>
    </w:p>
    <w:p w14:paraId="1B86BAFF" w14:textId="77777777" w:rsidR="00914ABB" w:rsidRPr="00AC4618" w:rsidRDefault="00914ABB" w:rsidP="00914ABB">
      <w:pPr>
        <w:pStyle w:val="ListParagraph"/>
        <w:spacing w:line="360" w:lineRule="auto"/>
        <w:ind w:left="0" w:firstLine="315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66072EF6" wp14:editId="3CA19285">
            <wp:extent cx="5596663" cy="1749287"/>
            <wp:effectExtent l="0" t="0" r="4445" b="3810"/>
            <wp:docPr id="1228" name="Picture 1228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1228" descr="A picture containing text, screenshot, line, numb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5997" cy="17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8050" w14:textId="77777777" w:rsidR="00914ABB" w:rsidRPr="00AC4618" w:rsidRDefault="00914ABB" w:rsidP="00914ABB">
      <w:pPr>
        <w:pStyle w:val="ListParagraph"/>
        <w:spacing w:line="360" w:lineRule="auto"/>
        <w:ind w:left="0"/>
        <w:rPr>
          <w:rFonts w:asciiTheme="majorBidi" w:eastAsia="Times New Roman" w:hAnsiTheme="majorBidi" w:cstheme="majorBidi"/>
          <w:sz w:val="22"/>
        </w:rPr>
      </w:pPr>
    </w:p>
    <w:p w14:paraId="10F5227B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b/>
          <w:bCs/>
          <w:sz w:val="22"/>
        </w:rPr>
      </w:pPr>
      <w:r w:rsidRPr="00AC4618">
        <w:rPr>
          <w:rFonts w:asciiTheme="majorBidi" w:hAnsiTheme="majorBidi" w:cstheme="majorBidi"/>
          <w:b/>
          <w:sz w:val="22"/>
        </w:rPr>
        <w:t>Table 7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. Frequency of single nucleotide variants (SNVs) in exon, intron, intergenic regions, and the total genome between the 1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st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2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nd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5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18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and 25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 generations of the Cesium-137 and control groups.</w:t>
      </w:r>
    </w:p>
    <w:p w14:paraId="27388F58" w14:textId="77777777" w:rsidR="00914ABB" w:rsidRPr="00AC4618" w:rsidRDefault="00914ABB" w:rsidP="00914ABB">
      <w:pPr>
        <w:pStyle w:val="ListParagraph"/>
        <w:spacing w:line="360" w:lineRule="auto"/>
        <w:ind w:left="0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3FDFE176" wp14:editId="0AD93214">
            <wp:extent cx="6161434" cy="2667000"/>
            <wp:effectExtent l="0" t="0" r="0" b="0"/>
            <wp:docPr id="7" name="図 7" descr="A screenshot of a math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A screenshot of a math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60" cy="27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66CE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b/>
          <w:bCs/>
          <w:sz w:val="22"/>
        </w:rPr>
      </w:pPr>
      <w:bookmarkStart w:id="1" w:name="_Hlk135891677"/>
      <w:r w:rsidRPr="00AC4618">
        <w:rPr>
          <w:rFonts w:asciiTheme="majorBidi" w:eastAsia="Times New Roman" w:hAnsiTheme="majorBidi" w:cstheme="majorBidi"/>
          <w:b/>
          <w:bCs/>
          <w:sz w:val="22"/>
        </w:rPr>
        <w:t>Table 8. Frequency of bases insertion and deletion (InDel) in Exon, Intron, Intergenic, and total genome between the 1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st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2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nd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5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18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>, and 25</w:t>
      </w:r>
      <w:r w:rsidRPr="00AC4618">
        <w:rPr>
          <w:rFonts w:asciiTheme="majorBidi" w:eastAsia="Times New Roman" w:hAnsiTheme="majorBidi" w:cstheme="majorBidi"/>
          <w:b/>
          <w:bCs/>
          <w:sz w:val="22"/>
          <w:vertAlign w:val="superscript"/>
        </w:rPr>
        <w:t>th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 generations of the Cesium-137 and control groups.</w:t>
      </w:r>
    </w:p>
    <w:bookmarkEnd w:id="1"/>
    <w:p w14:paraId="589BD2F6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2B0019C7" wp14:editId="3DE9A64F">
            <wp:extent cx="6161405" cy="2657579"/>
            <wp:effectExtent l="0" t="0" r="0" b="9525"/>
            <wp:docPr id="8" name="図 8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A table with numbers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35" cy="26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9174F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</w:p>
    <w:p w14:paraId="1BCAB0BA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hAnsiTheme="majorBidi" w:cstheme="majorBidi"/>
          <w:b/>
          <w:sz w:val="22"/>
        </w:rPr>
        <w:t xml:space="preserve">Table </w:t>
      </w: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9. The ratios of cytokine levels in the Cesium-137 group compared to the control group. </w:t>
      </w:r>
      <w:r w:rsidRPr="00AC4618">
        <w:rPr>
          <w:rFonts w:asciiTheme="majorBidi" w:eastAsia="Times New Roman" w:hAnsiTheme="majorBidi" w:cstheme="majorBidi"/>
          <w:sz w:val="22"/>
        </w:rPr>
        <w:t>From the ratio calculated, one was subtracted to obtain the excess cytokine level in the Cesium-137 group. Excess cytokine level = (Cesium-137 cytokine level/Control cytokine level) - 1. The sum of the respective excess cytokine levels for each month was then taken as the total excess level in (a) Th1 and (b) Th2 of the Cesium-137 group.</w:t>
      </w:r>
    </w:p>
    <w:p w14:paraId="49EA9AB9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lastRenderedPageBreak/>
        <w:drawing>
          <wp:inline distT="0" distB="0" distL="0" distR="0" wp14:anchorId="229402BF" wp14:editId="233A2AE9">
            <wp:extent cx="5782427" cy="1598978"/>
            <wp:effectExtent l="0" t="0" r="8890" b="1270"/>
            <wp:docPr id="21" name="Picture 1239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239" descr="A picture containing black, darknes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1030" cy="160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8C2A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sz w:val="22"/>
        </w:rPr>
      </w:pPr>
    </w:p>
    <w:p w14:paraId="5F4FACB6" w14:textId="77777777" w:rsidR="00914ABB" w:rsidRPr="00AC4618" w:rsidRDefault="00914ABB" w:rsidP="00914ABB">
      <w:pPr>
        <w:spacing w:line="360" w:lineRule="auto"/>
        <w:rPr>
          <w:rFonts w:asciiTheme="majorBidi" w:eastAsia="Times New Roman" w:hAnsiTheme="majorBidi" w:cstheme="majorBidi"/>
          <w:b/>
          <w:bCs/>
          <w:sz w:val="22"/>
        </w:rPr>
      </w:pPr>
      <w:r w:rsidRPr="00AC4618">
        <w:rPr>
          <w:rFonts w:asciiTheme="majorBidi" w:eastAsia="Times New Roman" w:hAnsiTheme="majorBidi" w:cstheme="majorBidi"/>
          <w:b/>
          <w:bCs/>
          <w:sz w:val="22"/>
        </w:rPr>
        <w:t xml:space="preserve">Table 10. The internal exposure dose assessment method was used to calculate the dose rate and the total exposure dose per generation. </w:t>
      </w:r>
    </w:p>
    <w:p w14:paraId="0EA1AB18" w14:textId="77777777" w:rsidR="00914ABB" w:rsidRPr="00AC4618" w:rsidRDefault="00914ABB" w:rsidP="00914ABB">
      <w:pPr>
        <w:spacing w:line="360" w:lineRule="auto"/>
        <w:jc w:val="center"/>
        <w:rPr>
          <w:rFonts w:asciiTheme="majorBidi" w:eastAsia="Times New Roman" w:hAnsiTheme="majorBidi" w:cstheme="majorBidi"/>
          <w:sz w:val="22"/>
        </w:rPr>
      </w:pPr>
      <w:r w:rsidRPr="00AC4618">
        <w:rPr>
          <w:rFonts w:asciiTheme="majorBidi" w:eastAsia="Times New Roman" w:hAnsiTheme="majorBidi" w:cstheme="majorBidi"/>
          <w:noProof/>
          <w:sz w:val="22"/>
          <w:lang w:eastAsia="en-US"/>
        </w:rPr>
        <w:drawing>
          <wp:inline distT="0" distB="0" distL="0" distR="0" wp14:anchorId="4B366F27" wp14:editId="0252F86C">
            <wp:extent cx="3613150" cy="2043637"/>
            <wp:effectExtent l="0" t="0" r="6350" b="0"/>
            <wp:docPr id="1237" name="Picture 1237" descr="A picture containing black, dark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Picture 1237" descr="A picture containing black, darknes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4760" cy="206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D7D8D" w14:textId="77777777" w:rsidR="00914ABB" w:rsidRPr="00AC4618" w:rsidRDefault="00914ABB" w:rsidP="00914ABB">
      <w:pPr>
        <w:pStyle w:val="ListParagraph"/>
        <w:spacing w:line="360" w:lineRule="auto"/>
        <w:ind w:left="360" w:firstLine="315"/>
        <w:rPr>
          <w:rFonts w:asciiTheme="majorBidi" w:eastAsia="Times New Roman" w:hAnsiTheme="majorBidi" w:cstheme="majorBidi"/>
          <w:sz w:val="22"/>
        </w:rPr>
      </w:pPr>
    </w:p>
    <w:p w14:paraId="1D7D535F" w14:textId="77777777" w:rsidR="00914ABB" w:rsidRDefault="00914ABB"/>
    <w:sectPr w:rsidR="00914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BB"/>
    <w:rsid w:val="00342DA6"/>
    <w:rsid w:val="005868F4"/>
    <w:rsid w:val="00703469"/>
    <w:rsid w:val="00753CA0"/>
    <w:rsid w:val="007D23AF"/>
    <w:rsid w:val="0090563E"/>
    <w:rsid w:val="00914ABB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46D9"/>
  <w15:chartTrackingRefBased/>
  <w15:docId w15:val="{8A8C23AA-3398-432E-8610-4FFC8B1B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ABB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914ABB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image" Target="media/image10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image" Target="media/image9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tif"/><Relationship Id="rId9" Type="http://schemas.openxmlformats.org/officeDocument/2006/relationships/image" Target="media/image6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2145</Characters>
  <Application>Microsoft Office Word</Application>
  <DocSecurity>0</DocSecurity>
  <Lines>17</Lines>
  <Paragraphs>5</Paragraphs>
  <ScaleCrop>false</ScaleCrop>
  <Company>Springer Nature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2023-12-22T05:27:00Z</dcterms:created>
  <dcterms:modified xsi:type="dcterms:W3CDTF">2023-12-22T05:28:00Z</dcterms:modified>
</cp:coreProperties>
</file>