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32BE5" w14:textId="77777777" w:rsidR="00A7160A" w:rsidRPr="00730916" w:rsidRDefault="00A7160A" w:rsidP="00730916">
      <w:pPr>
        <w:spacing w:line="360" w:lineRule="auto"/>
        <w:rPr>
          <w:rFonts w:ascii="Times New Roman" w:hAnsi="Times New Roman" w:cs="Times New Roman"/>
          <w:lang w:val="sv-SE"/>
        </w:rPr>
      </w:pPr>
      <w:r w:rsidRPr="00730916">
        <w:rPr>
          <w:rFonts w:ascii="Times New Roman" w:hAnsi="Times New Roman" w:cs="Times New Roman"/>
          <w:lang w:val="sv-SE"/>
        </w:rPr>
        <w:t xml:space="preserve">SUPPLEMENTARY FILE </w:t>
      </w:r>
    </w:p>
    <w:p w14:paraId="16424931" w14:textId="77777777" w:rsidR="00730916" w:rsidRPr="00F27B4E" w:rsidRDefault="00730916" w:rsidP="0073091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Quality determinants for the curve fit</w:t>
      </w:r>
    </w:p>
    <w:p w14:paraId="07FEAC01" w14:textId="77777777" w:rsidR="00730916" w:rsidRPr="0059457F" w:rsidRDefault="00730916" w:rsidP="00730916">
      <w:pPr>
        <w:pStyle w:val="NormalWeb"/>
        <w:spacing w:line="360" w:lineRule="auto"/>
      </w:pPr>
      <w:r>
        <w:t xml:space="preserve">The quality of curve fit displayed significant variations and was assessed using Mean Square Error (MSE). Figure 1S. The MSE for the entire study cohort was relatively low (1.4; 0.6-3.7). However, significant differences were observed among the three groups with the lowest values demonstrated in the non-PH group (MSE = 0.9; 0.4-2.3), followed by the PH-LHD group (MSE= 1.4; 0.6-3.5), while PAH subgroup exhibited the highest values (MSE=2.9; 0.8-9.1). </w:t>
      </w:r>
    </w:p>
    <w:p w14:paraId="5019559D" w14:textId="77777777" w:rsidR="00730916" w:rsidRDefault="00730916" w:rsidP="00730916">
      <w:pPr>
        <w:pStyle w:val="NormalWeb"/>
        <w:spacing w:line="360" w:lineRule="auto"/>
      </w:pPr>
      <w:r>
        <w:t>To investigate the factors influencing the MSE for curve-fit analysis, a regression analysis was conducted with log [MSE] as the dependent variable and DPG, reflection wave peak amplitude (P</w:t>
      </w:r>
      <w:r w:rsidRPr="007834D7">
        <w:rPr>
          <w:vertAlign w:val="subscript"/>
        </w:rPr>
        <w:t>REFL</w:t>
      </w:r>
      <w:r>
        <w:t>), and heart rate (HR) as independent factors. The overall regression analysis revealed a statistically significant relationship, with the three factors collectively explaining 34% of the variance in the MSE (r</w:t>
      </w:r>
      <w:r w:rsidRPr="00532442">
        <w:rPr>
          <w:vertAlign w:val="superscript"/>
        </w:rPr>
        <w:t>2</w:t>
      </w:r>
      <w:r>
        <w:t xml:space="preserve"> = 0.34, F (3,160) = 26.8, p &lt; 0.001). Further examination of the coefficients revealed that P</w:t>
      </w:r>
      <w:r w:rsidRPr="007834D7">
        <w:rPr>
          <w:vertAlign w:val="subscript"/>
        </w:rPr>
        <w:t>REFL</w:t>
      </w:r>
      <w:r>
        <w:t xml:space="preserve"> (B = 0.07, β = 0.48, p &lt; 0.001) and HR (B = 0.01, β = 0.25, p &lt; 0.001) had a substantial impact on MSE. In contrast, DPG was not significantly associated with MSE (P = 0.99)</w:t>
      </w:r>
      <w:r w:rsidRPr="001251C6">
        <w:t>.</w:t>
      </w:r>
    </w:p>
    <w:p w14:paraId="76F64B2A" w14:textId="77777777" w:rsidR="00730916" w:rsidRDefault="00730916" w:rsidP="00730916">
      <w:pPr>
        <w:pStyle w:val="NormalWeb"/>
        <w:spacing w:line="360" w:lineRule="auto"/>
      </w:pPr>
      <w:r>
        <w:t>P</w:t>
      </w:r>
      <w:r w:rsidRPr="007834D7">
        <w:rPr>
          <w:vertAlign w:val="subscript"/>
        </w:rPr>
        <w:t xml:space="preserve">REFL </w:t>
      </w:r>
      <w:r>
        <w:t>values in patients with non-PH (2.3; 1.0-4.2 mmHg) and those with PH-LHD (2.2; 1.0-5.3 mm Hg) were lower than those in patients with PAH (3.2; 0.7-5.6 mmHg). As displayed in Figure 2S, the correlation between P</w:t>
      </w:r>
      <w:r w:rsidRPr="007834D7">
        <w:rPr>
          <w:vertAlign w:val="subscript"/>
        </w:rPr>
        <w:t>REFL</w:t>
      </w:r>
      <w:r>
        <w:t xml:space="preserve"> and MSE was most pronounced in the non-PH group, followed by the PH-LHD and PAH groups. Notably, no significant association was found between P</w:t>
      </w:r>
      <w:r w:rsidRPr="007834D7">
        <w:rPr>
          <w:vertAlign w:val="subscript"/>
        </w:rPr>
        <w:t>REFL</w:t>
      </w:r>
      <w:r>
        <w:t xml:space="preserve"> and the variations in RC measurements.</w:t>
      </w:r>
    </w:p>
    <w:p w14:paraId="61AE7002" w14:textId="77777777" w:rsidR="00730916" w:rsidRDefault="00730916" w:rsidP="00730916">
      <w:pPr>
        <w:pStyle w:val="NormalWeb"/>
        <w:spacing w:line="360" w:lineRule="auto"/>
      </w:pPr>
      <w:r>
        <w:t>In terms of HR, within the entire cohort, HR &lt; 80 beats/min (bpm) was recorded in 137 patients, whereas 45 patients demonstrated HR ≥ 80 bpm. Of the 164 RC</w:t>
      </w:r>
      <w:r w:rsidRPr="007C0B72">
        <w:rPr>
          <w:vertAlign w:val="subscript"/>
        </w:rPr>
        <w:t>FIT</w:t>
      </w:r>
      <w:r>
        <w:t xml:space="preserve"> analyses, the feasibility rate was 93% (n=127) in those with an HR &lt; 80 bpm and 82% (n=37) in the corresponding group with an HR ≥ 80 bpm. Furthermore, the MSE for the curve-fit analysis was significantly lower in those with HR&lt; 80 bpm compared to the subgroup with HR ≥ 80 bpm (2.3 ± 2.8 vs. 7.2 ± 10, p &lt; 0.001). </w:t>
      </w:r>
    </w:p>
    <w:p w14:paraId="7C0BF056" w14:textId="77777777" w:rsidR="00730916" w:rsidRDefault="00730916" w:rsidP="00730916">
      <w:pPr>
        <w:spacing w:line="360" w:lineRule="auto"/>
      </w:pPr>
    </w:p>
    <w:p w14:paraId="3BE51E4F" w14:textId="77777777" w:rsidR="00730916" w:rsidRPr="00730916" w:rsidRDefault="00730916" w:rsidP="0073091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AFC55C" w14:textId="5C160957" w:rsidR="00730916" w:rsidRPr="00730916" w:rsidRDefault="00730916" w:rsidP="007309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0916">
        <w:rPr>
          <w:rFonts w:ascii="Times New Roman" w:hAnsi="Times New Roman" w:cs="Times New Roman"/>
          <w:sz w:val="24"/>
          <w:szCs w:val="24"/>
        </w:rPr>
        <w:lastRenderedPageBreak/>
        <w:t>Supplementary Figures</w:t>
      </w:r>
      <w:r w:rsidR="00E8630B">
        <w:rPr>
          <w:rFonts w:ascii="Times New Roman" w:hAnsi="Times New Roman" w:cs="Times New Roman"/>
          <w:sz w:val="24"/>
          <w:szCs w:val="24"/>
        </w:rPr>
        <w:t xml:space="preserve"> Legends</w:t>
      </w:r>
    </w:p>
    <w:p w14:paraId="62331BD5" w14:textId="77777777" w:rsidR="00730916" w:rsidRPr="00730916" w:rsidRDefault="00730916" w:rsidP="007309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0916">
        <w:rPr>
          <w:rFonts w:ascii="Times New Roman" w:hAnsi="Times New Roman" w:cs="Times New Roman"/>
          <w:sz w:val="24"/>
          <w:szCs w:val="24"/>
        </w:rPr>
        <w:t>Figure 1S. Panel of figures illustrating the relationship between RC measured by the three different methods and diastolic pressure gradient (DPG). The study cohort was dichotomized into two subgroups: those with a DPG &lt; 7 mmHg (blue dots) and those with an elevated DPG ≥ 7 mmHg (red dots). The left panel illustrates the relationship between the RC derived by curve fit analysis (RC</w:t>
      </w:r>
      <w:r w:rsidRPr="00730916">
        <w:rPr>
          <w:rFonts w:ascii="Times New Roman" w:hAnsi="Times New Roman" w:cs="Times New Roman"/>
          <w:sz w:val="24"/>
          <w:szCs w:val="24"/>
          <w:vertAlign w:val="subscript"/>
        </w:rPr>
        <w:t>FIT</w:t>
      </w:r>
      <w:r w:rsidRPr="00730916">
        <w:rPr>
          <w:rFonts w:ascii="Times New Roman" w:hAnsi="Times New Roman" w:cs="Times New Roman"/>
          <w:sz w:val="24"/>
          <w:szCs w:val="24"/>
        </w:rPr>
        <w:t>) and the DPG. The central panel illustrates the relationship between the RC derived by the semilogarithmic approach (RC</w:t>
      </w:r>
      <w:r w:rsidRPr="00730916">
        <w:rPr>
          <w:rFonts w:ascii="Times New Roman" w:hAnsi="Times New Roman" w:cs="Times New Roman"/>
          <w:sz w:val="24"/>
          <w:szCs w:val="24"/>
          <w:vertAlign w:val="subscript"/>
        </w:rPr>
        <w:t>SL</w:t>
      </w:r>
      <w:r w:rsidRPr="00730916">
        <w:rPr>
          <w:rFonts w:ascii="Times New Roman" w:hAnsi="Times New Roman" w:cs="Times New Roman"/>
          <w:sz w:val="24"/>
          <w:szCs w:val="24"/>
        </w:rPr>
        <w:t>), and the right panel shows the regression analysis between the RC derived using the empirical approach (RC</w:t>
      </w:r>
      <w:r w:rsidRPr="00730916">
        <w:rPr>
          <w:rFonts w:ascii="Times New Roman" w:hAnsi="Times New Roman" w:cs="Times New Roman"/>
          <w:sz w:val="24"/>
          <w:szCs w:val="24"/>
          <w:vertAlign w:val="subscript"/>
        </w:rPr>
        <w:t>EST</w:t>
      </w:r>
      <w:r w:rsidRPr="00730916">
        <w:rPr>
          <w:rFonts w:ascii="Times New Roman" w:hAnsi="Times New Roman" w:cs="Times New Roman"/>
          <w:sz w:val="24"/>
          <w:szCs w:val="24"/>
        </w:rPr>
        <w:t>) and the DPG.</w:t>
      </w:r>
    </w:p>
    <w:p w14:paraId="5DBFAA2C" w14:textId="77777777" w:rsidR="00730916" w:rsidRPr="00730916" w:rsidRDefault="00730916" w:rsidP="007309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F03420" w14:textId="77777777" w:rsidR="00730916" w:rsidRPr="00730916" w:rsidRDefault="00730916" w:rsidP="007309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0916">
        <w:rPr>
          <w:rFonts w:ascii="Times New Roman" w:hAnsi="Times New Roman" w:cs="Times New Roman"/>
          <w:sz w:val="24"/>
          <w:szCs w:val="24"/>
        </w:rPr>
        <w:t>Figure 2S. The figure illustrates three curve-fit analyses of different qualities. At the top, the curve fit displayed excellent quality with a low mean square error (MSE = 0.08). In the middle panel, the curve fit analysis displayed a lower degree of quality of fit (MSE=2.7). In the lower panel, the curve exhibits an even lower degree of fit (MSE=5.4).</w:t>
      </w:r>
    </w:p>
    <w:p w14:paraId="460C76CF" w14:textId="77777777" w:rsidR="00730916" w:rsidRPr="00730916" w:rsidRDefault="00730916" w:rsidP="007309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36AC1A" w14:textId="77777777" w:rsidR="00730916" w:rsidRPr="00730916" w:rsidRDefault="00730916" w:rsidP="007309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0916">
        <w:rPr>
          <w:rFonts w:ascii="Times New Roman" w:hAnsi="Times New Roman" w:cs="Times New Roman"/>
          <w:sz w:val="24"/>
          <w:szCs w:val="24"/>
        </w:rPr>
        <w:t>Figure 3S. Regression plot between the peak amplitude of reflection waves (P</w:t>
      </w:r>
      <w:r w:rsidRPr="00730916">
        <w:rPr>
          <w:rFonts w:ascii="Times New Roman" w:hAnsi="Times New Roman" w:cs="Times New Roman"/>
          <w:sz w:val="24"/>
          <w:szCs w:val="24"/>
          <w:vertAlign w:val="subscript"/>
        </w:rPr>
        <w:t>REFL</w:t>
      </w:r>
      <w:r w:rsidRPr="00730916">
        <w:rPr>
          <w:rFonts w:ascii="Times New Roman" w:hAnsi="Times New Roman" w:cs="Times New Roman"/>
          <w:sz w:val="24"/>
          <w:szCs w:val="24"/>
        </w:rPr>
        <w:t>) and mean square error (MSE) for curve-fit measurements. Yellow dots signify the subgroup without pulmonary hypertension (non-PH), green dots denote the subgroup with PH due to left heart disease (PH-LHD), and red dots denote the subgroup with pulmonary arterial hypertension (PAH).</w:t>
      </w:r>
    </w:p>
    <w:p w14:paraId="2A94FCB7" w14:textId="77777777" w:rsidR="00730916" w:rsidRPr="00730916" w:rsidRDefault="00730916" w:rsidP="0073091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7EE08C" w14:textId="77777777" w:rsidR="00A7160A" w:rsidRPr="00730916" w:rsidRDefault="00A7160A" w:rsidP="00730916">
      <w:pPr>
        <w:spacing w:line="360" w:lineRule="auto"/>
        <w:rPr>
          <w:rFonts w:ascii="Times New Roman" w:hAnsi="Times New Roman" w:cs="Times New Roman"/>
        </w:rPr>
      </w:pPr>
    </w:p>
    <w:sectPr w:rsidR="00A7160A" w:rsidRPr="00730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60A"/>
    <w:rsid w:val="00730916"/>
    <w:rsid w:val="00883764"/>
    <w:rsid w:val="00A7160A"/>
    <w:rsid w:val="00E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BC80E"/>
  <w15:chartTrackingRefBased/>
  <w15:docId w15:val="{712DDFC4-4483-4B29-86C3-6C7487E2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550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Aristomenis Manouras</dc:creator>
  <cp:keywords/>
  <dc:description/>
  <cp:lastModifiedBy>Aristomenis Manouras</cp:lastModifiedBy>
  <cp:revision>3</cp:revision>
  <dcterms:created xsi:type="dcterms:W3CDTF">2021-03-29T20:43:00Z</dcterms:created>
  <dcterms:modified xsi:type="dcterms:W3CDTF">2023-12-06T08:31:00Z</dcterms:modified>
</cp:coreProperties>
</file>