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782" w:rsidRPr="004D3C85" w:rsidRDefault="00652782" w:rsidP="00652782">
      <w:pPr>
        <w:jc w:val="both"/>
        <w:rPr>
          <w:rFonts w:ascii="Arial" w:hAnsi="Arial" w:cs="Arial"/>
          <w:b/>
          <w:i/>
          <w:sz w:val="24"/>
          <w:szCs w:val="24"/>
          <w:lang w:val="en-US"/>
        </w:rPr>
      </w:pPr>
      <w:r w:rsidRPr="004D3C85">
        <w:rPr>
          <w:rFonts w:ascii="Arial" w:hAnsi="Arial" w:cs="Arial"/>
          <w:b/>
          <w:i/>
          <w:sz w:val="24"/>
          <w:szCs w:val="24"/>
          <w:lang w:val="en-US"/>
        </w:rPr>
        <w:t>Supplementary information</w:t>
      </w:r>
    </w:p>
    <w:p w:rsidR="00652782" w:rsidRPr="004D3C85" w:rsidRDefault="00652782" w:rsidP="00652782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4D3C85">
        <w:rPr>
          <w:rFonts w:ascii="Arial" w:hAnsi="Arial" w:cs="Arial"/>
          <w:b/>
          <w:sz w:val="24"/>
          <w:szCs w:val="24"/>
          <w:lang w:val="en-US"/>
        </w:rPr>
        <w:t>Minimally invasive determination of PDAC subtype and therapy-induced subtype switch by means of circulating cell-free RNA.</w:t>
      </w:r>
    </w:p>
    <w:p w:rsidR="00652782" w:rsidRPr="004D3C85" w:rsidRDefault="00652782" w:rsidP="0065278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D3C85">
        <w:rPr>
          <w:rFonts w:ascii="Arial" w:hAnsi="Arial" w:cs="Arial"/>
          <w:sz w:val="24"/>
          <w:szCs w:val="24"/>
          <w:lang w:val="en-US"/>
        </w:rPr>
        <w:t>Martin Metzenmacher</w:t>
      </w:r>
      <w:r w:rsidRPr="004D3C85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4D3C85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D3C85">
        <w:rPr>
          <w:rFonts w:ascii="Arial" w:hAnsi="Arial" w:cs="Arial"/>
          <w:sz w:val="24"/>
          <w:szCs w:val="24"/>
          <w:lang w:val="en-US"/>
        </w:rPr>
        <w:t>Marija</w:t>
      </w:r>
      <w:proofErr w:type="spellEnd"/>
      <w:r w:rsidRPr="004D3C85">
        <w:rPr>
          <w:rFonts w:ascii="Arial" w:hAnsi="Arial" w:cs="Arial"/>
          <w:sz w:val="24"/>
          <w:szCs w:val="24"/>
          <w:lang w:val="en-US"/>
        </w:rPr>
        <w:t xml:space="preserve"> Trajkovic-Arsic</w:t>
      </w:r>
      <w:r w:rsidRPr="004D3C85">
        <w:rPr>
          <w:rFonts w:ascii="Arial" w:hAnsi="Arial" w:cs="Arial"/>
          <w:sz w:val="24"/>
          <w:szCs w:val="24"/>
          <w:vertAlign w:val="superscript"/>
          <w:lang w:val="en-US"/>
        </w:rPr>
        <w:t>2,3,4</w:t>
      </w:r>
      <w:r w:rsidRPr="004D3C85">
        <w:rPr>
          <w:rFonts w:ascii="Arial" w:hAnsi="Arial" w:cs="Arial"/>
          <w:sz w:val="24"/>
          <w:szCs w:val="24"/>
          <w:lang w:val="en-US"/>
        </w:rPr>
        <w:t>, Phyllis Cheung</w:t>
      </w:r>
      <w:r w:rsidRPr="004D3C85">
        <w:rPr>
          <w:rFonts w:ascii="Arial" w:hAnsi="Arial" w:cs="Arial"/>
          <w:sz w:val="24"/>
          <w:szCs w:val="24"/>
          <w:vertAlign w:val="superscript"/>
          <w:lang w:val="en-US"/>
        </w:rPr>
        <w:t>2,3,4</w:t>
      </w:r>
      <w:r w:rsidRPr="004D3C85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D3C85">
        <w:rPr>
          <w:rFonts w:ascii="Arial" w:hAnsi="Arial" w:cs="Arial"/>
          <w:sz w:val="24"/>
          <w:szCs w:val="24"/>
          <w:lang w:val="en-US"/>
        </w:rPr>
        <w:t>Timm</w:t>
      </w:r>
      <w:proofErr w:type="spellEnd"/>
      <w:r w:rsidRPr="004D3C85">
        <w:rPr>
          <w:rFonts w:ascii="Arial" w:hAnsi="Arial" w:cs="Arial"/>
          <w:sz w:val="24"/>
          <w:szCs w:val="24"/>
          <w:lang w:val="en-US"/>
        </w:rPr>
        <w:t xml:space="preserve"> Reißig</w:t>
      </w:r>
      <w:r w:rsidRPr="004D3C85">
        <w:rPr>
          <w:rFonts w:ascii="Arial" w:hAnsi="Arial" w:cs="Arial"/>
          <w:sz w:val="24"/>
          <w:szCs w:val="24"/>
          <w:vertAlign w:val="superscript"/>
          <w:lang w:val="en-US"/>
        </w:rPr>
        <w:t>2,3,4</w:t>
      </w:r>
      <w:r w:rsidRPr="004D3C85">
        <w:rPr>
          <w:rFonts w:ascii="Arial" w:hAnsi="Arial" w:cs="Arial"/>
          <w:sz w:val="24"/>
          <w:szCs w:val="24"/>
          <w:lang w:val="en-US"/>
        </w:rPr>
        <w:t>, Nils von Neuhoff</w:t>
      </w:r>
      <w:r w:rsidRPr="004D3C85">
        <w:rPr>
          <w:rFonts w:ascii="Arial" w:hAnsi="Arial" w:cs="Arial"/>
          <w:sz w:val="24"/>
          <w:szCs w:val="24"/>
          <w:vertAlign w:val="superscript"/>
          <w:lang w:val="en-US"/>
        </w:rPr>
        <w:t>5</w:t>
      </w:r>
      <w:r w:rsidRPr="004D3C85">
        <w:rPr>
          <w:rFonts w:ascii="Arial" w:hAnsi="Arial" w:cs="Arial"/>
          <w:sz w:val="24"/>
          <w:szCs w:val="24"/>
          <w:lang w:val="en-US"/>
        </w:rPr>
        <w:t>, O'Kane Grainne</w:t>
      </w:r>
      <w:r w:rsidRPr="004D3C85">
        <w:rPr>
          <w:rFonts w:ascii="Arial" w:hAnsi="Arial" w:cs="Arial"/>
          <w:sz w:val="24"/>
          <w:szCs w:val="24"/>
          <w:vertAlign w:val="superscript"/>
          <w:lang w:val="en-US"/>
        </w:rPr>
        <w:t>6</w:t>
      </w:r>
      <w:r w:rsidRPr="004D3C85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D3C85">
        <w:rPr>
          <w:rFonts w:ascii="Arial" w:hAnsi="Arial" w:cs="Arial"/>
          <w:sz w:val="24"/>
          <w:szCs w:val="24"/>
          <w:lang w:val="en-US"/>
        </w:rPr>
        <w:t>Ramotar</w:t>
      </w:r>
      <w:proofErr w:type="spellEnd"/>
      <w:r w:rsidRPr="004D3C85">
        <w:rPr>
          <w:rFonts w:ascii="Arial" w:hAnsi="Arial" w:cs="Arial"/>
          <w:sz w:val="24"/>
          <w:szCs w:val="24"/>
          <w:lang w:val="en-US"/>
        </w:rPr>
        <w:t xml:space="preserve"> Stephanie</w:t>
      </w:r>
      <w:r w:rsidRPr="004D3C85">
        <w:rPr>
          <w:rFonts w:ascii="Arial" w:hAnsi="Arial" w:cs="Arial"/>
          <w:sz w:val="24"/>
          <w:szCs w:val="24"/>
          <w:vertAlign w:val="superscript"/>
          <w:lang w:val="en-US"/>
        </w:rPr>
        <w:t>6</w:t>
      </w:r>
      <w:r w:rsidRPr="004D3C85">
        <w:rPr>
          <w:rFonts w:ascii="Arial" w:hAnsi="Arial" w:cs="Arial"/>
          <w:sz w:val="24"/>
          <w:szCs w:val="24"/>
          <w:lang w:val="en-US"/>
        </w:rPr>
        <w:t>, Anna Dodd</w:t>
      </w:r>
      <w:r w:rsidRPr="004D3C85">
        <w:rPr>
          <w:rFonts w:ascii="Arial" w:hAnsi="Arial" w:cs="Arial"/>
          <w:sz w:val="24"/>
          <w:szCs w:val="24"/>
          <w:vertAlign w:val="superscript"/>
          <w:lang w:val="en-US"/>
        </w:rPr>
        <w:t>6</w:t>
      </w:r>
      <w:r w:rsidRPr="004D3C85">
        <w:rPr>
          <w:rFonts w:ascii="Arial" w:hAnsi="Arial" w:cs="Arial"/>
          <w:sz w:val="24"/>
          <w:szCs w:val="24"/>
          <w:lang w:val="en-US"/>
        </w:rPr>
        <w:t>, Steven Gallinger</w:t>
      </w:r>
      <w:r w:rsidRPr="004D3C85">
        <w:rPr>
          <w:rFonts w:ascii="Arial" w:hAnsi="Arial" w:cs="Arial"/>
          <w:sz w:val="24"/>
          <w:szCs w:val="24"/>
          <w:vertAlign w:val="superscript"/>
          <w:lang w:val="en-US"/>
        </w:rPr>
        <w:t>6</w:t>
      </w:r>
      <w:r w:rsidRPr="004D3C85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D3C85">
        <w:rPr>
          <w:rFonts w:ascii="Arial" w:hAnsi="Arial" w:cs="Arial"/>
          <w:sz w:val="24"/>
          <w:szCs w:val="24"/>
          <w:lang w:val="en-US"/>
        </w:rPr>
        <w:t>Muckenhuber</w:t>
      </w:r>
      <w:proofErr w:type="spellEnd"/>
      <w:r w:rsidRPr="004D3C85">
        <w:rPr>
          <w:rFonts w:ascii="Arial" w:hAnsi="Arial" w:cs="Arial"/>
          <w:sz w:val="24"/>
          <w:szCs w:val="24"/>
          <w:lang w:val="en-US"/>
        </w:rPr>
        <w:t xml:space="preserve"> Alexander</w:t>
      </w:r>
      <w:r w:rsidRPr="004D3C85">
        <w:rPr>
          <w:rFonts w:ascii="Arial" w:hAnsi="Arial" w:cs="Arial"/>
          <w:sz w:val="24"/>
          <w:szCs w:val="24"/>
          <w:vertAlign w:val="superscript"/>
          <w:lang w:val="en-US"/>
        </w:rPr>
        <w:t>7</w:t>
      </w:r>
      <w:r w:rsidRPr="004D3C85">
        <w:rPr>
          <w:rFonts w:ascii="Arial" w:hAnsi="Arial" w:cs="Arial"/>
          <w:sz w:val="24"/>
          <w:szCs w:val="24"/>
          <w:lang w:val="en-US"/>
        </w:rPr>
        <w:t>, Jennifer J Knox, Volker Kunzmann</w:t>
      </w:r>
      <w:r w:rsidRPr="004D3C85">
        <w:rPr>
          <w:rFonts w:ascii="Arial" w:hAnsi="Arial" w:cs="Arial"/>
          <w:sz w:val="24"/>
          <w:szCs w:val="24"/>
          <w:vertAlign w:val="superscript"/>
          <w:lang w:val="en-US"/>
        </w:rPr>
        <w:t>8</w:t>
      </w:r>
      <w:r w:rsidRPr="004D3C85">
        <w:rPr>
          <w:rFonts w:ascii="Arial" w:hAnsi="Arial" w:cs="Arial"/>
          <w:sz w:val="24"/>
          <w:szCs w:val="24"/>
          <w:lang w:val="en-US"/>
        </w:rPr>
        <w:t>, Peter A. Horn</w:t>
      </w:r>
      <w:r w:rsidRPr="004D3C85">
        <w:rPr>
          <w:rFonts w:ascii="Arial" w:hAnsi="Arial" w:cs="Arial"/>
          <w:sz w:val="24"/>
          <w:szCs w:val="24"/>
          <w:vertAlign w:val="superscript"/>
          <w:lang w:val="en-US"/>
        </w:rPr>
        <w:t>9</w:t>
      </w:r>
      <w:r w:rsidRPr="004D3C85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D3C85">
        <w:rPr>
          <w:rFonts w:ascii="Arial" w:hAnsi="Arial" w:cs="Arial"/>
          <w:sz w:val="24"/>
          <w:szCs w:val="24"/>
          <w:lang w:val="en-US"/>
        </w:rPr>
        <w:t>Jörg</w:t>
      </w:r>
      <w:proofErr w:type="spellEnd"/>
      <w:r w:rsidRPr="004D3C85">
        <w:rPr>
          <w:rFonts w:ascii="Arial" w:hAnsi="Arial" w:cs="Arial"/>
          <w:sz w:val="24"/>
          <w:szCs w:val="24"/>
          <w:lang w:val="en-US"/>
        </w:rPr>
        <w:t xml:space="preserve"> D. Hoheisel</w:t>
      </w:r>
      <w:r w:rsidRPr="004D3C85">
        <w:rPr>
          <w:rFonts w:ascii="Arial" w:hAnsi="Arial" w:cs="Arial"/>
          <w:sz w:val="24"/>
          <w:szCs w:val="24"/>
          <w:vertAlign w:val="superscript"/>
          <w:lang w:val="en-US"/>
        </w:rPr>
        <w:t>10</w:t>
      </w:r>
      <w:r w:rsidRPr="004D3C85">
        <w:rPr>
          <w:rFonts w:ascii="Arial" w:hAnsi="Arial" w:cs="Arial"/>
          <w:sz w:val="24"/>
          <w:szCs w:val="24"/>
          <w:lang w:val="en-US"/>
        </w:rPr>
        <w:t>, Jens T. Siveke</w:t>
      </w:r>
      <w:r w:rsidRPr="004D3C85">
        <w:rPr>
          <w:rFonts w:ascii="Arial" w:hAnsi="Arial" w:cs="Arial"/>
          <w:sz w:val="24"/>
          <w:szCs w:val="24"/>
          <w:vertAlign w:val="superscript"/>
          <w:lang w:val="en-US"/>
        </w:rPr>
        <w:t>2,3,4</w:t>
      </w:r>
      <w:r w:rsidRPr="004D3C85">
        <w:rPr>
          <w:rFonts w:ascii="Arial" w:hAnsi="Arial" w:cs="Arial"/>
          <w:sz w:val="24"/>
          <w:szCs w:val="24"/>
          <w:lang w:val="en-US"/>
        </w:rPr>
        <w:t xml:space="preserve"> and Smiths S. Lueong</w:t>
      </w:r>
      <w:r w:rsidRPr="004D3C85">
        <w:rPr>
          <w:rFonts w:ascii="Arial" w:hAnsi="Arial" w:cs="Arial"/>
          <w:sz w:val="24"/>
          <w:szCs w:val="24"/>
          <w:vertAlign w:val="superscript"/>
          <w:lang w:val="en-US"/>
        </w:rPr>
        <w:t>2,3,4,</w:t>
      </w:r>
      <w:r w:rsidRPr="004D3C85">
        <w:rPr>
          <w:rFonts w:ascii="Arial" w:hAnsi="Arial" w:cs="Arial"/>
          <w:sz w:val="24"/>
          <w:szCs w:val="24"/>
          <w:lang w:val="en-US"/>
        </w:rPr>
        <w:t>*</w:t>
      </w:r>
    </w:p>
    <w:p w:rsidR="005A7C6B" w:rsidRPr="004D3C85" w:rsidRDefault="00652782">
      <w:pPr>
        <w:rPr>
          <w:rFonts w:ascii="Arial" w:hAnsi="Arial" w:cs="Arial"/>
          <w:sz w:val="24"/>
          <w:szCs w:val="24"/>
          <w:lang w:val="en-US"/>
        </w:rPr>
      </w:pPr>
      <w:r w:rsidRPr="004D3C85">
        <w:rPr>
          <w:rFonts w:ascii="Arial" w:hAnsi="Arial" w:cs="Arial"/>
          <w:sz w:val="24"/>
          <w:szCs w:val="24"/>
          <w:lang w:val="en-US"/>
        </w:rPr>
        <w:t xml:space="preserve">This file </w:t>
      </w:r>
      <w:proofErr w:type="spellStart"/>
      <w:r w:rsidRPr="004D3C85">
        <w:rPr>
          <w:rFonts w:ascii="Arial" w:hAnsi="Arial" w:cs="Arial"/>
          <w:sz w:val="24"/>
          <w:szCs w:val="24"/>
          <w:lang w:val="en-US"/>
        </w:rPr>
        <w:t>contines</w:t>
      </w:r>
      <w:proofErr w:type="spellEnd"/>
      <w:r w:rsidRPr="004D3C85">
        <w:rPr>
          <w:rFonts w:ascii="Arial" w:hAnsi="Arial" w:cs="Arial"/>
          <w:sz w:val="24"/>
          <w:szCs w:val="24"/>
          <w:lang w:val="en-US"/>
        </w:rPr>
        <w:t>:</w:t>
      </w:r>
    </w:p>
    <w:p w:rsidR="00652782" w:rsidRPr="004D3C85" w:rsidRDefault="00652782">
      <w:pPr>
        <w:rPr>
          <w:rFonts w:ascii="Arial" w:hAnsi="Arial" w:cs="Arial"/>
          <w:sz w:val="24"/>
          <w:szCs w:val="24"/>
          <w:lang w:val="en-US"/>
        </w:rPr>
      </w:pPr>
      <w:r w:rsidRPr="004D3C85">
        <w:rPr>
          <w:rFonts w:ascii="Arial" w:hAnsi="Arial" w:cs="Arial"/>
          <w:sz w:val="24"/>
          <w:szCs w:val="24"/>
          <w:lang w:val="en-US"/>
        </w:rPr>
        <w:t xml:space="preserve">Supplementary figures </w:t>
      </w:r>
      <w:proofErr w:type="gramStart"/>
      <w:r w:rsidRPr="004D3C85">
        <w:rPr>
          <w:rFonts w:ascii="Arial" w:hAnsi="Arial" w:cs="Arial"/>
          <w:sz w:val="24"/>
          <w:szCs w:val="24"/>
          <w:lang w:val="en-US"/>
        </w:rPr>
        <w:t>1</w:t>
      </w:r>
      <w:proofErr w:type="gramEnd"/>
      <w:r w:rsidRPr="004D3C85">
        <w:rPr>
          <w:rFonts w:ascii="Arial" w:hAnsi="Arial" w:cs="Arial"/>
          <w:sz w:val="24"/>
          <w:szCs w:val="24"/>
          <w:lang w:val="en-US"/>
        </w:rPr>
        <w:t xml:space="preserve"> &amp; 2</w:t>
      </w:r>
    </w:p>
    <w:p w:rsidR="00652782" w:rsidRPr="004D3C85" w:rsidRDefault="00652782">
      <w:pPr>
        <w:rPr>
          <w:rFonts w:ascii="Arial" w:hAnsi="Arial" w:cs="Arial"/>
          <w:sz w:val="24"/>
          <w:szCs w:val="24"/>
          <w:lang w:val="en-US"/>
        </w:rPr>
      </w:pPr>
    </w:p>
    <w:p w:rsidR="00652782" w:rsidRPr="004D3C85" w:rsidRDefault="00652782">
      <w:pPr>
        <w:rPr>
          <w:rFonts w:ascii="Arial" w:hAnsi="Arial" w:cs="Arial"/>
          <w:sz w:val="24"/>
          <w:szCs w:val="24"/>
          <w:lang w:val="en-US"/>
        </w:rPr>
      </w:pPr>
      <w:r w:rsidRPr="004D3C85">
        <w:rPr>
          <w:rFonts w:ascii="Arial" w:hAnsi="Arial" w:cs="Arial"/>
          <w:noProof/>
          <w:sz w:val="24"/>
          <w:szCs w:val="24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253365</wp:posOffset>
            </wp:positionV>
            <wp:extent cx="5294387" cy="2852934"/>
            <wp:effectExtent l="0" t="0" r="1905" b="508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387" cy="28529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3C85">
        <w:rPr>
          <w:rFonts w:ascii="Arial" w:hAnsi="Arial" w:cs="Arial"/>
          <w:sz w:val="24"/>
          <w:szCs w:val="24"/>
          <w:lang w:val="en-US"/>
        </w:rPr>
        <w:t>Figure S1</w:t>
      </w:r>
    </w:p>
    <w:p w:rsidR="00652782" w:rsidRPr="004D3C85" w:rsidRDefault="00652782" w:rsidP="00652782">
      <w:pPr>
        <w:rPr>
          <w:rFonts w:ascii="Arial" w:hAnsi="Arial" w:cs="Arial"/>
          <w:sz w:val="24"/>
          <w:szCs w:val="24"/>
          <w:lang w:val="en-US"/>
        </w:rPr>
      </w:pPr>
    </w:p>
    <w:p w:rsidR="00652782" w:rsidRPr="004D3C85" w:rsidRDefault="00652782" w:rsidP="00652782">
      <w:pPr>
        <w:rPr>
          <w:rFonts w:ascii="Arial" w:hAnsi="Arial" w:cs="Arial"/>
          <w:sz w:val="24"/>
          <w:szCs w:val="24"/>
          <w:lang w:val="en-US"/>
        </w:rPr>
      </w:pPr>
    </w:p>
    <w:p w:rsidR="00652782" w:rsidRPr="004D3C85" w:rsidRDefault="00652782" w:rsidP="00652782">
      <w:pPr>
        <w:rPr>
          <w:rFonts w:ascii="Arial" w:hAnsi="Arial" w:cs="Arial"/>
          <w:sz w:val="24"/>
          <w:szCs w:val="24"/>
          <w:lang w:val="en-US"/>
        </w:rPr>
      </w:pPr>
    </w:p>
    <w:p w:rsidR="00652782" w:rsidRPr="004D3C85" w:rsidRDefault="00652782" w:rsidP="00652782">
      <w:pPr>
        <w:rPr>
          <w:rFonts w:ascii="Arial" w:hAnsi="Arial" w:cs="Arial"/>
          <w:sz w:val="24"/>
          <w:szCs w:val="24"/>
          <w:lang w:val="en-US"/>
        </w:rPr>
      </w:pPr>
    </w:p>
    <w:p w:rsidR="00652782" w:rsidRPr="004D3C85" w:rsidRDefault="00652782" w:rsidP="00652782">
      <w:pPr>
        <w:rPr>
          <w:rFonts w:ascii="Arial" w:hAnsi="Arial" w:cs="Arial"/>
          <w:sz w:val="24"/>
          <w:szCs w:val="24"/>
          <w:lang w:val="en-US"/>
        </w:rPr>
      </w:pPr>
    </w:p>
    <w:p w:rsidR="00652782" w:rsidRPr="004D3C85" w:rsidRDefault="00652782" w:rsidP="00652782">
      <w:pPr>
        <w:rPr>
          <w:rFonts w:ascii="Arial" w:hAnsi="Arial" w:cs="Arial"/>
          <w:sz w:val="24"/>
          <w:szCs w:val="24"/>
          <w:lang w:val="en-US"/>
        </w:rPr>
      </w:pPr>
    </w:p>
    <w:p w:rsidR="00652782" w:rsidRPr="004D3C85" w:rsidRDefault="00652782" w:rsidP="00652782">
      <w:pPr>
        <w:rPr>
          <w:rFonts w:ascii="Arial" w:hAnsi="Arial" w:cs="Arial"/>
          <w:sz w:val="24"/>
          <w:szCs w:val="24"/>
          <w:lang w:val="en-US"/>
        </w:rPr>
      </w:pPr>
    </w:p>
    <w:p w:rsidR="00652782" w:rsidRPr="004D3C85" w:rsidRDefault="00652782" w:rsidP="00652782">
      <w:pPr>
        <w:rPr>
          <w:rFonts w:ascii="Arial" w:hAnsi="Arial" w:cs="Arial"/>
          <w:sz w:val="24"/>
          <w:szCs w:val="24"/>
          <w:lang w:val="en-US"/>
        </w:rPr>
      </w:pPr>
    </w:p>
    <w:p w:rsidR="00652782" w:rsidRPr="004D3C85" w:rsidRDefault="00652782" w:rsidP="00652782">
      <w:pPr>
        <w:rPr>
          <w:rFonts w:ascii="Arial" w:hAnsi="Arial" w:cs="Arial"/>
          <w:sz w:val="24"/>
          <w:szCs w:val="24"/>
          <w:lang w:val="en-US"/>
        </w:rPr>
      </w:pPr>
    </w:p>
    <w:p w:rsidR="00652782" w:rsidRPr="004D3C85" w:rsidRDefault="00652782" w:rsidP="00652782">
      <w:pPr>
        <w:rPr>
          <w:rFonts w:ascii="Arial" w:hAnsi="Arial" w:cs="Arial"/>
          <w:sz w:val="24"/>
          <w:szCs w:val="24"/>
          <w:lang w:val="en-US"/>
        </w:rPr>
      </w:pPr>
    </w:p>
    <w:p w:rsidR="00652782" w:rsidRPr="004D3C85" w:rsidRDefault="00652782" w:rsidP="00652782">
      <w:pPr>
        <w:rPr>
          <w:rFonts w:ascii="Arial" w:hAnsi="Arial" w:cs="Arial"/>
          <w:sz w:val="24"/>
          <w:szCs w:val="24"/>
          <w:lang w:val="en-US"/>
        </w:rPr>
      </w:pPr>
    </w:p>
    <w:p w:rsidR="00652782" w:rsidRPr="004D3C85" w:rsidRDefault="00652782" w:rsidP="004D3C85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D3C85">
        <w:rPr>
          <w:rFonts w:ascii="Arial" w:hAnsi="Arial" w:cs="Arial"/>
          <w:b/>
          <w:sz w:val="24"/>
          <w:szCs w:val="24"/>
          <w:lang w:val="en-US"/>
        </w:rPr>
        <w:t xml:space="preserve">Figure S1: Overexpression of KDELC1 and DEGS1 is not associated with response to </w:t>
      </w:r>
      <w:proofErr w:type="spellStart"/>
      <w:proofErr w:type="gramStart"/>
      <w:r w:rsidRPr="004D3C85">
        <w:rPr>
          <w:rFonts w:ascii="Arial" w:hAnsi="Arial" w:cs="Arial"/>
          <w:b/>
          <w:sz w:val="24"/>
          <w:szCs w:val="24"/>
          <w:lang w:val="en-US"/>
        </w:rPr>
        <w:t>GnP</w:t>
      </w:r>
      <w:proofErr w:type="spellEnd"/>
      <w:proofErr w:type="gramEnd"/>
      <w:r w:rsidRPr="004D3C85">
        <w:rPr>
          <w:rFonts w:ascii="Arial" w:hAnsi="Arial" w:cs="Arial"/>
          <w:b/>
          <w:sz w:val="24"/>
          <w:szCs w:val="24"/>
          <w:lang w:val="en-US"/>
        </w:rPr>
        <w:t xml:space="preserve"> in the COMPASS cohort.</w:t>
      </w:r>
      <w:r w:rsidRPr="004D3C85">
        <w:rPr>
          <w:rFonts w:ascii="Arial" w:hAnsi="Arial" w:cs="Arial"/>
          <w:sz w:val="24"/>
          <w:szCs w:val="24"/>
          <w:lang w:val="en-US"/>
        </w:rPr>
        <w:t xml:space="preserve"> Waterfall plots show the distribution of the best overall response to treatments in patients within the COMPASS cohort. Patients </w:t>
      </w:r>
      <w:proofErr w:type="gramStart"/>
      <w:r w:rsidRPr="004D3C85">
        <w:rPr>
          <w:rFonts w:ascii="Arial" w:hAnsi="Arial" w:cs="Arial"/>
          <w:sz w:val="24"/>
          <w:szCs w:val="24"/>
          <w:lang w:val="en-US"/>
        </w:rPr>
        <w:t>are dichotomized</w:t>
      </w:r>
      <w:proofErr w:type="gramEnd"/>
      <w:r w:rsidRPr="004D3C85">
        <w:rPr>
          <w:rFonts w:ascii="Arial" w:hAnsi="Arial" w:cs="Arial"/>
          <w:sz w:val="24"/>
          <w:szCs w:val="24"/>
          <w:lang w:val="en-US"/>
        </w:rPr>
        <w:t xml:space="preserve"> to either </w:t>
      </w:r>
      <w:r w:rsidRPr="004D3C85">
        <w:rPr>
          <w:rFonts w:ascii="Arial" w:hAnsi="Arial" w:cs="Arial"/>
          <w:i/>
          <w:sz w:val="24"/>
          <w:szCs w:val="24"/>
          <w:lang w:val="en-US"/>
        </w:rPr>
        <w:t>KDELC1</w:t>
      </w:r>
      <w:r w:rsidRPr="004D3C85">
        <w:rPr>
          <w:rFonts w:ascii="Arial" w:hAnsi="Arial" w:cs="Arial"/>
          <w:i/>
          <w:sz w:val="24"/>
          <w:szCs w:val="24"/>
          <w:vertAlign w:val="superscript"/>
          <w:lang w:val="en-US"/>
        </w:rPr>
        <w:t>high</w:t>
      </w:r>
      <w:r w:rsidRPr="004D3C85">
        <w:rPr>
          <w:rFonts w:ascii="Arial" w:hAnsi="Arial" w:cs="Arial"/>
          <w:sz w:val="24"/>
          <w:szCs w:val="24"/>
          <w:lang w:val="en-US"/>
        </w:rPr>
        <w:t xml:space="preserve"> and </w:t>
      </w:r>
      <w:r w:rsidRPr="004D3C85">
        <w:rPr>
          <w:rFonts w:ascii="Arial" w:hAnsi="Arial" w:cs="Arial"/>
          <w:i/>
          <w:sz w:val="24"/>
          <w:szCs w:val="24"/>
          <w:lang w:val="en-US"/>
        </w:rPr>
        <w:t>KDELC1</w:t>
      </w:r>
      <w:r w:rsidRPr="004D3C85">
        <w:rPr>
          <w:rFonts w:ascii="Arial" w:hAnsi="Arial" w:cs="Arial"/>
          <w:i/>
          <w:sz w:val="24"/>
          <w:szCs w:val="24"/>
          <w:vertAlign w:val="superscript"/>
          <w:lang w:val="en-US"/>
        </w:rPr>
        <w:t>low</w:t>
      </w:r>
      <w:r w:rsidRPr="004D3C85">
        <w:rPr>
          <w:rFonts w:ascii="Arial" w:hAnsi="Arial" w:cs="Arial"/>
          <w:sz w:val="24"/>
          <w:szCs w:val="24"/>
          <w:lang w:val="en-US"/>
        </w:rPr>
        <w:t xml:space="preserve"> expression tumor tissue (</w:t>
      </w:r>
      <w:r w:rsidRPr="004D3C85">
        <w:rPr>
          <w:rFonts w:ascii="Arial" w:hAnsi="Arial" w:cs="Arial"/>
          <w:sz w:val="24"/>
          <w:szCs w:val="24"/>
          <w:lang w:val="en-US"/>
        </w:rPr>
        <w:t>A)</w:t>
      </w:r>
      <w:r w:rsidRPr="004D3C85">
        <w:rPr>
          <w:rFonts w:ascii="Arial" w:hAnsi="Arial" w:cs="Arial"/>
          <w:sz w:val="24"/>
          <w:szCs w:val="24"/>
          <w:lang w:val="en-US"/>
        </w:rPr>
        <w:t xml:space="preserve"> or </w:t>
      </w:r>
      <w:r w:rsidRPr="004D3C85">
        <w:rPr>
          <w:rFonts w:ascii="Arial" w:hAnsi="Arial" w:cs="Arial"/>
          <w:i/>
          <w:sz w:val="24"/>
          <w:szCs w:val="24"/>
          <w:lang w:val="en-US"/>
        </w:rPr>
        <w:t>DEGS1</w:t>
      </w:r>
      <w:r w:rsidRPr="004D3C85">
        <w:rPr>
          <w:rFonts w:ascii="Arial" w:hAnsi="Arial" w:cs="Arial"/>
          <w:i/>
          <w:sz w:val="24"/>
          <w:szCs w:val="24"/>
          <w:vertAlign w:val="superscript"/>
          <w:lang w:val="en-US"/>
        </w:rPr>
        <w:t>high</w:t>
      </w:r>
      <w:r w:rsidRPr="004D3C85">
        <w:rPr>
          <w:rFonts w:ascii="Arial" w:hAnsi="Arial" w:cs="Arial"/>
          <w:sz w:val="24"/>
          <w:szCs w:val="24"/>
          <w:lang w:val="en-US"/>
        </w:rPr>
        <w:t xml:space="preserve"> and </w:t>
      </w:r>
      <w:r w:rsidRPr="004D3C85">
        <w:rPr>
          <w:rFonts w:ascii="Arial" w:hAnsi="Arial" w:cs="Arial"/>
          <w:i/>
          <w:sz w:val="24"/>
          <w:szCs w:val="24"/>
          <w:lang w:val="en-US"/>
        </w:rPr>
        <w:t>DEGS1</w:t>
      </w:r>
      <w:r w:rsidRPr="004D3C85">
        <w:rPr>
          <w:rFonts w:ascii="Arial" w:hAnsi="Arial" w:cs="Arial"/>
          <w:i/>
          <w:sz w:val="24"/>
          <w:szCs w:val="24"/>
          <w:vertAlign w:val="superscript"/>
          <w:lang w:val="en-US"/>
        </w:rPr>
        <w:t>low</w:t>
      </w:r>
      <w:r w:rsidRPr="004D3C85">
        <w:rPr>
          <w:rFonts w:ascii="Arial" w:hAnsi="Arial" w:cs="Arial"/>
          <w:sz w:val="24"/>
          <w:szCs w:val="24"/>
          <w:lang w:val="en-US"/>
        </w:rPr>
        <w:t xml:space="preserve"> (B) respectively. Dichotomization </w:t>
      </w:r>
      <w:proofErr w:type="gramStart"/>
      <w:r w:rsidRPr="004D3C85">
        <w:rPr>
          <w:rFonts w:ascii="Arial" w:hAnsi="Arial" w:cs="Arial"/>
          <w:sz w:val="24"/>
          <w:szCs w:val="24"/>
          <w:lang w:val="en-US"/>
        </w:rPr>
        <w:t>is based</w:t>
      </w:r>
      <w:proofErr w:type="gramEnd"/>
      <w:r w:rsidRPr="004D3C85">
        <w:rPr>
          <w:rFonts w:ascii="Arial" w:hAnsi="Arial" w:cs="Arial"/>
          <w:sz w:val="24"/>
          <w:szCs w:val="24"/>
          <w:lang w:val="en-US"/>
        </w:rPr>
        <w:t xml:space="preserve"> on a predetermined cut-off defined in the Cox proportional hazards analysis.</w:t>
      </w:r>
    </w:p>
    <w:p w:rsidR="00652782" w:rsidRPr="004D3C85" w:rsidRDefault="00652782">
      <w:pPr>
        <w:spacing w:after="200" w:line="288" w:lineRule="auto"/>
        <w:rPr>
          <w:rFonts w:ascii="Arial" w:hAnsi="Arial" w:cs="Arial"/>
          <w:sz w:val="24"/>
          <w:szCs w:val="24"/>
          <w:lang w:val="en-US"/>
        </w:rPr>
      </w:pPr>
      <w:r w:rsidRPr="004D3C85">
        <w:rPr>
          <w:rFonts w:ascii="Arial" w:hAnsi="Arial" w:cs="Arial"/>
          <w:sz w:val="24"/>
          <w:szCs w:val="24"/>
          <w:lang w:val="en-US"/>
        </w:rPr>
        <w:br w:type="page"/>
      </w:r>
      <w:bookmarkStart w:id="0" w:name="_GoBack"/>
      <w:bookmarkEnd w:id="0"/>
    </w:p>
    <w:p w:rsidR="00652782" w:rsidRPr="004D3C85" w:rsidRDefault="00652782" w:rsidP="00652782">
      <w:pPr>
        <w:rPr>
          <w:rFonts w:ascii="Arial" w:hAnsi="Arial" w:cs="Arial"/>
          <w:sz w:val="24"/>
          <w:szCs w:val="24"/>
          <w:lang w:val="en-US"/>
        </w:rPr>
      </w:pPr>
      <w:r w:rsidRPr="004D3C85"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363855</wp:posOffset>
            </wp:positionV>
            <wp:extent cx="5761355" cy="5157470"/>
            <wp:effectExtent l="0" t="0" r="0" b="508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515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3C85">
        <w:rPr>
          <w:rFonts w:ascii="Arial" w:hAnsi="Arial" w:cs="Arial"/>
          <w:sz w:val="24"/>
          <w:szCs w:val="24"/>
          <w:lang w:val="en-US"/>
        </w:rPr>
        <w:t>Figure S2</w:t>
      </w:r>
    </w:p>
    <w:p w:rsidR="00652782" w:rsidRPr="004D3C85" w:rsidRDefault="00652782" w:rsidP="00652782">
      <w:pPr>
        <w:rPr>
          <w:rFonts w:ascii="Arial" w:hAnsi="Arial" w:cs="Arial"/>
          <w:sz w:val="24"/>
          <w:szCs w:val="24"/>
          <w:lang w:val="en-US"/>
        </w:rPr>
      </w:pPr>
    </w:p>
    <w:p w:rsidR="00652782" w:rsidRPr="004D3C85" w:rsidRDefault="00652782" w:rsidP="004D3C85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D3C85">
        <w:rPr>
          <w:rFonts w:ascii="Arial" w:hAnsi="Arial" w:cs="Arial"/>
          <w:b/>
          <w:sz w:val="24"/>
          <w:szCs w:val="24"/>
          <w:lang w:val="en-US"/>
        </w:rPr>
        <w:t>Figure S2: Compartmentalized proteomic analysis of KDELC1 expression in PDAC tumor samples by means of multiplex immuno</w:t>
      </w:r>
      <w:r w:rsidR="004D3C85" w:rsidRPr="004D3C85">
        <w:rPr>
          <w:rFonts w:ascii="Arial" w:hAnsi="Arial" w:cs="Arial"/>
          <w:b/>
          <w:sz w:val="24"/>
          <w:szCs w:val="24"/>
          <w:lang w:val="en-US"/>
        </w:rPr>
        <w:t>fluorescence.</w:t>
      </w:r>
      <w:r w:rsidR="004D3C85" w:rsidRPr="004D3C85">
        <w:rPr>
          <w:rFonts w:ascii="Arial" w:hAnsi="Arial" w:cs="Arial"/>
          <w:sz w:val="24"/>
          <w:szCs w:val="24"/>
          <w:lang w:val="en-US"/>
        </w:rPr>
        <w:t xml:space="preserve"> A) Representative images of KDELC1 expression in tumors with low (left panel) and high (right panel) stromal content. B) Quantitative analysis of KDELC1 protein expression in tumor and stroma cells.</w:t>
      </w:r>
    </w:p>
    <w:sectPr w:rsidR="00652782" w:rsidRPr="004D3C8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782"/>
    <w:rsid w:val="004D3C85"/>
    <w:rsid w:val="005A7C6B"/>
    <w:rsid w:val="00652782"/>
    <w:rsid w:val="00C0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8C764"/>
  <w15:chartTrackingRefBased/>
  <w15:docId w15:val="{DFC665A1-5CD6-49E7-87E6-7FA4DB4E2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1"/>
        <w:szCs w:val="21"/>
        <w:lang w:val="fr-F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52782"/>
    <w:pPr>
      <w:spacing w:after="160" w:line="259" w:lineRule="auto"/>
    </w:pPr>
    <w:rPr>
      <w:sz w:val="22"/>
      <w:szCs w:val="2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Essen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Lueong</dc:creator>
  <cp:keywords/>
  <dc:description/>
  <cp:lastModifiedBy>Lueong</cp:lastModifiedBy>
  <cp:revision>1</cp:revision>
  <dcterms:created xsi:type="dcterms:W3CDTF">2023-07-20T19:16:00Z</dcterms:created>
  <dcterms:modified xsi:type="dcterms:W3CDTF">2023-07-20T19:30:00Z</dcterms:modified>
</cp:coreProperties>
</file>