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AFCAF" w14:textId="77777777" w:rsidR="003D1896" w:rsidRDefault="003D1896" w:rsidP="003D1896">
      <w:pPr>
        <w:spacing w:line="480" w:lineRule="auto"/>
        <w:jc w:val="both"/>
        <w:rPr>
          <w:rFonts w:ascii="Calibri" w:eastAsia="Calibri" w:hAnsi="Calibri" w:cs="Times New Roman"/>
          <w:b/>
          <w:bCs/>
          <w:lang w:val="en-US"/>
        </w:rPr>
      </w:pPr>
      <w:r w:rsidRPr="00AE66E0">
        <w:rPr>
          <w:rFonts w:ascii="Calibri" w:eastAsia="Calibri" w:hAnsi="Calibri" w:cs="Times New Roman"/>
          <w:b/>
          <w:bCs/>
          <w:lang w:val="en-US"/>
        </w:rPr>
        <w:t xml:space="preserve">Table </w:t>
      </w:r>
      <w:r>
        <w:rPr>
          <w:rFonts w:ascii="Calibri" w:eastAsia="Calibri" w:hAnsi="Calibri" w:cs="Times New Roman"/>
          <w:b/>
          <w:bCs/>
          <w:lang w:val="en-US"/>
        </w:rPr>
        <w:t>2</w:t>
      </w:r>
      <w:r w:rsidRPr="00AE66E0">
        <w:rPr>
          <w:rFonts w:ascii="Calibri" w:eastAsia="Calibri" w:hAnsi="Calibri" w:cs="Times New Roman"/>
          <w:b/>
          <w:bCs/>
          <w:lang w:val="en-US"/>
        </w:rPr>
        <w:t xml:space="preserve"> | </w:t>
      </w:r>
      <w:r>
        <w:rPr>
          <w:rFonts w:ascii="Calibri" w:eastAsia="Calibri" w:hAnsi="Calibri" w:cs="Times New Roman"/>
          <w:b/>
          <w:bCs/>
          <w:lang w:val="en-US"/>
        </w:rPr>
        <w:t xml:space="preserve">Chemical similarity between SpaceDock hits and their closest ChEMBL ligands </w:t>
      </w:r>
    </w:p>
    <w:tbl>
      <w:tblPr>
        <w:tblStyle w:val="TableGrid"/>
        <w:tblW w:w="90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3"/>
        <w:gridCol w:w="4836"/>
        <w:gridCol w:w="1513"/>
      </w:tblGrid>
      <w:tr w:rsidR="003D1896" w:rsidRPr="00C33F9D" w14:paraId="704D499F" w14:textId="77777777" w:rsidTr="005765C1">
        <w:tc>
          <w:tcPr>
            <w:tcW w:w="2723" w:type="dxa"/>
          </w:tcPr>
          <w:p w14:paraId="6AACB211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SpaceDock hit</w:t>
            </w:r>
          </w:p>
        </w:tc>
        <w:tc>
          <w:tcPr>
            <w:tcW w:w="4836" w:type="dxa"/>
          </w:tcPr>
          <w:p w14:paraId="7E3836F9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Closest</w:t>
            </w:r>
          </w:p>
          <w:p w14:paraId="4DA1F7E0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ChEMBL ligand</w:t>
            </w:r>
          </w:p>
        </w:tc>
        <w:tc>
          <w:tcPr>
            <w:tcW w:w="1513" w:type="dxa"/>
          </w:tcPr>
          <w:p w14:paraId="59AF2B4F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ECFP4</w:t>
            </w:r>
          </w:p>
          <w:p w14:paraId="301D54DC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/>
              </w:rPr>
              <w:t>Similarity</w:t>
            </w:r>
          </w:p>
        </w:tc>
      </w:tr>
      <w:tr w:rsidR="003D1896" w:rsidRPr="00C33F9D" w14:paraId="570D3DD2" w14:textId="77777777" w:rsidTr="005765C1">
        <w:tc>
          <w:tcPr>
            <w:tcW w:w="2723" w:type="dxa"/>
            <w:vAlign w:val="bottom"/>
          </w:tcPr>
          <w:p w14:paraId="600E4076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6876AFF5" wp14:editId="2C492651">
                  <wp:extent cx="1360800" cy="662400"/>
                  <wp:effectExtent l="0" t="0" r="0" b="444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00" cy="6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CBD7B2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#1</w:t>
            </w:r>
          </w:p>
          <w:p w14:paraId="301E7F90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4B527E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360 nM</w:t>
            </w:r>
          </w:p>
          <w:p w14:paraId="1D107E1F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0.40</w:t>
            </w:r>
          </w:p>
        </w:tc>
        <w:tc>
          <w:tcPr>
            <w:tcW w:w="4836" w:type="dxa"/>
            <w:vAlign w:val="bottom"/>
          </w:tcPr>
          <w:p w14:paraId="1CC337B1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</w:rPr>
              <w:drawing>
                <wp:inline distT="0" distB="0" distL="0" distR="0" wp14:anchorId="0D4FC2E0" wp14:editId="47F3CFDC">
                  <wp:extent cx="1468800" cy="766800"/>
                  <wp:effectExtent l="0" t="0" r="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8800" cy="7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3C3F45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CHEMBL148352</w:t>
            </w:r>
          </w:p>
          <w:p w14:paraId="0A53F5DD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561343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120 nM</w:t>
            </w:r>
          </w:p>
          <w:p w14:paraId="520BD0D0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LE = 0.36 </w:t>
            </w:r>
          </w:p>
        </w:tc>
        <w:tc>
          <w:tcPr>
            <w:tcW w:w="1513" w:type="dxa"/>
            <w:vAlign w:val="bottom"/>
          </w:tcPr>
          <w:p w14:paraId="2A5697E0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0.42</w:t>
            </w:r>
          </w:p>
        </w:tc>
      </w:tr>
      <w:tr w:rsidR="003D1896" w:rsidRPr="00C33F9D" w14:paraId="05EC5BB6" w14:textId="77777777" w:rsidTr="005765C1">
        <w:tc>
          <w:tcPr>
            <w:tcW w:w="2723" w:type="dxa"/>
            <w:vAlign w:val="bottom"/>
          </w:tcPr>
          <w:p w14:paraId="32098C23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6F7A0582" wp14:editId="37323D38">
                  <wp:extent cx="1472400" cy="658800"/>
                  <wp:effectExtent l="0" t="0" r="0" b="8255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400" cy="65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51F54E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#25</w:t>
            </w:r>
          </w:p>
          <w:p w14:paraId="6A3C7BF6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4B527E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1.40 </w:t>
            </w: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µ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M</w:t>
            </w:r>
          </w:p>
          <w:p w14:paraId="2D6C8946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0.36</w:t>
            </w:r>
          </w:p>
        </w:tc>
        <w:tc>
          <w:tcPr>
            <w:tcW w:w="4836" w:type="dxa"/>
            <w:vAlign w:val="bottom"/>
          </w:tcPr>
          <w:p w14:paraId="37DB1467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1D6363E3" wp14:editId="08FBCD71">
                  <wp:extent cx="2102400" cy="658800"/>
                  <wp:effectExtent l="0" t="0" r="0" b="8255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2400" cy="65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AA8251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</w:rPr>
              <w:t>CHEMBL4590839</w:t>
            </w:r>
          </w:p>
          <w:p w14:paraId="2A564188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561343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18.8 nM</w:t>
            </w:r>
          </w:p>
          <w:p w14:paraId="4A1CCBA8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0.35</w:t>
            </w:r>
          </w:p>
        </w:tc>
        <w:tc>
          <w:tcPr>
            <w:tcW w:w="1513" w:type="dxa"/>
            <w:vAlign w:val="bottom"/>
          </w:tcPr>
          <w:p w14:paraId="4DBDD049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0.52</w:t>
            </w:r>
          </w:p>
        </w:tc>
      </w:tr>
      <w:tr w:rsidR="003D1896" w:rsidRPr="00C33F9D" w14:paraId="46C250DC" w14:textId="77777777" w:rsidTr="005765C1">
        <w:tc>
          <w:tcPr>
            <w:tcW w:w="2723" w:type="dxa"/>
            <w:vAlign w:val="bottom"/>
          </w:tcPr>
          <w:p w14:paraId="57870AC4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3F051096" wp14:editId="405A2E99">
                  <wp:extent cx="1083600" cy="658800"/>
                  <wp:effectExtent l="0" t="0" r="2540" b="825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3600" cy="65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B4DD23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#66</w:t>
            </w:r>
          </w:p>
          <w:p w14:paraId="1F94830D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4B527E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320 nM</w:t>
            </w:r>
          </w:p>
          <w:p w14:paraId="1F743C9A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0.40</w:t>
            </w:r>
          </w:p>
        </w:tc>
        <w:tc>
          <w:tcPr>
            <w:tcW w:w="4836" w:type="dxa"/>
            <w:vAlign w:val="bottom"/>
          </w:tcPr>
          <w:p w14:paraId="4945A03C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5EBA70D5" wp14:editId="31877FA2">
                  <wp:extent cx="1378800" cy="658800"/>
                  <wp:effectExtent l="0" t="0" r="0" b="825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800" cy="65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20F1CB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CHEMBL86</w:t>
            </w:r>
          </w:p>
          <w:p w14:paraId="7DE8C3F8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561343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23 nM</w:t>
            </w:r>
          </w:p>
          <w:p w14:paraId="65B30F61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0.53</w:t>
            </w:r>
          </w:p>
        </w:tc>
        <w:tc>
          <w:tcPr>
            <w:tcW w:w="1513" w:type="dxa"/>
            <w:vAlign w:val="bottom"/>
          </w:tcPr>
          <w:p w14:paraId="2161FA0C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0.48</w:t>
            </w:r>
          </w:p>
        </w:tc>
      </w:tr>
      <w:tr w:rsidR="003D1896" w:rsidRPr="00C33F9D" w14:paraId="71CFE76B" w14:textId="77777777" w:rsidTr="005765C1">
        <w:tc>
          <w:tcPr>
            <w:tcW w:w="2723" w:type="dxa"/>
            <w:vAlign w:val="bottom"/>
          </w:tcPr>
          <w:p w14:paraId="27A4F219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3638450A" wp14:editId="27BD6CA6">
                  <wp:extent cx="1119600" cy="831600"/>
                  <wp:effectExtent l="0" t="0" r="4445" b="6985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600" cy="83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E86B51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#107</w:t>
            </w:r>
          </w:p>
          <w:p w14:paraId="5869F225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4B527E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1.57 </w:t>
            </w: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µ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M</w:t>
            </w:r>
          </w:p>
          <w:p w14:paraId="737B48AF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0.39</w:t>
            </w:r>
          </w:p>
        </w:tc>
        <w:tc>
          <w:tcPr>
            <w:tcW w:w="4836" w:type="dxa"/>
            <w:vAlign w:val="bottom"/>
          </w:tcPr>
          <w:p w14:paraId="5BA05A35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28FDD1E1" wp14:editId="2C6979B5">
                  <wp:extent cx="2102400" cy="658800"/>
                  <wp:effectExtent l="0" t="0" r="0" b="825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2400" cy="65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B18E2E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</w:rPr>
              <w:t>CHEMBL4590839</w:t>
            </w:r>
          </w:p>
          <w:p w14:paraId="03A835E9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561343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18.8 nM</w:t>
            </w:r>
          </w:p>
          <w:p w14:paraId="6728CBC9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0.35</w:t>
            </w:r>
          </w:p>
        </w:tc>
        <w:tc>
          <w:tcPr>
            <w:tcW w:w="1513" w:type="dxa"/>
            <w:vAlign w:val="bottom"/>
          </w:tcPr>
          <w:p w14:paraId="231EDB4D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0.43</w:t>
            </w:r>
          </w:p>
        </w:tc>
      </w:tr>
      <w:tr w:rsidR="003D1896" w:rsidRPr="00C33F9D" w14:paraId="60FC71EA" w14:textId="77777777" w:rsidTr="005765C1">
        <w:tc>
          <w:tcPr>
            <w:tcW w:w="2723" w:type="dxa"/>
            <w:vAlign w:val="bottom"/>
          </w:tcPr>
          <w:p w14:paraId="4FEDFAE4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656EEDD7" wp14:editId="6BA7502E">
                  <wp:extent cx="1432800" cy="691200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00" cy="69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BEE2F4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#142</w:t>
            </w:r>
          </w:p>
          <w:p w14:paraId="71159A95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4B527E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401 nM</w:t>
            </w:r>
          </w:p>
          <w:p w14:paraId="64D82E5A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0.43</w:t>
            </w:r>
          </w:p>
        </w:tc>
        <w:tc>
          <w:tcPr>
            <w:tcW w:w="4836" w:type="dxa"/>
            <w:vAlign w:val="bottom"/>
          </w:tcPr>
          <w:p w14:paraId="54772602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0CBBF750" wp14:editId="220B829E">
                  <wp:extent cx="1699200" cy="1004400"/>
                  <wp:effectExtent l="0" t="0" r="0" b="571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9200" cy="100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FA0978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CHEMBL1258495</w:t>
            </w:r>
          </w:p>
          <w:p w14:paraId="084A2C45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561343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28 nM</w:t>
            </w:r>
          </w:p>
          <w:p w14:paraId="2091074B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0.36</w:t>
            </w:r>
          </w:p>
        </w:tc>
        <w:tc>
          <w:tcPr>
            <w:tcW w:w="1513" w:type="dxa"/>
            <w:vAlign w:val="bottom"/>
          </w:tcPr>
          <w:p w14:paraId="76D192DF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0.42</w:t>
            </w:r>
          </w:p>
        </w:tc>
      </w:tr>
      <w:tr w:rsidR="003D1896" w:rsidRPr="00C33F9D" w14:paraId="1337D3C2" w14:textId="77777777" w:rsidTr="005765C1">
        <w:tc>
          <w:tcPr>
            <w:tcW w:w="2723" w:type="dxa"/>
            <w:vAlign w:val="bottom"/>
          </w:tcPr>
          <w:p w14:paraId="4FAB166B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2E9EB6F9" wp14:editId="19DE448D">
                  <wp:extent cx="1400400" cy="608400"/>
                  <wp:effectExtent l="0" t="0" r="9525" b="127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400" cy="60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87DCBC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#161</w:t>
            </w:r>
          </w:p>
          <w:p w14:paraId="042C1EA6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K</w:t>
            </w:r>
            <w:r w:rsidRPr="004B527E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1.65</w:t>
            </w: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 xml:space="preserve"> µ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M</w:t>
            </w:r>
          </w:p>
          <w:p w14:paraId="2BA06DA5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0.39</w:t>
            </w:r>
          </w:p>
        </w:tc>
        <w:tc>
          <w:tcPr>
            <w:tcW w:w="4836" w:type="dxa"/>
            <w:vAlign w:val="bottom"/>
          </w:tcPr>
          <w:p w14:paraId="449B1447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noProof/>
                <w:sz w:val="20"/>
                <w:szCs w:val="20"/>
              </w:rPr>
              <w:drawing>
                <wp:inline distT="0" distB="0" distL="0" distR="0" wp14:anchorId="7EF8A3BE" wp14:editId="23AEBE04">
                  <wp:extent cx="2775600" cy="860400"/>
                  <wp:effectExtent l="0" t="0" r="5715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5600" cy="86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65D09F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CHEMBL2397478</w:t>
            </w:r>
          </w:p>
          <w:p w14:paraId="39011BA9" w14:textId="77777777" w:rsidR="003D1896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lastRenderedPageBreak/>
              <w:t>K</w:t>
            </w:r>
            <w:r w:rsidRPr="00561343">
              <w:rPr>
                <w:rFonts w:ascii="Calibri" w:eastAsia="Calibri" w:hAnsi="Calibri" w:cs="Times New Roman"/>
                <w:sz w:val="20"/>
                <w:szCs w:val="20"/>
                <w:vertAlign w:val="subscript"/>
                <w:lang w:val="en-US"/>
              </w:rPr>
              <w:t>i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= 1 nM</w:t>
            </w:r>
          </w:p>
          <w:p w14:paraId="7A8EE933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LE = 0.31</w:t>
            </w:r>
          </w:p>
        </w:tc>
        <w:tc>
          <w:tcPr>
            <w:tcW w:w="1513" w:type="dxa"/>
            <w:vAlign w:val="bottom"/>
          </w:tcPr>
          <w:p w14:paraId="57953C51" w14:textId="77777777" w:rsidR="003D1896" w:rsidRPr="00C33F9D" w:rsidRDefault="003D1896" w:rsidP="005765C1">
            <w:pPr>
              <w:jc w:val="center"/>
              <w:rPr>
                <w:rFonts w:ascii="Calibri" w:eastAsia="Calibri" w:hAnsi="Calibri" w:cs="Times New Roman"/>
                <w:sz w:val="20"/>
                <w:szCs w:val="20"/>
                <w:lang w:val="en-US"/>
              </w:rPr>
            </w:pPr>
            <w:r w:rsidRPr="00C33F9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lastRenderedPageBreak/>
              <w:t>0.38</w:t>
            </w:r>
          </w:p>
        </w:tc>
      </w:tr>
    </w:tbl>
    <w:p w14:paraId="5FC37545" w14:textId="77777777" w:rsidR="003D1896" w:rsidRDefault="003D1896" w:rsidP="003D1896">
      <w:pPr>
        <w:spacing w:line="240" w:lineRule="auto"/>
        <w:jc w:val="both"/>
        <w:rPr>
          <w:rFonts w:ascii="Calibri" w:eastAsia="Calibri" w:hAnsi="Calibri" w:cs="Times New Roman"/>
          <w:lang w:val="en-US"/>
        </w:rPr>
      </w:pPr>
      <w:r>
        <w:rPr>
          <w:rFonts w:ascii="Calibri" w:eastAsia="Calibri" w:hAnsi="Calibri" w:cs="Times New Roman"/>
          <w:lang w:val="en-US"/>
        </w:rPr>
        <w:t>Inhibition constants for human DRD3 (K</w:t>
      </w:r>
      <w:r w:rsidRPr="004B527E">
        <w:rPr>
          <w:rFonts w:ascii="Calibri" w:eastAsia="Calibri" w:hAnsi="Calibri" w:cs="Times New Roman"/>
          <w:vertAlign w:val="subscript"/>
          <w:lang w:val="en-US"/>
        </w:rPr>
        <w:t>i</w:t>
      </w:r>
      <w:r>
        <w:rPr>
          <w:rFonts w:ascii="Calibri" w:eastAsia="Calibri" w:hAnsi="Calibri" w:cs="Times New Roman"/>
          <w:lang w:val="en-US"/>
        </w:rPr>
        <w:t>)</w:t>
      </w:r>
      <w:r>
        <w:rPr>
          <w:rFonts w:ascii="Calibri" w:eastAsia="Calibri" w:hAnsi="Calibri" w:cs="Times New Roman"/>
          <w:lang w:val="en-US"/>
        </w:rPr>
        <w:fldChar w:fldCharType="begin"/>
      </w:r>
      <w:r>
        <w:rPr>
          <w:rFonts w:ascii="Calibri" w:eastAsia="Calibri" w:hAnsi="Calibri" w:cs="Times New Roman"/>
          <w:lang w:val="en-US"/>
        </w:rPr>
        <w:instrText xml:space="preserve"> ADDIN EN.CITE &lt;EndNote&gt;&lt;Cite&gt;&lt;RecNum&gt;161&lt;/RecNum&gt;&lt;DisplayText&gt;&lt;style face="superscript"&gt;50&lt;/style&gt;&lt;/DisplayText&gt;&lt;record&gt;&lt;rec-number&gt;161&lt;/rec-number&gt;&lt;foreign-keys&gt;&lt;key app="EN" db-id="vte0t2zam5a5w7eve5axveskvzswa220te99" timestamp="1700139198"&gt;161&lt;/key&gt;&lt;/foreign-keys&gt;&lt;ref-type name="Journal Article"&gt;17&lt;/ref-type&gt;&lt;contributors&gt;&lt;/contributors&gt;&lt;titles&gt;&lt;title&gt;https://www.ebi.ac.uk/chembl/ (accessed 11-16-2023)&lt;/title&gt;&lt;/titles&gt;&lt;dates&gt;&lt;/dates&gt;&lt;urls&gt;&lt;/urls&gt;&lt;/record&gt;&lt;/Cite&gt;&lt;/EndNote&gt;</w:instrText>
      </w:r>
      <w:r>
        <w:rPr>
          <w:rFonts w:ascii="Calibri" w:eastAsia="Calibri" w:hAnsi="Calibri" w:cs="Times New Roman"/>
          <w:lang w:val="en-US"/>
        </w:rPr>
        <w:fldChar w:fldCharType="separate"/>
      </w:r>
      <w:r w:rsidRPr="00880A65">
        <w:rPr>
          <w:rFonts w:ascii="Calibri" w:eastAsia="Calibri" w:hAnsi="Calibri" w:cs="Times New Roman"/>
          <w:noProof/>
          <w:vertAlign w:val="superscript"/>
          <w:lang w:val="en-US"/>
        </w:rPr>
        <w:t>50</w:t>
      </w:r>
      <w:r>
        <w:rPr>
          <w:rFonts w:ascii="Calibri" w:eastAsia="Calibri" w:hAnsi="Calibri" w:cs="Times New Roman"/>
          <w:lang w:val="en-US"/>
        </w:rPr>
        <w:fldChar w:fldCharType="end"/>
      </w:r>
      <w:r>
        <w:rPr>
          <w:rFonts w:ascii="Calibri" w:eastAsia="Calibri" w:hAnsi="Calibri" w:cs="Times New Roman"/>
          <w:lang w:val="en-US"/>
        </w:rPr>
        <w:t xml:space="preserve"> and ligand efficiency (LE)</w:t>
      </w:r>
      <w:r>
        <w:rPr>
          <w:rFonts w:ascii="Calibri" w:eastAsia="Calibri" w:hAnsi="Calibri" w:cs="Times New Roman"/>
          <w:lang w:val="en-US"/>
        </w:rPr>
        <w:fldChar w:fldCharType="begin"/>
      </w:r>
      <w:r>
        <w:rPr>
          <w:rFonts w:ascii="Calibri" w:eastAsia="Calibri" w:hAnsi="Calibri" w:cs="Times New Roman"/>
          <w:lang w:val="en-US"/>
        </w:rPr>
        <w:instrText xml:space="preserve"> ADDIN EN.CITE &lt;EndNote&gt;&lt;Cite&gt;&lt;Author&gt;Hopkins&lt;/Author&gt;&lt;Year&gt;2004&lt;/Year&gt;&lt;RecNum&gt;164&lt;/RecNum&gt;&lt;DisplayText&gt;&lt;style face="superscript"&gt;53&lt;/style&gt;&lt;/DisplayText&gt;&lt;record&gt;&lt;rec-number&gt;164&lt;/rec-number&gt;&lt;foreign-keys&gt;&lt;key app="EN" db-id="vte0t2zam5a5w7eve5axveskvzswa220te99" timestamp="1701166193"&gt;164&lt;/key&gt;&lt;/foreign-keys&gt;&lt;ref-type name="Journal Article"&gt;17&lt;/ref-type&gt;&lt;contributors&gt;&lt;authors&gt;&lt;author&gt;Hopkins, A. L.&lt;/author&gt;&lt;author&gt;Groom, C. R.&lt;/author&gt;&lt;author&gt;Alex, A.&lt;/author&gt;&lt;/authors&gt;&lt;/contributors&gt;&lt;titles&gt;&lt;title&gt;Ligand efficiency: a useful metric for lead selection&lt;/title&gt;&lt;secondary-title&gt;Drug Discov Today&lt;/secondary-title&gt;&lt;/titles&gt;&lt;periodical&gt;&lt;full-title&gt;Drug Discov Today&lt;/full-title&gt;&lt;/periodical&gt;&lt;pages&gt;430-1&lt;/pages&gt;&lt;volume&gt;9&lt;/volume&gt;&lt;number&gt;10&lt;/number&gt;&lt;keywords&gt;&lt;keyword&gt;*Drug Design&lt;/keyword&gt;&lt;keyword&gt;*Ligands&lt;/keyword&gt;&lt;keyword&gt;Models, Biological&lt;/keyword&gt;&lt;keyword&gt;Models, Molecular&lt;/keyword&gt;&lt;keyword&gt;Pharmaceutical Preparations/*chemistry&lt;/keyword&gt;&lt;/keywords&gt;&lt;dates&gt;&lt;year&gt;2004&lt;/year&gt;&lt;pub-dates&gt;&lt;date&gt;May 15&lt;/date&gt;&lt;/pub-dates&gt;&lt;/dates&gt;&lt;isbn&gt;1359-6446 (Print)&amp;#xD;1359-6446 (Linking)&lt;/isbn&gt;&lt;accession-num&gt;15109945&lt;/accession-num&gt;&lt;urls&gt;&lt;related-urls&gt;&lt;url&gt;https://www.ncbi.nlm.nih.gov/pubmed/15109945&lt;/url&gt;&lt;/related-urls&gt;&lt;/urls&gt;&lt;electronic-resource-num&gt;10.1016/S1359-6446(04)03069-7&lt;/electronic-resource-num&gt;&lt;/record&gt;&lt;/Cite&gt;&lt;/EndNote&gt;</w:instrText>
      </w:r>
      <w:r>
        <w:rPr>
          <w:rFonts w:ascii="Calibri" w:eastAsia="Calibri" w:hAnsi="Calibri" w:cs="Times New Roman"/>
          <w:lang w:val="en-US"/>
        </w:rPr>
        <w:fldChar w:fldCharType="separate"/>
      </w:r>
      <w:r w:rsidRPr="00880A65">
        <w:rPr>
          <w:rFonts w:ascii="Calibri" w:eastAsia="Calibri" w:hAnsi="Calibri" w:cs="Times New Roman"/>
          <w:noProof/>
          <w:vertAlign w:val="superscript"/>
          <w:lang w:val="en-US"/>
        </w:rPr>
        <w:t>53</w:t>
      </w:r>
      <w:r>
        <w:rPr>
          <w:rFonts w:ascii="Calibri" w:eastAsia="Calibri" w:hAnsi="Calibri" w:cs="Times New Roman"/>
          <w:lang w:val="en-US"/>
        </w:rPr>
        <w:fldChar w:fldCharType="end"/>
      </w:r>
      <w:r>
        <w:rPr>
          <w:rFonts w:ascii="Calibri" w:eastAsia="Calibri" w:hAnsi="Calibri" w:cs="Times New Roman"/>
          <w:lang w:val="en-US"/>
        </w:rPr>
        <w:t xml:space="preserve"> are given for comparison. </w:t>
      </w:r>
      <w:r w:rsidRPr="00C33F9D">
        <w:rPr>
          <w:rFonts w:ascii="Calibri" w:eastAsia="Calibri" w:hAnsi="Calibri" w:cs="Times New Roman"/>
          <w:lang w:val="en-US"/>
        </w:rPr>
        <w:t>Similarity is expressed by The Tani</w:t>
      </w:r>
      <w:r>
        <w:rPr>
          <w:rFonts w:ascii="Calibri" w:eastAsia="Calibri" w:hAnsi="Calibri" w:cs="Times New Roman"/>
          <w:lang w:val="en-US"/>
        </w:rPr>
        <w:t>m</w:t>
      </w:r>
      <w:r w:rsidRPr="00C33F9D">
        <w:rPr>
          <w:rFonts w:ascii="Calibri" w:eastAsia="Calibri" w:hAnsi="Calibri" w:cs="Times New Roman"/>
          <w:lang w:val="en-US"/>
        </w:rPr>
        <w:t>oto coeffi</w:t>
      </w:r>
      <w:r>
        <w:rPr>
          <w:rFonts w:ascii="Calibri" w:eastAsia="Calibri" w:hAnsi="Calibri" w:cs="Times New Roman"/>
          <w:lang w:val="en-US"/>
        </w:rPr>
        <w:t>cient computed on ECFP4 circular fingerprints.</w:t>
      </w:r>
    </w:p>
    <w:p w14:paraId="78C021E2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896"/>
    <w:rsid w:val="00110104"/>
    <w:rsid w:val="0021090F"/>
    <w:rsid w:val="00220E4E"/>
    <w:rsid w:val="003A76DF"/>
    <w:rsid w:val="003D1896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6F4E7"/>
  <w15:chartTrackingRefBased/>
  <w15:docId w15:val="{30C39D97-8FC4-4E9F-9705-76C773152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896"/>
    <w:rPr>
      <w:rFonts w:eastAsia="MS Mincho"/>
      <w:kern w:val="0"/>
      <w:lang w:val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1896"/>
    <w:pPr>
      <w:spacing w:after="0" w:line="240" w:lineRule="auto"/>
    </w:pPr>
    <w:rPr>
      <w:rFonts w:eastAsia="MS Mincho"/>
      <w:kern w:val="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2195</Characters>
  <Application>Microsoft Office Word</Application>
  <DocSecurity>0</DocSecurity>
  <Lines>18</Lines>
  <Paragraphs>5</Paragraphs>
  <ScaleCrop>false</ScaleCrop>
  <Company>Springer Nature</Company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2024-01-09T06:39:00Z</dcterms:created>
  <dcterms:modified xsi:type="dcterms:W3CDTF">2024-01-09T06:40:00Z</dcterms:modified>
</cp:coreProperties>
</file>