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B25" w:rsidRPr="00287B25" w:rsidRDefault="006E25C3" w:rsidP="00287B25">
      <w:pPr>
        <w:spacing w:after="0" w:line="240" w:lineRule="auto"/>
        <w:jc w:val="center"/>
        <w:rPr>
          <w:rFonts w:ascii="바탕" w:eastAsia="바탕" w:hAnsi="Times New Roman" w:cs="Times New Roman"/>
          <w:szCs w:val="24"/>
        </w:rPr>
      </w:pPr>
      <w:r w:rsidRPr="006E25C3">
        <w:rPr>
          <w:rFonts w:ascii="바탕" w:eastAsia="바탕" w:hAnsi="Times New Roman" w:cs="Times New Roman"/>
          <w:noProof/>
          <w:szCs w:val="24"/>
        </w:rPr>
        <w:drawing>
          <wp:inline distT="0" distB="0" distL="0" distR="0">
            <wp:extent cx="5731510" cy="4811280"/>
            <wp:effectExtent l="0" t="0" r="2540" b="8890"/>
            <wp:docPr id="1" name="그림 1" descr="C:\Users\HOMI\Desktop\Molecular Neurodegenration\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I\Desktop\Molecular Neurodegenration\s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1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7B25" w:rsidRPr="00287B25" w:rsidRDefault="00287B25" w:rsidP="00287B25">
      <w:pPr>
        <w:spacing w:after="0" w:line="240" w:lineRule="auto"/>
        <w:rPr>
          <w:rFonts w:ascii="Times New Roman" w:eastAsia="바탕" w:hAnsi="Times New Roman" w:cs="Times New Roman"/>
          <w:sz w:val="24"/>
          <w:szCs w:val="24"/>
        </w:rPr>
      </w:pPr>
      <w:r w:rsidRPr="00287B25">
        <w:rPr>
          <w:rFonts w:ascii="Times New Roman" w:eastAsia="바탕" w:hAnsi="Times New Roman" w:cs="Times New Roman"/>
          <w:b/>
          <w:sz w:val="24"/>
          <w:szCs w:val="24"/>
        </w:rPr>
        <w:t>Figure S5. The sam</w:t>
      </w:r>
      <w:r>
        <w:rPr>
          <w:rFonts w:ascii="Times New Roman" w:eastAsia="바탕" w:hAnsi="Times New Roman" w:cs="Times New Roman"/>
          <w:b/>
          <w:sz w:val="24"/>
          <w:szCs w:val="24"/>
        </w:rPr>
        <w:t xml:space="preserve">e DCX for ZQ175 mice as Fig. 2c and 2d </w:t>
      </w:r>
      <w:r w:rsidRPr="00287B25">
        <w:rPr>
          <w:rFonts w:ascii="Times New Roman" w:eastAsia="바탕" w:hAnsi="Times New Roman" w:cs="Times New Roman"/>
          <w:b/>
          <w:sz w:val="24"/>
          <w:szCs w:val="24"/>
        </w:rPr>
        <w:t>dyed through DAB color development.</w:t>
      </w:r>
      <w:r w:rsidRPr="00287B25">
        <w:rPr>
          <w:rFonts w:ascii="Times New Roman" w:eastAsia="바탕" w:hAnsi="Times New Roman" w:cs="Times New Roman"/>
          <w:sz w:val="24"/>
          <w:szCs w:val="24"/>
        </w:rPr>
        <w:t xml:space="preserve"> It was confirmed that the DCX level was increased in HD mice paired with the WT(Young) compared to the HD mice paired with the WT(Old).</w:t>
      </w:r>
    </w:p>
    <w:p w:rsidR="008B0FA7" w:rsidRPr="00287B25" w:rsidRDefault="008B0FA7" w:rsidP="00287B25"/>
    <w:sectPr w:rsidR="008B0FA7" w:rsidRPr="00287B2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773" w:rsidRDefault="00A92773" w:rsidP="007067C1">
      <w:pPr>
        <w:spacing w:after="0" w:line="240" w:lineRule="auto"/>
      </w:pPr>
      <w:r>
        <w:separator/>
      </w:r>
    </w:p>
  </w:endnote>
  <w:endnote w:type="continuationSeparator" w:id="0">
    <w:p w:rsidR="00A92773" w:rsidRDefault="00A92773" w:rsidP="0070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773" w:rsidRDefault="00A92773" w:rsidP="007067C1">
      <w:pPr>
        <w:spacing w:after="0" w:line="240" w:lineRule="auto"/>
      </w:pPr>
      <w:r>
        <w:separator/>
      </w:r>
    </w:p>
  </w:footnote>
  <w:footnote w:type="continuationSeparator" w:id="0">
    <w:p w:rsidR="00A92773" w:rsidRDefault="00A92773" w:rsidP="007067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4D"/>
    <w:rsid w:val="00287B25"/>
    <w:rsid w:val="0039614D"/>
    <w:rsid w:val="006E25C3"/>
    <w:rsid w:val="007067C1"/>
    <w:rsid w:val="0071744D"/>
    <w:rsid w:val="008B0FA7"/>
    <w:rsid w:val="009C1DC0"/>
    <w:rsid w:val="00A92773"/>
    <w:rsid w:val="00BC2917"/>
    <w:rsid w:val="00D0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2D9D1C-CDEE-4E3E-950D-BE73DB75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67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67C1"/>
  </w:style>
  <w:style w:type="paragraph" w:styleId="a4">
    <w:name w:val="footer"/>
    <w:basedOn w:val="a"/>
    <w:link w:val="Char0"/>
    <w:uiPriority w:val="99"/>
    <w:unhideWhenUsed/>
    <w:rsid w:val="007067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6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4</cp:revision>
  <dcterms:created xsi:type="dcterms:W3CDTF">2020-06-18T15:46:00Z</dcterms:created>
  <dcterms:modified xsi:type="dcterms:W3CDTF">2020-06-18T16:41:00Z</dcterms:modified>
</cp:coreProperties>
</file>