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17" w:rsidRPr="00BC2917" w:rsidRDefault="00BC2917" w:rsidP="00BC2917">
      <w:pPr>
        <w:spacing w:after="0" w:line="240" w:lineRule="auto"/>
        <w:rPr>
          <w:rFonts w:ascii="바탕" w:eastAsia="바탕" w:hAnsi="Times New Roman" w:cs="Times New Roman"/>
          <w:szCs w:val="24"/>
        </w:rPr>
      </w:pPr>
      <w:r w:rsidRPr="00BC2917">
        <w:rPr>
          <w:rFonts w:ascii="바탕" w:eastAsia="바탕" w:hAnsi="Times New Roman" w:cs="Times New Roman"/>
          <w:szCs w:val="24"/>
        </w:rPr>
        <w:drawing>
          <wp:inline distT="0" distB="0" distL="0" distR="0" wp14:anchorId="2FEB2FCC" wp14:editId="6C956313">
            <wp:extent cx="5731510" cy="6536690"/>
            <wp:effectExtent l="0" t="0" r="0" b="0"/>
            <wp:docPr id="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917" w:rsidRPr="00BC2917" w:rsidRDefault="00BC2917" w:rsidP="00BC2917">
      <w:pPr>
        <w:spacing w:after="0" w:line="240" w:lineRule="auto"/>
        <w:rPr>
          <w:rFonts w:ascii="Times New Roman" w:eastAsia="바탕" w:hAnsi="Times New Roman" w:cs="Times New Roman"/>
          <w:b/>
          <w:bCs/>
          <w:sz w:val="24"/>
          <w:szCs w:val="20"/>
        </w:rPr>
      </w:pPr>
      <w:r w:rsidRPr="00BC2917">
        <w:rPr>
          <w:rFonts w:ascii="Times New Roman" w:eastAsia="바탕" w:hAnsi="Times New Roman" w:cs="Times New Roman"/>
          <w:b/>
          <w:bCs/>
          <w:sz w:val="24"/>
          <w:szCs w:val="20"/>
        </w:rPr>
        <w:t>Figure S4. Modulation of molecular pathology of HD by parabiosis in the case of ZQ175 mice.</w:t>
      </w:r>
    </w:p>
    <w:p w:rsidR="008B0FA7" w:rsidRPr="00BC2917" w:rsidRDefault="00BC2917" w:rsidP="00BC2917">
      <w:pPr>
        <w:spacing w:after="0" w:line="240" w:lineRule="auto"/>
        <w:rPr>
          <w:rFonts w:ascii="Times New Roman" w:eastAsia="바탕" w:hAnsi="Times New Roman" w:cs="Times New Roman" w:hint="eastAsia"/>
          <w:bCs/>
          <w:kern w:val="0"/>
          <w:sz w:val="24"/>
          <w:szCs w:val="16"/>
        </w:rPr>
      </w:pPr>
      <w:proofErr w:type="spellStart"/>
      <w:proofErr w:type="gramStart"/>
      <w:r w:rsidRPr="00BC2917">
        <w:rPr>
          <w:rFonts w:ascii="Times New Roman" w:eastAsia="바탕" w:hAnsi="Times New Roman" w:cs="Times New Roman"/>
          <w:b/>
          <w:bCs/>
          <w:sz w:val="24"/>
          <w:szCs w:val="16"/>
        </w:rPr>
        <w:t>a</w:t>
      </w:r>
      <w:proofErr w:type="spellEnd"/>
      <w:proofErr w:type="gramEnd"/>
      <w:r w:rsidRPr="00BC2917">
        <w:rPr>
          <w:rFonts w:ascii="Times New Roman" w:eastAsia="바탕" w:hAnsi="Times New Roman" w:cs="Times New Roman" w:hint="eastAsia"/>
          <w:bCs/>
          <w:sz w:val="24"/>
          <w:szCs w:val="16"/>
        </w:rPr>
        <w:t xml:space="preserve"> </w:t>
      </w:r>
      <w:r>
        <w:rPr>
          <w:rFonts w:ascii="Times New Roman" w:eastAsia="바탕" w:hAnsi="Times New Roman" w:cs="Times New Roman"/>
          <w:bCs/>
          <w:sz w:val="24"/>
          <w:szCs w:val="16"/>
        </w:rPr>
        <w:t>E</w:t>
      </w:r>
      <w:bookmarkStart w:id="0" w:name="_GoBack"/>
      <w:bookmarkEnd w:id="0"/>
      <w:r w:rsidRPr="00BC2917">
        <w:rPr>
          <w:rFonts w:ascii="Times New Roman" w:eastAsia="바탕" w:hAnsi="Times New Roman" w:cs="Times New Roman"/>
          <w:bCs/>
          <w:sz w:val="24"/>
          <w:szCs w:val="16"/>
        </w:rPr>
        <w:t xml:space="preserve">xamination of </w:t>
      </w:r>
      <w:proofErr w:type="spellStart"/>
      <w:r w:rsidRPr="00BC2917">
        <w:rPr>
          <w:rFonts w:ascii="Times New Roman" w:eastAsia="바탕" w:hAnsi="Times New Roman" w:cs="Times New Roman"/>
          <w:bCs/>
          <w:sz w:val="24"/>
          <w:szCs w:val="16"/>
        </w:rPr>
        <w:t>mHtt</w:t>
      </w:r>
      <w:proofErr w:type="spellEnd"/>
      <w:r w:rsidRPr="00BC2917">
        <w:rPr>
          <w:rFonts w:ascii="Times New Roman" w:eastAsia="바탕" w:hAnsi="Times New Roman" w:cs="Times New Roman"/>
          <w:bCs/>
          <w:sz w:val="24"/>
          <w:szCs w:val="16"/>
        </w:rPr>
        <w:t xml:space="preserve"> aggregation of parabionts by dot blot analysis. </w:t>
      </w:r>
      <w:proofErr w:type="gramStart"/>
      <w:r w:rsidRPr="00BC2917">
        <w:rPr>
          <w:rFonts w:ascii="Times New Roman" w:eastAsia="바탕" w:hAnsi="Times New Roman" w:cs="Times New Roman"/>
          <w:b/>
          <w:bCs/>
          <w:sz w:val="24"/>
          <w:szCs w:val="16"/>
        </w:rPr>
        <w:t>b</w:t>
      </w:r>
      <w:proofErr w:type="gramEnd"/>
      <w:r w:rsidRPr="00BC2917">
        <w:rPr>
          <w:rFonts w:ascii="Times New Roman" w:eastAsia="바탕" w:hAnsi="Times New Roman" w:cs="Times New Roman"/>
          <w:bCs/>
          <w:sz w:val="24"/>
          <w:szCs w:val="16"/>
        </w:rPr>
        <w:t xml:space="preserve"> Improvement of mitochondrial dysfunction. </w:t>
      </w:r>
      <w:proofErr w:type="gramStart"/>
      <w:r w:rsidRPr="00BC2917">
        <w:rPr>
          <w:rFonts w:ascii="Times New Roman" w:eastAsia="바탕" w:hAnsi="Times New Roman" w:cs="Times New Roman"/>
          <w:b/>
          <w:bCs/>
          <w:sz w:val="24"/>
          <w:szCs w:val="16"/>
        </w:rPr>
        <w:t>c</w:t>
      </w:r>
      <w:proofErr w:type="gramEnd"/>
      <w:r w:rsidRPr="00BC2917">
        <w:rPr>
          <w:rFonts w:ascii="Times New Roman" w:eastAsia="바탕" w:hAnsi="Times New Roman" w:cs="Times New Roman"/>
          <w:bCs/>
          <w:sz w:val="24"/>
          <w:szCs w:val="16"/>
        </w:rPr>
        <w:t xml:space="preserve"> Modulation of cell death.</w:t>
      </w:r>
    </w:p>
    <w:sectPr w:rsidR="008B0FA7" w:rsidRPr="00BC291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39614D"/>
    <w:rsid w:val="0071744D"/>
    <w:rsid w:val="008B0FA7"/>
    <w:rsid w:val="00BC2917"/>
    <w:rsid w:val="00D0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2020-06-18T15:44:00Z</dcterms:created>
  <dcterms:modified xsi:type="dcterms:W3CDTF">2020-06-18T15:44:00Z</dcterms:modified>
</cp:coreProperties>
</file>