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9F19" w14:textId="7B7B83BD" w:rsidR="00DA5BFD" w:rsidRDefault="00DA5BFD">
      <w:r w:rsidRPr="00DA5BFD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A5BFD">
        <w:rPr>
          <w:rFonts w:ascii="Times New Roman" w:hAnsi="Times New Roman" w:cs="Times New Roman"/>
          <w:b/>
          <w:bCs/>
          <w:sz w:val="24"/>
          <w:szCs w:val="24"/>
        </w:rPr>
        <w:t xml:space="preserve">rices for </w:t>
      </w:r>
      <w:r w:rsidR="00FC299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DA5BFD">
        <w:rPr>
          <w:rFonts w:ascii="Times New Roman" w:hAnsi="Times New Roman" w:cs="Times New Roman"/>
          <w:b/>
          <w:bCs/>
          <w:sz w:val="24"/>
          <w:szCs w:val="24"/>
        </w:rPr>
        <w:t>alculat</w:t>
      </w:r>
      <w:r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Pr="00DA5B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29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A5BFD">
        <w:rPr>
          <w:rFonts w:ascii="Times New Roman" w:hAnsi="Times New Roman" w:cs="Times New Roman"/>
          <w:b/>
          <w:bCs/>
          <w:sz w:val="24"/>
          <w:szCs w:val="24"/>
        </w:rPr>
        <w:t xml:space="preserve">umulative </w:t>
      </w:r>
      <w:r w:rsidR="00FC299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A5BFD">
        <w:rPr>
          <w:rFonts w:ascii="Times New Roman" w:hAnsi="Times New Roman" w:cs="Times New Roman"/>
          <w:b/>
          <w:bCs/>
          <w:sz w:val="24"/>
          <w:szCs w:val="24"/>
        </w:rPr>
        <w:t xml:space="preserve">rug </w:t>
      </w:r>
      <w:r w:rsidR="00FC29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A5BFD">
        <w:rPr>
          <w:rFonts w:ascii="Times New Roman" w:hAnsi="Times New Roman" w:cs="Times New Roman"/>
          <w:b/>
          <w:bCs/>
          <w:sz w:val="24"/>
          <w:szCs w:val="24"/>
        </w:rPr>
        <w:t>osts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1417"/>
        <w:gridCol w:w="1559"/>
      </w:tblGrid>
      <w:tr w:rsidR="00A51C5A" w:rsidRPr="00DA5BFD" w14:paraId="6430DB51" w14:textId="77777777" w:rsidTr="00401606">
        <w:trPr>
          <w:trHeight w:val="37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23CFDD" w14:textId="77777777" w:rsidR="00A51C5A" w:rsidRPr="00DA5BFD" w:rsidRDefault="00A51C5A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EA2833" w14:textId="77777777" w:rsidR="00A51C5A" w:rsidRPr="00DA5BFD" w:rsidRDefault="00A51C5A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152157" w14:textId="3828CB0C" w:rsidR="00A51C5A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      yen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ACE743" w14:textId="7410728A" w:rsidR="00A51C5A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     US $*</w:t>
            </w:r>
          </w:p>
        </w:tc>
      </w:tr>
      <w:tr w:rsidR="00DB3F44" w:rsidRPr="00DA5BFD" w14:paraId="46ABE182" w14:textId="77777777" w:rsidTr="00401606">
        <w:trPr>
          <w:trHeight w:val="375"/>
        </w:trPr>
        <w:tc>
          <w:tcPr>
            <w:tcW w:w="3828" w:type="dxa"/>
            <w:tcBorders>
              <w:top w:val="single" w:sz="4" w:space="0" w:color="auto"/>
            </w:tcBorders>
            <w:noWrap/>
            <w:hideMark/>
          </w:tcPr>
          <w:p w14:paraId="415A946F" w14:textId="67D49605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Tacrolimus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AFD3047" w14:textId="1FA9F030" w:rsidR="00DB3F44" w:rsidRPr="00DA5BFD" w:rsidRDefault="007C631E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6E31F858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453.2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E113F08" w14:textId="6681C88F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</w:tr>
      <w:tr w:rsidR="00DB3F44" w:rsidRPr="00DA5BFD" w14:paraId="4585849B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4AF71CA1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Azathioprine</w:t>
            </w:r>
          </w:p>
        </w:tc>
        <w:tc>
          <w:tcPr>
            <w:tcW w:w="1134" w:type="dxa"/>
            <w:noWrap/>
            <w:hideMark/>
          </w:tcPr>
          <w:p w14:paraId="0512359E" w14:textId="55701FC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269F9BCF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1559" w:type="dxa"/>
            <w:noWrap/>
            <w:hideMark/>
          </w:tcPr>
          <w:p w14:paraId="54290A85" w14:textId="1BF80BAA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DB3F44" w:rsidRPr="00DA5BFD" w14:paraId="5809BDE1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2E3D048D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6-melcaptopurine</w:t>
            </w:r>
          </w:p>
        </w:tc>
        <w:tc>
          <w:tcPr>
            <w:tcW w:w="1134" w:type="dxa"/>
            <w:noWrap/>
            <w:hideMark/>
          </w:tcPr>
          <w:p w14:paraId="75E471AE" w14:textId="6DA62C4C" w:rsidR="00DB3F44" w:rsidRPr="00DA5BFD" w:rsidRDefault="00CC5329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57EA25F5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  <w:tc>
          <w:tcPr>
            <w:tcW w:w="1559" w:type="dxa"/>
            <w:noWrap/>
            <w:hideMark/>
          </w:tcPr>
          <w:p w14:paraId="4CBF0AAF" w14:textId="15E439F3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DB3F44" w:rsidRPr="00DA5BFD" w14:paraId="2CC24891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08C64692" w14:textId="4367C350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pH-dependent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 xml:space="preserve"> mesalazine</w:t>
            </w:r>
          </w:p>
        </w:tc>
        <w:tc>
          <w:tcPr>
            <w:tcW w:w="1134" w:type="dxa"/>
            <w:noWrap/>
            <w:hideMark/>
          </w:tcPr>
          <w:p w14:paraId="398DFCBF" w14:textId="497FF3ED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1725FD96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1559" w:type="dxa"/>
            <w:noWrap/>
            <w:hideMark/>
          </w:tcPr>
          <w:p w14:paraId="277E20EF" w14:textId="6F8FD3CD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DB3F44" w:rsidRPr="00DA5BFD" w14:paraId="7A6C9B01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3466B10D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time-dependent mesalazine</w:t>
            </w:r>
          </w:p>
        </w:tc>
        <w:tc>
          <w:tcPr>
            <w:tcW w:w="1134" w:type="dxa"/>
            <w:noWrap/>
            <w:hideMark/>
          </w:tcPr>
          <w:p w14:paraId="62A31969" w14:textId="4CBDB4BF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2612BB3F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</w:tc>
        <w:tc>
          <w:tcPr>
            <w:tcW w:w="1559" w:type="dxa"/>
            <w:noWrap/>
            <w:hideMark/>
          </w:tcPr>
          <w:p w14:paraId="37A61B28" w14:textId="7BBD45F9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DB3F44" w:rsidRPr="00DA5BFD" w14:paraId="39D1DC98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33836E86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MMX time-dependent mesalazine</w:t>
            </w:r>
          </w:p>
        </w:tc>
        <w:tc>
          <w:tcPr>
            <w:tcW w:w="1134" w:type="dxa"/>
            <w:noWrap/>
            <w:hideMark/>
          </w:tcPr>
          <w:p w14:paraId="5433D994" w14:textId="24CBE193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642EE6DE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166.6</w:t>
            </w:r>
          </w:p>
        </w:tc>
        <w:tc>
          <w:tcPr>
            <w:tcW w:w="1559" w:type="dxa"/>
            <w:noWrap/>
            <w:hideMark/>
          </w:tcPr>
          <w:p w14:paraId="765BC643" w14:textId="27324DE1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</w:tr>
      <w:tr w:rsidR="00DB3F44" w:rsidRPr="00DA5BFD" w14:paraId="61015452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43088E8E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Salazosulfapyridine</w:t>
            </w:r>
          </w:p>
        </w:tc>
        <w:tc>
          <w:tcPr>
            <w:tcW w:w="1134" w:type="dxa"/>
            <w:noWrap/>
            <w:hideMark/>
          </w:tcPr>
          <w:p w14:paraId="3A51C789" w14:textId="3C99843E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6E60A676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559" w:type="dxa"/>
            <w:noWrap/>
            <w:hideMark/>
          </w:tcPr>
          <w:p w14:paraId="0CDEF8F4" w14:textId="4FE28448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DB3F44" w:rsidRPr="00DA5BFD" w14:paraId="7C1D1681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0B0CCA06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Infliximab</w:t>
            </w:r>
          </w:p>
        </w:tc>
        <w:tc>
          <w:tcPr>
            <w:tcW w:w="1134" w:type="dxa"/>
            <w:noWrap/>
            <w:hideMark/>
          </w:tcPr>
          <w:p w14:paraId="04AF01CE" w14:textId="68730F12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48E4E319" w14:textId="23633EDC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559" w:type="dxa"/>
            <w:noWrap/>
            <w:hideMark/>
          </w:tcPr>
          <w:p w14:paraId="0FE916D1" w14:textId="3FF9AC4D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431.78</w:t>
            </w:r>
          </w:p>
        </w:tc>
      </w:tr>
      <w:tr w:rsidR="00DB3F44" w:rsidRPr="00DA5BFD" w14:paraId="2E552D01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02F5571E" w14:textId="59543898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Adalimumab</w:t>
            </w:r>
          </w:p>
        </w:tc>
        <w:tc>
          <w:tcPr>
            <w:tcW w:w="1134" w:type="dxa"/>
            <w:noWrap/>
            <w:hideMark/>
          </w:tcPr>
          <w:p w14:paraId="191BBDF1" w14:textId="2116097F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58528830" w14:textId="56117EA6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559" w:type="dxa"/>
            <w:noWrap/>
            <w:hideMark/>
          </w:tcPr>
          <w:p w14:paraId="713F8EC6" w14:textId="6853E042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365.75</w:t>
            </w:r>
          </w:p>
        </w:tc>
      </w:tr>
      <w:tr w:rsidR="00DB3F44" w:rsidRPr="00DA5BFD" w14:paraId="39F24A3C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14AC4892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Golimumab</w:t>
            </w:r>
          </w:p>
        </w:tc>
        <w:tc>
          <w:tcPr>
            <w:tcW w:w="1134" w:type="dxa"/>
            <w:noWrap/>
            <w:hideMark/>
          </w:tcPr>
          <w:p w14:paraId="3068CE46" w14:textId="65770C73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3FBE26FA" w14:textId="4054B273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559" w:type="dxa"/>
            <w:noWrap/>
            <w:hideMark/>
          </w:tcPr>
          <w:p w14:paraId="7CEA0C99" w14:textId="74CF3F75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784.10</w:t>
            </w:r>
          </w:p>
        </w:tc>
      </w:tr>
      <w:tr w:rsidR="00DB3F44" w:rsidRPr="00DA5BFD" w14:paraId="597E48E5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1F16B4FE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Vedolizumab</w:t>
            </w:r>
          </w:p>
        </w:tc>
        <w:tc>
          <w:tcPr>
            <w:tcW w:w="1134" w:type="dxa"/>
            <w:noWrap/>
            <w:hideMark/>
          </w:tcPr>
          <w:p w14:paraId="452A3BE8" w14:textId="2325844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0048FFA3" w14:textId="2DDC389A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559" w:type="dxa"/>
            <w:noWrap/>
            <w:hideMark/>
          </w:tcPr>
          <w:p w14:paraId="0B83C737" w14:textId="33A9078B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004.11</w:t>
            </w:r>
          </w:p>
        </w:tc>
      </w:tr>
      <w:tr w:rsidR="00DB3F44" w:rsidRPr="00DA5BFD" w14:paraId="510609A4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5CBF5F15" w14:textId="6167E280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Ustekinumab, intravenous infusion</w:t>
            </w:r>
          </w:p>
        </w:tc>
        <w:tc>
          <w:tcPr>
            <w:tcW w:w="1134" w:type="dxa"/>
            <w:noWrap/>
            <w:hideMark/>
          </w:tcPr>
          <w:p w14:paraId="34AF9ABF" w14:textId="71504BDE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0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4FD05D5D" w14:textId="73CF2883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9" w:type="dxa"/>
            <w:noWrap/>
            <w:hideMark/>
          </w:tcPr>
          <w:p w14:paraId="079A99AC" w14:textId="3C71E010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378.22</w:t>
            </w:r>
          </w:p>
        </w:tc>
      </w:tr>
      <w:tr w:rsidR="00DB3F44" w:rsidRPr="00DA5BFD" w14:paraId="3C58BC2C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6FACAE38" w14:textId="4B0F9551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Ustekinumab, subcutaneous injection</w:t>
            </w:r>
          </w:p>
        </w:tc>
        <w:tc>
          <w:tcPr>
            <w:tcW w:w="1134" w:type="dxa"/>
            <w:noWrap/>
            <w:hideMark/>
          </w:tcPr>
          <w:p w14:paraId="4EA48BC9" w14:textId="307B66B4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631E">
              <w:rPr>
                <w:rFonts w:ascii="Times New Roman" w:hAnsi="Times New Roman" w:cs="Times New Roman"/>
                <w:sz w:val="24"/>
                <w:szCs w:val="24"/>
              </w:rPr>
              <w:t>5 m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19937829" w14:textId="5D1D4E2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559" w:type="dxa"/>
            <w:noWrap/>
            <w:hideMark/>
          </w:tcPr>
          <w:p w14:paraId="49758413" w14:textId="27A9D4F9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725.64</w:t>
            </w:r>
          </w:p>
        </w:tc>
      </w:tr>
      <w:tr w:rsidR="00DB3F44" w:rsidRPr="00DA5BFD" w14:paraId="4B4A59E3" w14:textId="77777777" w:rsidTr="00401606">
        <w:trPr>
          <w:trHeight w:val="375"/>
        </w:trPr>
        <w:tc>
          <w:tcPr>
            <w:tcW w:w="3828" w:type="dxa"/>
            <w:noWrap/>
            <w:hideMark/>
          </w:tcPr>
          <w:p w14:paraId="3337B3B6" w14:textId="77777777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Tofacitinib</w:t>
            </w:r>
          </w:p>
        </w:tc>
        <w:tc>
          <w:tcPr>
            <w:tcW w:w="1134" w:type="dxa"/>
            <w:noWrap/>
            <w:hideMark/>
          </w:tcPr>
          <w:p w14:paraId="7AF60AC8" w14:textId="091FE654" w:rsidR="00DB3F44" w:rsidRPr="00DA5BFD" w:rsidRDefault="007C631E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17" w:type="dxa"/>
            <w:noWrap/>
            <w:hideMark/>
          </w:tcPr>
          <w:p w14:paraId="4C08874D" w14:textId="1746CDF2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659.9</w:t>
            </w:r>
          </w:p>
        </w:tc>
        <w:tc>
          <w:tcPr>
            <w:tcW w:w="1559" w:type="dxa"/>
            <w:noWrap/>
            <w:hideMark/>
          </w:tcPr>
          <w:p w14:paraId="7E3B7D7F" w14:textId="2985AC02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</w:tr>
      <w:tr w:rsidR="00DB3F44" w:rsidRPr="00DA5BFD" w14:paraId="416B7B5A" w14:textId="77777777" w:rsidTr="00401606">
        <w:trPr>
          <w:trHeight w:val="375"/>
        </w:trPr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14:paraId="7E6730E7" w14:textId="03961B6B" w:rsidR="00DB3F44" w:rsidRPr="00DA5BFD" w:rsidRDefault="00DB3F44" w:rsidP="00D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Apheresis (Adacolumn</w:t>
            </w:r>
            <w:r w:rsidRPr="00DA5B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7CC0D25" w14:textId="77777777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 column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4A212EC4" w14:textId="29BD519C" w:rsidR="00DB3F44" w:rsidRPr="00DA5BFD" w:rsidRDefault="00DB3F44" w:rsidP="00DA5B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4016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760BE560" w14:textId="4BE19E60" w:rsidR="00DB3F44" w:rsidRPr="00DA5BFD" w:rsidRDefault="00A51C5A" w:rsidP="00DA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F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DB3F44" w:rsidRPr="00DA5BFD">
              <w:rPr>
                <w:rFonts w:ascii="Times New Roman" w:hAnsi="Times New Roman" w:cs="Times New Roman"/>
                <w:sz w:val="24"/>
                <w:szCs w:val="24"/>
              </w:rPr>
              <w:t>874.55</w:t>
            </w:r>
          </w:p>
        </w:tc>
      </w:tr>
    </w:tbl>
    <w:p w14:paraId="3C02DF5E" w14:textId="210CB431" w:rsidR="00DB3F44" w:rsidRPr="00DA5BFD" w:rsidRDefault="00DB3F44" w:rsidP="00DB3F44">
      <w:pPr>
        <w:rPr>
          <w:rFonts w:ascii="Times New Roman" w:hAnsi="Times New Roman" w:cs="Times New Roman"/>
          <w:sz w:val="24"/>
          <w:szCs w:val="24"/>
        </w:rPr>
      </w:pPr>
      <w:r w:rsidRPr="00DA5BFD">
        <w:rPr>
          <w:rFonts w:ascii="Times New Roman" w:hAnsi="Times New Roman" w:cs="Times New Roman"/>
          <w:sz w:val="24"/>
          <w:szCs w:val="24"/>
        </w:rPr>
        <w:t xml:space="preserve">* The exchange rate </w:t>
      </w:r>
      <w:r w:rsidR="007C631E">
        <w:rPr>
          <w:rFonts w:ascii="Times New Roman" w:hAnsi="Times New Roman" w:cs="Times New Roman"/>
          <w:sz w:val="24"/>
          <w:szCs w:val="24"/>
        </w:rPr>
        <w:t xml:space="preserve">was </w:t>
      </w:r>
      <w:r w:rsidR="00A51C5A" w:rsidRPr="00DA5BFD">
        <w:rPr>
          <w:rFonts w:ascii="Times New Roman" w:hAnsi="Times New Roman" w:cs="Times New Roman"/>
          <w:sz w:val="24"/>
          <w:szCs w:val="24"/>
        </w:rPr>
        <w:t>US $</w:t>
      </w:r>
      <w:r w:rsidRPr="00DA5BFD">
        <w:rPr>
          <w:rFonts w:ascii="Times New Roman" w:hAnsi="Times New Roman" w:cs="Times New Roman"/>
          <w:sz w:val="24"/>
          <w:szCs w:val="24"/>
        </w:rPr>
        <w:t>1</w:t>
      </w:r>
      <w:r w:rsidR="0003060B" w:rsidRPr="00DA5BFD">
        <w:rPr>
          <w:rFonts w:ascii="Times New Roman" w:hAnsi="Times New Roman" w:cs="Times New Roman"/>
          <w:sz w:val="24"/>
          <w:szCs w:val="24"/>
        </w:rPr>
        <w:t xml:space="preserve"> </w:t>
      </w:r>
      <w:r w:rsidRPr="00DA5BFD">
        <w:rPr>
          <w:rFonts w:ascii="Times New Roman" w:hAnsi="Times New Roman" w:cs="Times New Roman"/>
          <w:sz w:val="24"/>
          <w:szCs w:val="24"/>
        </w:rPr>
        <w:t>= 139.5 yen</w:t>
      </w:r>
      <w:r w:rsidR="0003060B" w:rsidRPr="00DA5BFD">
        <w:rPr>
          <w:rFonts w:ascii="Times New Roman" w:hAnsi="Times New Roman" w:cs="Times New Roman"/>
          <w:sz w:val="24"/>
          <w:szCs w:val="24"/>
        </w:rPr>
        <w:t xml:space="preserve"> </w:t>
      </w:r>
      <w:r w:rsidR="007C631E">
        <w:rPr>
          <w:rFonts w:ascii="Times New Roman" w:hAnsi="Times New Roman" w:cs="Times New Roman"/>
          <w:sz w:val="24"/>
          <w:szCs w:val="24"/>
        </w:rPr>
        <w:t xml:space="preserve">in </w:t>
      </w:r>
      <w:r w:rsidR="0003060B" w:rsidRPr="00DA5BFD">
        <w:rPr>
          <w:rFonts w:ascii="Times New Roman" w:hAnsi="Times New Roman" w:cs="Times New Roman"/>
          <w:sz w:val="24"/>
          <w:szCs w:val="24"/>
        </w:rPr>
        <w:t>March 2022</w:t>
      </w:r>
      <w:r w:rsidRPr="00DA5BF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B3F44" w:rsidRPr="00DA5B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44"/>
    <w:rsid w:val="0003060B"/>
    <w:rsid w:val="0035069E"/>
    <w:rsid w:val="00401606"/>
    <w:rsid w:val="00511EA8"/>
    <w:rsid w:val="00544F33"/>
    <w:rsid w:val="00573EC9"/>
    <w:rsid w:val="007C631E"/>
    <w:rsid w:val="009D3033"/>
    <w:rsid w:val="00A13A4D"/>
    <w:rsid w:val="00A51C5A"/>
    <w:rsid w:val="00B446E2"/>
    <w:rsid w:val="00CC5329"/>
    <w:rsid w:val="00DA5BFD"/>
    <w:rsid w:val="00DB3F44"/>
    <w:rsid w:val="00FC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2BFEAD"/>
  <w15:chartTrackingRefBased/>
  <w15:docId w15:val="{457D446B-4384-4A62-AEC4-18C7075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F44"/>
    <w:pPr>
      <w:widowControl w:val="0"/>
      <w:jc w:val="both"/>
    </w:pPr>
  </w:style>
  <w:style w:type="table" w:styleId="a4">
    <w:name w:val="Table Grid"/>
    <w:basedOn w:val="a1"/>
    <w:uiPriority w:val="39"/>
    <w:rsid w:val="00DB3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B3F4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DB3F44"/>
    <w:rPr>
      <w:sz w:val="20"/>
      <w:szCs w:val="20"/>
      <w14:ligatures w14:val="none"/>
    </w:rPr>
  </w:style>
  <w:style w:type="character" w:customStyle="1" w:styleId="a7">
    <w:name w:val="コメント文字列 (文字)"/>
    <w:basedOn w:val="a0"/>
    <w:link w:val="a6"/>
    <w:uiPriority w:val="99"/>
    <w:rsid w:val="00DB3F44"/>
    <w:rPr>
      <w:sz w:val="20"/>
      <w:szCs w:val="20"/>
      <w14:ligatures w14:val="none"/>
    </w:rPr>
  </w:style>
  <w:style w:type="paragraph" w:styleId="a8">
    <w:name w:val="Revision"/>
    <w:hidden/>
    <w:uiPriority w:val="99"/>
    <w:semiHidden/>
    <w:rsid w:val="00DA5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7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Sakiko Hiraoka</dc:creator>
  <cp:keywords/>
  <dc:description/>
  <cp:lastModifiedBy>翔子 井川</cp:lastModifiedBy>
  <cp:revision>3</cp:revision>
  <dcterms:created xsi:type="dcterms:W3CDTF">2023-09-23T13:50:00Z</dcterms:created>
  <dcterms:modified xsi:type="dcterms:W3CDTF">2023-11-09T11:36:00Z</dcterms:modified>
</cp:coreProperties>
</file>