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6F291" w14:textId="65143995" w:rsidR="00757D3B" w:rsidRDefault="00757D3B" w:rsidP="00DF0762">
      <w:pPr>
        <w:tabs>
          <w:tab w:val="num" w:pos="720"/>
        </w:tabs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  <w:u w:val="single"/>
        </w:rPr>
        <w:t>Supplementary data</w:t>
      </w:r>
    </w:p>
    <w:bookmarkEnd w:id="0"/>
    <w:p w14:paraId="4E0ED0BD" w14:textId="07B8B0E5" w:rsidR="003B5BD1" w:rsidRDefault="003B5BD1" w:rsidP="003B5BD1">
      <w:pPr>
        <w:tabs>
          <w:tab w:val="num" w:pos="720"/>
        </w:tabs>
        <w:ind w:left="720" w:hanging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5BD1">
        <w:rPr>
          <w:rFonts w:ascii="Times New Roman" w:hAnsi="Times New Roman" w:cs="Times New Roman"/>
          <w:b/>
          <w:sz w:val="24"/>
          <w:szCs w:val="24"/>
          <w:u w:val="single"/>
        </w:rPr>
        <w:t>Validating the pipeline to map the quality RNA-Seq reads</w:t>
      </w:r>
    </w:p>
    <w:p w14:paraId="296ACB56" w14:textId="3B4E0EBF" w:rsidR="003B5BD1" w:rsidRPr="007F054B" w:rsidRDefault="003B5BD1" w:rsidP="007F054B">
      <w:pPr>
        <w:tabs>
          <w:tab w:val="num" w:pos="72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pipeline was validated by having the fold-change values from the pipeline benchmarked against the published fold-change values.</w:t>
      </w:r>
      <w:r w:rsidR="00D46F54">
        <w:rPr>
          <w:rFonts w:ascii="Times New Roman" w:hAnsi="Times New Roman" w:cs="Times New Roman"/>
          <w:sz w:val="24"/>
          <w:szCs w:val="24"/>
        </w:rPr>
        <w:t xml:space="preserve"> This is illustrated using one project accession</w:t>
      </w:r>
      <w:r w:rsidR="00E54C9F">
        <w:rPr>
          <w:rFonts w:ascii="Times New Roman" w:hAnsi="Times New Roman" w:cs="Times New Roman"/>
          <w:sz w:val="24"/>
          <w:szCs w:val="24"/>
        </w:rPr>
        <w:t>. We selected heat stress (HT) verses normal temperature (NT) for the comparison</w:t>
      </w:r>
    </w:p>
    <w:p w14:paraId="01077292" w14:textId="77777777" w:rsidR="003B5BD1" w:rsidRPr="003B5BD1" w:rsidRDefault="003B5BD1" w:rsidP="003B5BD1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NCBI BioProject Accession: PRJNA645274</w:t>
      </w:r>
    </w:p>
    <w:p w14:paraId="15C2F3BA" w14:textId="77777777" w:rsidR="003B5BD1" w:rsidRPr="003B5BD1" w:rsidRDefault="003B5BD1" w:rsidP="003B5BD1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PudMed ID: 32756433 (doi: </w:t>
      </w:r>
      <w:hyperlink r:id="rId8" w:history="1">
        <w:r w:rsidRPr="003B5BD1">
          <w:rPr>
            <w:rStyle w:val="Hyperlink"/>
            <w:rFonts w:eastAsiaTheme="minorEastAsia"/>
            <w:color w:val="000000" w:themeColor="text1"/>
            <w:kern w:val="24"/>
          </w:rPr>
          <w:t>10.3390/genes11080881</w:t>
        </w:r>
      </w:hyperlink>
      <w:r w:rsidRPr="003B5BD1">
        <w:rPr>
          <w:rFonts w:eastAsiaTheme="minorEastAsia"/>
          <w:color w:val="000000" w:themeColor="text1"/>
          <w:kern w:val="24"/>
          <w:u w:val="single"/>
        </w:rPr>
        <w:t>)</w:t>
      </w:r>
    </w:p>
    <w:p w14:paraId="730CF23F" w14:textId="77777777" w:rsidR="003B5BD1" w:rsidRPr="003B5BD1" w:rsidRDefault="003B5BD1" w:rsidP="003B5BD1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Publication year: 2020, reads previously mapped to B73v4</w:t>
      </w:r>
    </w:p>
    <w:p w14:paraId="52B651C2" w14:textId="77777777" w:rsidR="003B5BD1" w:rsidRPr="003B5BD1" w:rsidRDefault="003B5BD1" w:rsidP="003B5BD1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Number of bioreps: 3</w:t>
      </w:r>
    </w:p>
    <w:p w14:paraId="376B733E" w14:textId="77777777" w:rsidR="003B5BD1" w:rsidRPr="003B5BD1" w:rsidRDefault="003B5BD1" w:rsidP="003B5BD1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Number of libraries: 42</w:t>
      </w:r>
    </w:p>
    <w:p w14:paraId="3030DD5A" w14:textId="77777777" w:rsidR="003B5BD1" w:rsidRPr="003B5BD1" w:rsidRDefault="003B5BD1" w:rsidP="003B5BD1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Reads mapped by MaizeGDB to Zm-B73-REFERENCE-NAM-5.0 (January, 2023)</w:t>
      </w:r>
    </w:p>
    <w:p w14:paraId="5DA898A4" w14:textId="77777777" w:rsidR="003B5BD1" w:rsidRPr="003B5BD1" w:rsidRDefault="003B5BD1" w:rsidP="007F054B">
      <w:pPr>
        <w:pStyle w:val="ListParagraph"/>
        <w:numPr>
          <w:ilvl w:val="0"/>
          <w:numId w:val="1"/>
        </w:numPr>
      </w:pPr>
      <w:r w:rsidRPr="003B5BD1">
        <w:rPr>
          <w:rFonts w:eastAsiaTheme="minorEastAsia"/>
          <w:color w:val="000000" w:themeColor="text1"/>
          <w:kern w:val="24"/>
        </w:rPr>
        <w:t>Stress type: Cold and heat stress (control and treatment groups)</w:t>
      </w:r>
    </w:p>
    <w:p w14:paraId="27F4A857" w14:textId="77777777" w:rsidR="003B5BD1" w:rsidRPr="003B5BD1" w:rsidRDefault="003B5BD1" w:rsidP="003B5BD1">
      <w:pPr>
        <w:pStyle w:val="NormalWeb"/>
        <w:spacing w:before="0" w:beforeAutospacing="0" w:after="0" w:afterAutospacing="0"/>
      </w:pPr>
      <w:r w:rsidRPr="003B5BD1">
        <w:rPr>
          <w:rFonts w:eastAsiaTheme="minorEastAsia"/>
          <w:b/>
          <w:bCs/>
          <w:color w:val="000000" w:themeColor="text1"/>
          <w:kern w:val="24"/>
          <w:u w:val="single"/>
        </w:rPr>
        <w:t>Experimental conditions (all stress imposed for 2 hrs)</w:t>
      </w:r>
    </w:p>
    <w:p w14:paraId="6FEAE67F" w14:textId="77777777" w:rsidR="007F054B" w:rsidRPr="007F054B" w:rsidRDefault="003B5BD1" w:rsidP="007F054B">
      <w:pPr>
        <w:pStyle w:val="ListParagraph"/>
        <w:numPr>
          <w:ilvl w:val="0"/>
          <w:numId w:val="2"/>
        </w:numPr>
      </w:pPr>
      <w:r w:rsidRPr="003B5BD1">
        <w:rPr>
          <w:rFonts w:eastAsiaTheme="minorEastAsia"/>
          <w:color w:val="000000" w:themeColor="text1"/>
          <w:kern w:val="24"/>
        </w:rPr>
        <w:t xml:space="preserve">Extreme low temperature (ELT) – 4 </w:t>
      </w:r>
      <w:r w:rsidRPr="003B5BD1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3B5BD1">
        <w:rPr>
          <w:rFonts w:eastAsiaTheme="minorEastAsia"/>
          <w:color w:val="000000" w:themeColor="text1"/>
          <w:kern w:val="24"/>
        </w:rPr>
        <w:t>C</w:t>
      </w:r>
    </w:p>
    <w:p w14:paraId="21998EA0" w14:textId="77777777" w:rsidR="003B5BD1" w:rsidRPr="003B5BD1" w:rsidRDefault="003B5BD1" w:rsidP="007F054B">
      <w:pPr>
        <w:pStyle w:val="ListParagraph"/>
        <w:numPr>
          <w:ilvl w:val="0"/>
          <w:numId w:val="2"/>
        </w:numPr>
      </w:pPr>
      <w:r w:rsidRPr="007F054B">
        <w:rPr>
          <w:rFonts w:eastAsiaTheme="minorEastAsia"/>
          <w:color w:val="000000" w:themeColor="text1"/>
          <w:kern w:val="24"/>
        </w:rPr>
        <w:t xml:space="preserve">Medium Low temperature (MLT) – 10 </w:t>
      </w:r>
      <w:r w:rsidRPr="007F054B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7F054B">
        <w:rPr>
          <w:rFonts w:eastAsiaTheme="minorEastAsia"/>
          <w:color w:val="000000" w:themeColor="text1"/>
          <w:kern w:val="24"/>
        </w:rPr>
        <w:t>C</w:t>
      </w:r>
    </w:p>
    <w:p w14:paraId="1B01469A" w14:textId="77777777" w:rsidR="003B5BD1" w:rsidRPr="003B5BD1" w:rsidRDefault="003B5BD1" w:rsidP="007F054B">
      <w:pPr>
        <w:pStyle w:val="ListParagraph"/>
        <w:numPr>
          <w:ilvl w:val="0"/>
          <w:numId w:val="2"/>
        </w:numPr>
      </w:pPr>
      <w:r w:rsidRPr="003B5BD1">
        <w:rPr>
          <w:rFonts w:eastAsiaTheme="minorEastAsia"/>
          <w:color w:val="000000" w:themeColor="text1"/>
          <w:kern w:val="24"/>
        </w:rPr>
        <w:t xml:space="preserve">Low temperature (LT) – 16 </w:t>
      </w:r>
      <w:r w:rsidRPr="003B5BD1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3B5BD1">
        <w:rPr>
          <w:rFonts w:eastAsiaTheme="minorEastAsia"/>
          <w:color w:val="000000" w:themeColor="text1"/>
          <w:kern w:val="24"/>
        </w:rPr>
        <w:t>C</w:t>
      </w:r>
    </w:p>
    <w:p w14:paraId="1AFE3772" w14:textId="77777777" w:rsidR="003B5BD1" w:rsidRPr="003B5BD1" w:rsidRDefault="003B5BD1" w:rsidP="007F054B">
      <w:pPr>
        <w:pStyle w:val="ListParagraph"/>
        <w:numPr>
          <w:ilvl w:val="0"/>
          <w:numId w:val="2"/>
        </w:numPr>
      </w:pPr>
      <w:r w:rsidRPr="003B5BD1">
        <w:rPr>
          <w:rFonts w:eastAsiaTheme="minorEastAsia"/>
          <w:color w:val="000000" w:themeColor="text1"/>
          <w:kern w:val="24"/>
        </w:rPr>
        <w:t xml:space="preserve">High temperature (HT) – 37 </w:t>
      </w:r>
      <w:r w:rsidRPr="003B5BD1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3B5BD1">
        <w:rPr>
          <w:rFonts w:eastAsiaTheme="minorEastAsia"/>
          <w:color w:val="000000" w:themeColor="text1"/>
          <w:kern w:val="24"/>
        </w:rPr>
        <w:t>C</w:t>
      </w:r>
    </w:p>
    <w:p w14:paraId="25A1DE6B" w14:textId="77777777" w:rsidR="003B5BD1" w:rsidRPr="003B5BD1" w:rsidRDefault="003B5BD1" w:rsidP="007F054B">
      <w:pPr>
        <w:pStyle w:val="ListParagraph"/>
        <w:numPr>
          <w:ilvl w:val="0"/>
          <w:numId w:val="2"/>
        </w:numPr>
      </w:pPr>
      <w:r w:rsidRPr="003B5BD1">
        <w:rPr>
          <w:rFonts w:eastAsiaTheme="minorEastAsia"/>
          <w:color w:val="000000" w:themeColor="text1"/>
          <w:kern w:val="24"/>
        </w:rPr>
        <w:t xml:space="preserve">Medium High temperature (MHT) - 42 </w:t>
      </w:r>
      <w:r w:rsidRPr="003B5BD1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3B5BD1">
        <w:rPr>
          <w:rFonts w:eastAsiaTheme="minorEastAsia"/>
          <w:color w:val="000000" w:themeColor="text1"/>
          <w:kern w:val="24"/>
        </w:rPr>
        <w:t>C</w:t>
      </w:r>
    </w:p>
    <w:p w14:paraId="4DDE65B8" w14:textId="77777777" w:rsidR="003B5BD1" w:rsidRPr="003B5BD1" w:rsidRDefault="003B5BD1" w:rsidP="007F054B">
      <w:pPr>
        <w:pStyle w:val="ListParagraph"/>
        <w:numPr>
          <w:ilvl w:val="0"/>
          <w:numId w:val="2"/>
        </w:numPr>
      </w:pPr>
      <w:r w:rsidRPr="003B5BD1">
        <w:rPr>
          <w:rFonts w:eastAsiaTheme="minorEastAsia"/>
          <w:color w:val="000000" w:themeColor="text1"/>
          <w:kern w:val="24"/>
        </w:rPr>
        <w:t xml:space="preserve">Extreme High temperature (EHT) – 48 </w:t>
      </w:r>
      <w:r w:rsidRPr="003B5BD1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3B5BD1">
        <w:rPr>
          <w:rFonts w:eastAsiaTheme="minorEastAsia"/>
          <w:color w:val="000000" w:themeColor="text1"/>
          <w:kern w:val="24"/>
        </w:rPr>
        <w:t>C</w:t>
      </w:r>
    </w:p>
    <w:p w14:paraId="39311912" w14:textId="62BF1FB3" w:rsidR="009428EF" w:rsidRPr="00E54C9F" w:rsidRDefault="003B5BD1" w:rsidP="00E54C9F">
      <w:pPr>
        <w:pStyle w:val="ListParagraph"/>
        <w:numPr>
          <w:ilvl w:val="0"/>
          <w:numId w:val="2"/>
        </w:numPr>
      </w:pPr>
      <w:r w:rsidRPr="003B5BD1">
        <w:rPr>
          <w:rFonts w:eastAsiaTheme="minorEastAsia"/>
          <w:color w:val="000000" w:themeColor="text1"/>
          <w:kern w:val="24"/>
        </w:rPr>
        <w:t xml:space="preserve">Normal temperature (NT) – 25 </w:t>
      </w:r>
      <w:r w:rsidRPr="003B5BD1">
        <w:rPr>
          <w:rFonts w:eastAsiaTheme="minorEastAsia"/>
          <w:color w:val="000000" w:themeColor="text1"/>
          <w:kern w:val="24"/>
          <w:position w:val="18"/>
          <w:vertAlign w:val="superscript"/>
        </w:rPr>
        <w:t>O</w:t>
      </w:r>
      <w:r w:rsidRPr="003B5BD1">
        <w:rPr>
          <w:rFonts w:eastAsiaTheme="minorEastAsia"/>
          <w:color w:val="000000" w:themeColor="text1"/>
          <w:kern w:val="24"/>
        </w:rPr>
        <w:t>C</w:t>
      </w:r>
    </w:p>
    <w:p w14:paraId="593007B1" w14:textId="77777777" w:rsidR="00E54C9F" w:rsidRPr="00E54C9F" w:rsidRDefault="00E54C9F" w:rsidP="00E54C9F">
      <w:pPr>
        <w:pStyle w:val="ListParagraph"/>
      </w:pPr>
    </w:p>
    <w:p w14:paraId="1D63294E" w14:textId="2BB9563A" w:rsidR="00D46F54" w:rsidRPr="00E54C9F" w:rsidRDefault="00D65776">
      <w:pPr>
        <w:rPr>
          <w:rFonts w:ascii="Times New Roman" w:hAnsi="Times New Roman" w:cs="Times New Roman"/>
          <w:b/>
        </w:rPr>
      </w:pPr>
      <w:r w:rsidRPr="00E54C9F">
        <w:rPr>
          <w:rFonts w:ascii="Times New Roman" w:hAnsi="Times New Roman" w:cs="Times New Roman"/>
          <w:b/>
        </w:rPr>
        <w:t xml:space="preserve">Supplementary Table 1. </w:t>
      </w:r>
      <w:r w:rsidR="00D46F54" w:rsidRPr="00E54C9F">
        <w:rPr>
          <w:rFonts w:ascii="Times New Roman" w:hAnsi="Times New Roman" w:cs="Times New Roman"/>
          <w:b/>
        </w:rPr>
        <w:t xml:space="preserve"> </w:t>
      </w:r>
      <w:r w:rsidRPr="00E54C9F">
        <w:rPr>
          <w:rFonts w:ascii="Times New Roman" w:hAnsi="Times New Roman" w:cs="Times New Roman"/>
          <w:b/>
        </w:rPr>
        <w:t>C</w:t>
      </w:r>
      <w:r w:rsidR="00D46F54" w:rsidRPr="00E54C9F">
        <w:rPr>
          <w:rFonts w:ascii="Times New Roman" w:hAnsi="Times New Roman" w:cs="Times New Roman"/>
          <w:b/>
        </w:rPr>
        <w:t>ompare the parameters from publication and our pipeline</w:t>
      </w:r>
    </w:p>
    <w:tbl>
      <w:tblPr>
        <w:tblStyle w:val="TableGrid"/>
        <w:tblpPr w:leftFromText="180" w:rightFromText="180" w:vertAnchor="text" w:horzAnchor="page" w:tblpX="1853" w:tblpY="24"/>
        <w:tblW w:w="0" w:type="auto"/>
        <w:tblLook w:val="04A0" w:firstRow="1" w:lastRow="0" w:firstColumn="1" w:lastColumn="0" w:noHBand="0" w:noVBand="1"/>
      </w:tblPr>
      <w:tblGrid>
        <w:gridCol w:w="1615"/>
        <w:gridCol w:w="1530"/>
        <w:gridCol w:w="1710"/>
      </w:tblGrid>
      <w:tr w:rsidR="00E54C9F" w14:paraId="49324E02" w14:textId="77777777" w:rsidTr="00E54C9F">
        <w:tc>
          <w:tcPr>
            <w:tcW w:w="1615" w:type="dxa"/>
          </w:tcPr>
          <w:p w14:paraId="7CDBD97B" w14:textId="77777777" w:rsidR="00E54C9F" w:rsidRPr="00D46F54" w:rsidRDefault="00E54C9F" w:rsidP="00E54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54">
              <w:rPr>
                <w:rFonts w:ascii="Times New Roman" w:hAnsi="Times New Roman" w:cs="Times New Roman"/>
                <w:b/>
                <w:sz w:val="24"/>
                <w:szCs w:val="24"/>
              </w:rPr>
              <w:t>Parameters</w:t>
            </w:r>
          </w:p>
        </w:tc>
        <w:tc>
          <w:tcPr>
            <w:tcW w:w="1530" w:type="dxa"/>
          </w:tcPr>
          <w:p w14:paraId="19332E89" w14:textId="77777777" w:rsidR="00E54C9F" w:rsidRPr="00D46F54" w:rsidRDefault="00E54C9F" w:rsidP="00E54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54">
              <w:rPr>
                <w:rFonts w:ascii="Times New Roman" w:hAnsi="Times New Roman" w:cs="Times New Roman"/>
                <w:b/>
                <w:sz w:val="24"/>
                <w:szCs w:val="24"/>
              </w:rPr>
              <w:t>Publication</w:t>
            </w:r>
          </w:p>
        </w:tc>
        <w:tc>
          <w:tcPr>
            <w:tcW w:w="1710" w:type="dxa"/>
          </w:tcPr>
          <w:p w14:paraId="5B8CF225" w14:textId="77777777" w:rsidR="00E54C9F" w:rsidRPr="00D46F54" w:rsidRDefault="00E54C9F" w:rsidP="00E54C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54">
              <w:rPr>
                <w:rFonts w:ascii="Times New Roman" w:hAnsi="Times New Roman" w:cs="Times New Roman"/>
                <w:b/>
                <w:sz w:val="24"/>
                <w:szCs w:val="24"/>
              </w:rPr>
              <w:t>Pipeline</w:t>
            </w:r>
          </w:p>
        </w:tc>
      </w:tr>
      <w:tr w:rsidR="00E54C9F" w14:paraId="7C9EB334" w14:textId="77777777" w:rsidTr="00E54C9F">
        <w:tc>
          <w:tcPr>
            <w:tcW w:w="1615" w:type="dxa"/>
          </w:tcPr>
          <w:p w14:paraId="29E77107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analysis</w:t>
            </w:r>
          </w:p>
        </w:tc>
        <w:tc>
          <w:tcPr>
            <w:tcW w:w="1530" w:type="dxa"/>
          </w:tcPr>
          <w:p w14:paraId="2EE7EC44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DESeq2</w:t>
            </w:r>
          </w:p>
        </w:tc>
        <w:tc>
          <w:tcPr>
            <w:tcW w:w="1710" w:type="dxa"/>
          </w:tcPr>
          <w:p w14:paraId="125FB490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EdgeR</w:t>
            </w:r>
          </w:p>
        </w:tc>
      </w:tr>
      <w:tr w:rsidR="00E54C9F" w14:paraId="01B967E8" w14:textId="77777777" w:rsidTr="00E54C9F">
        <w:tc>
          <w:tcPr>
            <w:tcW w:w="1615" w:type="dxa"/>
          </w:tcPr>
          <w:p w14:paraId="6F4DC940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Log2FC</w:t>
            </w:r>
          </w:p>
        </w:tc>
        <w:tc>
          <w:tcPr>
            <w:tcW w:w="1530" w:type="dxa"/>
          </w:tcPr>
          <w:p w14:paraId="162E83BB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color w:val="282828"/>
                <w:shd w:val="clear" w:color="auto" w:fill="F7F7F7"/>
              </w:rPr>
              <w:t>| ≥ 1</w:t>
            </w:r>
          </w:p>
        </w:tc>
        <w:tc>
          <w:tcPr>
            <w:tcW w:w="1710" w:type="dxa"/>
          </w:tcPr>
          <w:p w14:paraId="11804A91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/>
                <w:color w:val="282828"/>
                <w:shd w:val="clear" w:color="auto" w:fill="F7F7F7"/>
              </w:rPr>
              <w:t>| ≥ 1</w:t>
            </w:r>
          </w:p>
        </w:tc>
      </w:tr>
      <w:tr w:rsidR="00E54C9F" w14:paraId="10DB97CF" w14:textId="77777777" w:rsidTr="00E54C9F">
        <w:tc>
          <w:tcPr>
            <w:tcW w:w="1615" w:type="dxa"/>
          </w:tcPr>
          <w:p w14:paraId="40D3F0D8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530" w:type="dxa"/>
          </w:tcPr>
          <w:p w14:paraId="1DCB65D7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  <w:tc>
          <w:tcPr>
            <w:tcW w:w="1710" w:type="dxa"/>
          </w:tcPr>
          <w:p w14:paraId="1F0EABA5" w14:textId="77777777" w:rsidR="00E54C9F" w:rsidRDefault="00E54C9F" w:rsidP="00E54C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0.05</w:t>
            </w:r>
          </w:p>
        </w:tc>
      </w:tr>
    </w:tbl>
    <w:p w14:paraId="002DC564" w14:textId="7B04DFF4" w:rsidR="00E54C9F" w:rsidRPr="00D46F54" w:rsidRDefault="00E54C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A)</w:t>
      </w:r>
    </w:p>
    <w:p w14:paraId="0D2610EE" w14:textId="08643522" w:rsidR="009428EF" w:rsidRDefault="009428EF">
      <w:pPr>
        <w:rPr>
          <w:rFonts w:ascii="Times New Roman" w:hAnsi="Times New Roman" w:cs="Times New Roman"/>
          <w:sz w:val="24"/>
          <w:szCs w:val="24"/>
        </w:rPr>
      </w:pPr>
    </w:p>
    <w:p w14:paraId="07571573" w14:textId="5E4725B9" w:rsidR="009428EF" w:rsidRDefault="009428EF">
      <w:pPr>
        <w:rPr>
          <w:rFonts w:ascii="Times New Roman" w:hAnsi="Times New Roman" w:cs="Times New Roman"/>
          <w:sz w:val="24"/>
          <w:szCs w:val="24"/>
        </w:rPr>
      </w:pPr>
    </w:p>
    <w:p w14:paraId="5E2B85E7" w14:textId="05108503" w:rsidR="00D46F54" w:rsidRDefault="00D46F54">
      <w:pPr>
        <w:rPr>
          <w:rFonts w:ascii="Times New Roman" w:hAnsi="Times New Roman" w:cs="Times New Roman"/>
          <w:sz w:val="24"/>
          <w:szCs w:val="24"/>
        </w:rPr>
      </w:pPr>
    </w:p>
    <w:p w14:paraId="573D004E" w14:textId="7F43C652" w:rsidR="00D46F54" w:rsidRPr="00E54C9F" w:rsidRDefault="00E54C9F">
      <w:pPr>
        <w:rPr>
          <w:rFonts w:ascii="Times New Roman" w:hAnsi="Times New Roman" w:cs="Times New Roman"/>
          <w:sz w:val="24"/>
          <w:szCs w:val="24"/>
        </w:rPr>
      </w:pPr>
      <w:r w:rsidRPr="00067E57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D46F54" w:rsidRPr="00E54C9F">
        <w:rPr>
          <w:rFonts w:ascii="Times New Roman" w:hAnsi="Times New Roman" w:cs="Times New Roman"/>
          <w:b/>
        </w:rPr>
        <w:t>Table to compare DEGs of selected stress conditions and number of DEGs using our pipeline</w:t>
      </w:r>
    </w:p>
    <w:tbl>
      <w:tblPr>
        <w:tblStyle w:val="TableGrid"/>
        <w:tblpPr w:leftFromText="180" w:rightFromText="180" w:vertAnchor="text" w:horzAnchor="margin" w:tblpY="-63"/>
        <w:tblW w:w="0" w:type="auto"/>
        <w:tblLook w:val="04A0" w:firstRow="1" w:lastRow="0" w:firstColumn="1" w:lastColumn="0" w:noHBand="0" w:noVBand="1"/>
      </w:tblPr>
      <w:tblGrid>
        <w:gridCol w:w="1615"/>
        <w:gridCol w:w="1890"/>
        <w:gridCol w:w="1440"/>
      </w:tblGrid>
      <w:tr w:rsidR="00D46F54" w14:paraId="291F7E52" w14:textId="77777777" w:rsidTr="00D46F54">
        <w:tc>
          <w:tcPr>
            <w:tcW w:w="1615" w:type="dxa"/>
          </w:tcPr>
          <w:p w14:paraId="45B1B14C" w14:textId="77777777" w:rsidR="00D46F54" w:rsidRPr="00D46F54" w:rsidRDefault="00D46F54" w:rsidP="00D46F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54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1890" w:type="dxa"/>
          </w:tcPr>
          <w:p w14:paraId="4CEB7E03" w14:textId="77777777" w:rsidR="00D46F54" w:rsidRPr="00D46F54" w:rsidRDefault="00D46F54" w:rsidP="00D46F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54">
              <w:rPr>
                <w:rFonts w:ascii="Times New Roman" w:hAnsi="Times New Roman" w:cs="Times New Roman"/>
                <w:b/>
                <w:sz w:val="24"/>
                <w:szCs w:val="24"/>
              </w:rPr>
              <w:t>DEGs from Publication</w:t>
            </w:r>
          </w:p>
        </w:tc>
        <w:tc>
          <w:tcPr>
            <w:tcW w:w="1440" w:type="dxa"/>
          </w:tcPr>
          <w:p w14:paraId="014E04EC" w14:textId="77777777" w:rsidR="00D46F54" w:rsidRPr="00D46F54" w:rsidRDefault="00D46F54" w:rsidP="00D46F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6F54">
              <w:rPr>
                <w:rFonts w:ascii="Times New Roman" w:hAnsi="Times New Roman" w:cs="Times New Roman"/>
                <w:b/>
                <w:sz w:val="24"/>
                <w:szCs w:val="24"/>
              </w:rPr>
              <w:t>DEGs from Pipeline</w:t>
            </w:r>
          </w:p>
        </w:tc>
      </w:tr>
      <w:tr w:rsidR="00D46F54" w14:paraId="70D551FC" w14:textId="77777777" w:rsidTr="00D46F54">
        <w:tc>
          <w:tcPr>
            <w:tcW w:w="1615" w:type="dxa"/>
          </w:tcPr>
          <w:p w14:paraId="383DC630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ELT</w:t>
            </w:r>
          </w:p>
        </w:tc>
        <w:tc>
          <w:tcPr>
            <w:tcW w:w="1890" w:type="dxa"/>
          </w:tcPr>
          <w:p w14:paraId="34E8FFD5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9,166</w:t>
            </w:r>
          </w:p>
        </w:tc>
        <w:tc>
          <w:tcPr>
            <w:tcW w:w="1440" w:type="dxa"/>
          </w:tcPr>
          <w:p w14:paraId="69AB6F2F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9,307</w:t>
            </w:r>
          </w:p>
        </w:tc>
      </w:tr>
      <w:tr w:rsidR="00D46F54" w14:paraId="4957B2EE" w14:textId="77777777" w:rsidTr="00D46F54">
        <w:tc>
          <w:tcPr>
            <w:tcW w:w="1615" w:type="dxa"/>
          </w:tcPr>
          <w:p w14:paraId="42B730AD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MLT</w:t>
            </w:r>
          </w:p>
        </w:tc>
        <w:tc>
          <w:tcPr>
            <w:tcW w:w="1890" w:type="dxa"/>
          </w:tcPr>
          <w:p w14:paraId="08D327B4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9,235</w:t>
            </w:r>
          </w:p>
        </w:tc>
        <w:tc>
          <w:tcPr>
            <w:tcW w:w="1440" w:type="dxa"/>
          </w:tcPr>
          <w:p w14:paraId="27A6E97A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9,493</w:t>
            </w:r>
          </w:p>
        </w:tc>
      </w:tr>
      <w:tr w:rsidR="00D46F54" w14:paraId="261C408B" w14:textId="77777777" w:rsidTr="00D46F54">
        <w:tc>
          <w:tcPr>
            <w:tcW w:w="1615" w:type="dxa"/>
          </w:tcPr>
          <w:p w14:paraId="4478247C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LT</w:t>
            </w:r>
          </w:p>
        </w:tc>
        <w:tc>
          <w:tcPr>
            <w:tcW w:w="1890" w:type="dxa"/>
          </w:tcPr>
          <w:p w14:paraId="501C8296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9,027</w:t>
            </w:r>
          </w:p>
        </w:tc>
        <w:tc>
          <w:tcPr>
            <w:tcW w:w="1440" w:type="dxa"/>
          </w:tcPr>
          <w:p w14:paraId="70CA90A7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9,325</w:t>
            </w:r>
          </w:p>
        </w:tc>
      </w:tr>
      <w:tr w:rsidR="00D46F54" w14:paraId="23DC9013" w14:textId="77777777" w:rsidTr="00D46F54">
        <w:tc>
          <w:tcPr>
            <w:tcW w:w="1615" w:type="dxa"/>
          </w:tcPr>
          <w:p w14:paraId="24E4E14D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EHT</w:t>
            </w:r>
          </w:p>
        </w:tc>
        <w:tc>
          <w:tcPr>
            <w:tcW w:w="1890" w:type="dxa"/>
          </w:tcPr>
          <w:p w14:paraId="7BA4016A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8,559</w:t>
            </w:r>
          </w:p>
        </w:tc>
        <w:tc>
          <w:tcPr>
            <w:tcW w:w="1440" w:type="dxa"/>
          </w:tcPr>
          <w:p w14:paraId="5DD7336C" w14:textId="77777777" w:rsidR="00D46F54" w:rsidRDefault="00D46F54" w:rsidP="00D46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8,956</w:t>
            </w:r>
          </w:p>
        </w:tc>
      </w:tr>
    </w:tbl>
    <w:p w14:paraId="1D73B4C1" w14:textId="7AEA230E" w:rsidR="009428EF" w:rsidRDefault="009428EF">
      <w:pPr>
        <w:rPr>
          <w:rFonts w:ascii="Times New Roman" w:hAnsi="Times New Roman" w:cs="Times New Roman"/>
          <w:sz w:val="24"/>
          <w:szCs w:val="24"/>
        </w:rPr>
      </w:pPr>
    </w:p>
    <w:p w14:paraId="034FD337" w14:textId="286693AA" w:rsidR="009428EF" w:rsidRDefault="009428EF">
      <w:pPr>
        <w:rPr>
          <w:rFonts w:ascii="Times New Roman" w:hAnsi="Times New Roman" w:cs="Times New Roman"/>
          <w:sz w:val="24"/>
          <w:szCs w:val="24"/>
        </w:rPr>
      </w:pPr>
    </w:p>
    <w:p w14:paraId="023B9A76" w14:textId="43A13FBD" w:rsidR="009428EF" w:rsidRDefault="009428EF">
      <w:pPr>
        <w:rPr>
          <w:rFonts w:ascii="Times New Roman" w:hAnsi="Times New Roman" w:cs="Times New Roman"/>
          <w:sz w:val="24"/>
          <w:szCs w:val="24"/>
        </w:rPr>
      </w:pPr>
    </w:p>
    <w:p w14:paraId="5F4E6A0C" w14:textId="77777777" w:rsidR="00D46F54" w:rsidRDefault="00D46F54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080A0EB" w14:textId="77777777" w:rsidR="00E54C9F" w:rsidRDefault="00E54C9F">
      <w:pPr>
        <w:rPr>
          <w:rFonts w:ascii="Times New Roman" w:hAnsi="Times New Roman" w:cs="Times New Roman"/>
          <w:sz w:val="24"/>
          <w:szCs w:val="24"/>
        </w:rPr>
      </w:pPr>
    </w:p>
    <w:p w14:paraId="39CCCF2D" w14:textId="77777777" w:rsidR="00E54C9F" w:rsidRDefault="00E54C9F">
      <w:pPr>
        <w:rPr>
          <w:rFonts w:ascii="Times New Roman" w:hAnsi="Times New Roman" w:cs="Times New Roman"/>
          <w:sz w:val="24"/>
          <w:szCs w:val="24"/>
        </w:rPr>
      </w:pPr>
    </w:p>
    <w:p w14:paraId="1D496C86" w14:textId="41AA3555" w:rsidR="00D46F54" w:rsidRPr="00067E57" w:rsidRDefault="00E54C9F">
      <w:pPr>
        <w:rPr>
          <w:rFonts w:ascii="Times New Roman" w:hAnsi="Times New Roman" w:cs="Times New Roman"/>
          <w:b/>
          <w:sz w:val="24"/>
          <w:szCs w:val="24"/>
        </w:rPr>
      </w:pPr>
      <w:r w:rsidRPr="00067E57">
        <w:rPr>
          <w:rFonts w:ascii="Times New Roman" w:hAnsi="Times New Roman" w:cs="Times New Roman"/>
          <w:b/>
          <w:sz w:val="24"/>
          <w:szCs w:val="24"/>
        </w:rPr>
        <w:lastRenderedPageBreak/>
        <w:t>C)</w:t>
      </w:r>
    </w:p>
    <w:p w14:paraId="265A43F7" w14:textId="0BFB4E91" w:rsidR="007F054B" w:rsidRPr="007F054B" w:rsidRDefault="007F054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46F54">
        <w:rPr>
          <w:rFonts w:ascii="Times New Roman" w:hAnsi="Times New Roman" w:cs="Times New Roman"/>
          <w:b/>
          <w:sz w:val="24"/>
          <w:szCs w:val="24"/>
          <w:u w:val="single"/>
        </w:rPr>
        <w:t>Fold-change values of HTvsNT (high temperature vs normal temperature</w:t>
      </w:r>
      <w:r w:rsidRPr="007F054B">
        <w:rPr>
          <w:rFonts w:ascii="Times New Roman" w:hAnsi="Times New Roman" w:cs="Times New Roman"/>
          <w:sz w:val="24"/>
          <w:szCs w:val="24"/>
          <w:u w:val="single"/>
        </w:rPr>
        <w:t>)</w:t>
      </w:r>
    </w:p>
    <w:tbl>
      <w:tblPr>
        <w:tblStyle w:val="TableGrid"/>
        <w:tblW w:w="11180" w:type="dxa"/>
        <w:tblInd w:w="-995" w:type="dxa"/>
        <w:tblLook w:val="04A0" w:firstRow="1" w:lastRow="0" w:firstColumn="1" w:lastColumn="0" w:noHBand="0" w:noVBand="1"/>
      </w:tblPr>
      <w:tblGrid>
        <w:gridCol w:w="1690"/>
        <w:gridCol w:w="920"/>
        <w:gridCol w:w="1275"/>
        <w:gridCol w:w="1426"/>
        <w:gridCol w:w="1523"/>
        <w:gridCol w:w="1790"/>
        <w:gridCol w:w="1478"/>
        <w:gridCol w:w="1078"/>
      </w:tblGrid>
      <w:tr w:rsidR="003545BA" w:rsidRPr="003545BA" w14:paraId="6050A444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275656C4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95" w:type="dxa"/>
            <w:gridSpan w:val="2"/>
            <w:noWrap/>
            <w:hideMark/>
          </w:tcPr>
          <w:p w14:paraId="364B5DCB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Publication(B73v4)</w:t>
            </w:r>
          </w:p>
        </w:tc>
        <w:tc>
          <w:tcPr>
            <w:tcW w:w="1426" w:type="dxa"/>
            <w:noWrap/>
            <w:hideMark/>
          </w:tcPr>
          <w:p w14:paraId="0459FE41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3" w:type="dxa"/>
            <w:noWrap/>
            <w:hideMark/>
          </w:tcPr>
          <w:p w14:paraId="0B7BBE5C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90" w:type="dxa"/>
            <w:noWrap/>
            <w:hideMark/>
          </w:tcPr>
          <w:p w14:paraId="2542927C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Pipeline(B73v5)</w:t>
            </w:r>
          </w:p>
        </w:tc>
        <w:tc>
          <w:tcPr>
            <w:tcW w:w="1478" w:type="dxa"/>
            <w:noWrap/>
            <w:hideMark/>
          </w:tcPr>
          <w:p w14:paraId="05FA6855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078" w:type="dxa"/>
            <w:noWrap/>
            <w:hideMark/>
          </w:tcPr>
          <w:p w14:paraId="72812AB7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545BA" w:rsidRPr="003545BA" w14:paraId="20A8990C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10BAB33A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GeneID</w:t>
            </w:r>
          </w:p>
        </w:tc>
        <w:tc>
          <w:tcPr>
            <w:tcW w:w="920" w:type="dxa"/>
            <w:noWrap/>
            <w:hideMark/>
          </w:tcPr>
          <w:p w14:paraId="657A6879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Log2FC</w:t>
            </w:r>
          </w:p>
        </w:tc>
        <w:tc>
          <w:tcPr>
            <w:tcW w:w="1275" w:type="dxa"/>
            <w:noWrap/>
            <w:hideMark/>
          </w:tcPr>
          <w:p w14:paraId="2406D0D6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1426" w:type="dxa"/>
            <w:noWrap/>
            <w:hideMark/>
          </w:tcPr>
          <w:p w14:paraId="34866448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Annotation</w:t>
            </w:r>
          </w:p>
        </w:tc>
        <w:tc>
          <w:tcPr>
            <w:tcW w:w="1523" w:type="dxa"/>
            <w:noWrap/>
            <w:hideMark/>
          </w:tcPr>
          <w:p w14:paraId="22C1DD06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90" w:type="dxa"/>
            <w:noWrap/>
            <w:hideMark/>
          </w:tcPr>
          <w:p w14:paraId="0248F1DF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GeneID</w:t>
            </w:r>
          </w:p>
        </w:tc>
        <w:tc>
          <w:tcPr>
            <w:tcW w:w="1478" w:type="dxa"/>
            <w:noWrap/>
            <w:hideMark/>
          </w:tcPr>
          <w:p w14:paraId="43739E73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Log2FC</w:t>
            </w:r>
          </w:p>
        </w:tc>
        <w:tc>
          <w:tcPr>
            <w:tcW w:w="1078" w:type="dxa"/>
            <w:noWrap/>
            <w:hideMark/>
          </w:tcPr>
          <w:p w14:paraId="45928296" w14:textId="77777777" w:rsidR="003545BA" w:rsidRPr="003545BA" w:rsidRDefault="003545B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545BA">
              <w:rPr>
                <w:rFonts w:cstheme="minorHAnsi"/>
                <w:b/>
                <w:bCs/>
                <w:sz w:val="20"/>
                <w:szCs w:val="20"/>
              </w:rPr>
              <w:t>P-value</w:t>
            </w:r>
          </w:p>
        </w:tc>
      </w:tr>
      <w:tr w:rsidR="003545BA" w:rsidRPr="003545BA" w14:paraId="12955CF9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7F04320E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Zm00001d022593</w:t>
            </w:r>
          </w:p>
        </w:tc>
        <w:tc>
          <w:tcPr>
            <w:tcW w:w="920" w:type="dxa"/>
            <w:noWrap/>
            <w:hideMark/>
          </w:tcPr>
          <w:p w14:paraId="5F0134FA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-10.33</w:t>
            </w:r>
          </w:p>
        </w:tc>
        <w:tc>
          <w:tcPr>
            <w:tcW w:w="1275" w:type="dxa"/>
            <w:noWrap/>
            <w:hideMark/>
          </w:tcPr>
          <w:p w14:paraId="4C5A3841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3.86E-14</w:t>
            </w:r>
          </w:p>
        </w:tc>
        <w:tc>
          <w:tcPr>
            <w:tcW w:w="2949" w:type="dxa"/>
            <w:gridSpan w:val="2"/>
            <w:noWrap/>
            <w:hideMark/>
          </w:tcPr>
          <w:p w14:paraId="3C2D02DC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Diaminopimelate decarboxylase 2 chloroplastic</w:t>
            </w:r>
          </w:p>
        </w:tc>
        <w:tc>
          <w:tcPr>
            <w:tcW w:w="1790" w:type="dxa"/>
            <w:noWrap/>
            <w:hideMark/>
          </w:tcPr>
          <w:p w14:paraId="25D38552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Zm00001eb331690</w:t>
            </w:r>
          </w:p>
        </w:tc>
        <w:tc>
          <w:tcPr>
            <w:tcW w:w="1478" w:type="dxa"/>
            <w:noWrap/>
            <w:hideMark/>
          </w:tcPr>
          <w:p w14:paraId="3EAE54A2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-9.33061</w:t>
            </w:r>
          </w:p>
        </w:tc>
        <w:tc>
          <w:tcPr>
            <w:tcW w:w="1078" w:type="dxa"/>
            <w:noWrap/>
            <w:hideMark/>
          </w:tcPr>
          <w:p w14:paraId="40F1AD62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0.00038</w:t>
            </w:r>
          </w:p>
        </w:tc>
      </w:tr>
      <w:tr w:rsidR="003545BA" w:rsidRPr="003545BA" w14:paraId="2579559F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071C842B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Zm00001d011315</w:t>
            </w:r>
          </w:p>
        </w:tc>
        <w:tc>
          <w:tcPr>
            <w:tcW w:w="920" w:type="dxa"/>
            <w:noWrap/>
            <w:hideMark/>
          </w:tcPr>
          <w:p w14:paraId="6C071293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-4.75</w:t>
            </w:r>
          </w:p>
        </w:tc>
        <w:tc>
          <w:tcPr>
            <w:tcW w:w="1275" w:type="dxa"/>
            <w:noWrap/>
            <w:hideMark/>
          </w:tcPr>
          <w:p w14:paraId="66609101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5.07E-20</w:t>
            </w:r>
          </w:p>
        </w:tc>
        <w:tc>
          <w:tcPr>
            <w:tcW w:w="2949" w:type="dxa"/>
            <w:gridSpan w:val="2"/>
            <w:noWrap/>
            <w:hideMark/>
          </w:tcPr>
          <w:p w14:paraId="21A7BA18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ABC transporter G family member 40</w:t>
            </w:r>
          </w:p>
        </w:tc>
        <w:tc>
          <w:tcPr>
            <w:tcW w:w="1790" w:type="dxa"/>
            <w:noWrap/>
            <w:hideMark/>
          </w:tcPr>
          <w:p w14:paraId="3A9ADF52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Zm00001eb357950</w:t>
            </w:r>
          </w:p>
        </w:tc>
        <w:tc>
          <w:tcPr>
            <w:tcW w:w="1478" w:type="dxa"/>
            <w:noWrap/>
            <w:hideMark/>
          </w:tcPr>
          <w:p w14:paraId="627613E5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-5.58715</w:t>
            </w:r>
          </w:p>
        </w:tc>
        <w:tc>
          <w:tcPr>
            <w:tcW w:w="1078" w:type="dxa"/>
            <w:noWrap/>
            <w:hideMark/>
          </w:tcPr>
          <w:p w14:paraId="66E6207D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9.50E-05</w:t>
            </w:r>
          </w:p>
        </w:tc>
      </w:tr>
      <w:tr w:rsidR="003545BA" w:rsidRPr="003545BA" w14:paraId="00C3DE1F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3AD6720E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Zm00001d042098</w:t>
            </w:r>
          </w:p>
        </w:tc>
        <w:tc>
          <w:tcPr>
            <w:tcW w:w="920" w:type="dxa"/>
            <w:noWrap/>
            <w:hideMark/>
          </w:tcPr>
          <w:p w14:paraId="4FE24CE4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-4.22</w:t>
            </w:r>
          </w:p>
        </w:tc>
        <w:tc>
          <w:tcPr>
            <w:tcW w:w="1275" w:type="dxa"/>
            <w:noWrap/>
            <w:hideMark/>
          </w:tcPr>
          <w:p w14:paraId="37AC9D72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6.02E-06</w:t>
            </w:r>
          </w:p>
        </w:tc>
        <w:tc>
          <w:tcPr>
            <w:tcW w:w="2949" w:type="dxa"/>
            <w:gridSpan w:val="2"/>
            <w:noWrap/>
            <w:hideMark/>
          </w:tcPr>
          <w:p w14:paraId="7420F75A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Glutathione S-transferase U16</w:t>
            </w:r>
          </w:p>
        </w:tc>
        <w:tc>
          <w:tcPr>
            <w:tcW w:w="1790" w:type="dxa"/>
            <w:noWrap/>
            <w:hideMark/>
          </w:tcPr>
          <w:p w14:paraId="2FBE28D7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Zm00001eb141030</w:t>
            </w:r>
          </w:p>
        </w:tc>
        <w:tc>
          <w:tcPr>
            <w:tcW w:w="1478" w:type="dxa"/>
            <w:noWrap/>
            <w:hideMark/>
          </w:tcPr>
          <w:p w14:paraId="2D317E5F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-5.68969</w:t>
            </w:r>
          </w:p>
        </w:tc>
        <w:tc>
          <w:tcPr>
            <w:tcW w:w="1078" w:type="dxa"/>
            <w:noWrap/>
            <w:hideMark/>
          </w:tcPr>
          <w:p w14:paraId="5EC9DA2D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9.05E-06</w:t>
            </w:r>
          </w:p>
        </w:tc>
      </w:tr>
      <w:tr w:rsidR="003545BA" w:rsidRPr="003545BA" w14:paraId="5CEC7513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752D02B5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Zm00001d010360</w:t>
            </w:r>
          </w:p>
        </w:tc>
        <w:tc>
          <w:tcPr>
            <w:tcW w:w="920" w:type="dxa"/>
            <w:noWrap/>
            <w:hideMark/>
          </w:tcPr>
          <w:p w14:paraId="5ACDC37A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-3.04</w:t>
            </w:r>
          </w:p>
        </w:tc>
        <w:tc>
          <w:tcPr>
            <w:tcW w:w="1275" w:type="dxa"/>
            <w:noWrap/>
            <w:hideMark/>
          </w:tcPr>
          <w:p w14:paraId="22D11017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3.01E-19</w:t>
            </w:r>
          </w:p>
        </w:tc>
        <w:tc>
          <w:tcPr>
            <w:tcW w:w="2949" w:type="dxa"/>
            <w:gridSpan w:val="2"/>
            <w:noWrap/>
            <w:hideMark/>
          </w:tcPr>
          <w:p w14:paraId="496303FE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Auxin-responsive protein IAA26</w:t>
            </w:r>
          </w:p>
        </w:tc>
        <w:tc>
          <w:tcPr>
            <w:tcW w:w="1790" w:type="dxa"/>
            <w:noWrap/>
            <w:hideMark/>
          </w:tcPr>
          <w:p w14:paraId="769D059B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Zm00001eb350000</w:t>
            </w:r>
          </w:p>
        </w:tc>
        <w:tc>
          <w:tcPr>
            <w:tcW w:w="1478" w:type="dxa"/>
            <w:noWrap/>
            <w:hideMark/>
          </w:tcPr>
          <w:p w14:paraId="00ECFF74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-3.9408</w:t>
            </w:r>
          </w:p>
        </w:tc>
        <w:tc>
          <w:tcPr>
            <w:tcW w:w="1078" w:type="dxa"/>
            <w:noWrap/>
            <w:hideMark/>
          </w:tcPr>
          <w:p w14:paraId="1F10A73C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1.09E-05</w:t>
            </w:r>
          </w:p>
        </w:tc>
      </w:tr>
      <w:tr w:rsidR="003545BA" w:rsidRPr="003545BA" w14:paraId="5A6F8B4D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76543BCB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Zm00001d025409</w:t>
            </w:r>
          </w:p>
        </w:tc>
        <w:tc>
          <w:tcPr>
            <w:tcW w:w="920" w:type="dxa"/>
            <w:noWrap/>
            <w:hideMark/>
          </w:tcPr>
          <w:p w14:paraId="1886D3D5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6.45</w:t>
            </w:r>
          </w:p>
        </w:tc>
        <w:tc>
          <w:tcPr>
            <w:tcW w:w="1275" w:type="dxa"/>
            <w:noWrap/>
            <w:hideMark/>
          </w:tcPr>
          <w:p w14:paraId="07795A3D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1.43E-05</w:t>
            </w:r>
          </w:p>
        </w:tc>
        <w:tc>
          <w:tcPr>
            <w:tcW w:w="2949" w:type="dxa"/>
            <w:gridSpan w:val="2"/>
            <w:noWrap/>
            <w:hideMark/>
          </w:tcPr>
          <w:p w14:paraId="5587910E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 xml:space="preserve">Putative AP2/EREBP transcription factor superfamily protein  </w:t>
            </w:r>
          </w:p>
        </w:tc>
        <w:tc>
          <w:tcPr>
            <w:tcW w:w="1790" w:type="dxa"/>
            <w:noWrap/>
            <w:hideMark/>
          </w:tcPr>
          <w:p w14:paraId="4CD49715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Zm00001eb422470</w:t>
            </w:r>
          </w:p>
        </w:tc>
        <w:tc>
          <w:tcPr>
            <w:tcW w:w="1478" w:type="dxa"/>
            <w:noWrap/>
            <w:hideMark/>
          </w:tcPr>
          <w:p w14:paraId="12B4E808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5.547858</w:t>
            </w:r>
          </w:p>
        </w:tc>
        <w:tc>
          <w:tcPr>
            <w:tcW w:w="1078" w:type="dxa"/>
            <w:noWrap/>
            <w:hideMark/>
          </w:tcPr>
          <w:p w14:paraId="413647DC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0.0001731</w:t>
            </w:r>
          </w:p>
        </w:tc>
      </w:tr>
      <w:tr w:rsidR="003545BA" w:rsidRPr="003545BA" w14:paraId="6ABEBC3D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043FF4A6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Zm00001d012045</w:t>
            </w:r>
          </w:p>
        </w:tc>
        <w:tc>
          <w:tcPr>
            <w:tcW w:w="920" w:type="dxa"/>
            <w:noWrap/>
            <w:hideMark/>
          </w:tcPr>
          <w:p w14:paraId="24993875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3.35</w:t>
            </w:r>
          </w:p>
        </w:tc>
        <w:tc>
          <w:tcPr>
            <w:tcW w:w="1275" w:type="dxa"/>
            <w:noWrap/>
            <w:hideMark/>
          </w:tcPr>
          <w:p w14:paraId="2517A42B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1.75E-05</w:t>
            </w:r>
          </w:p>
        </w:tc>
        <w:tc>
          <w:tcPr>
            <w:tcW w:w="2949" w:type="dxa"/>
            <w:gridSpan w:val="2"/>
            <w:noWrap/>
            <w:hideMark/>
          </w:tcPr>
          <w:p w14:paraId="1701B9ED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 xml:space="preserve">Putative RING zinc finger domain superfamily protein  </w:t>
            </w:r>
          </w:p>
        </w:tc>
        <w:tc>
          <w:tcPr>
            <w:tcW w:w="1790" w:type="dxa"/>
            <w:noWrap/>
            <w:hideMark/>
          </w:tcPr>
          <w:p w14:paraId="38466455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Zm00001eb364690</w:t>
            </w:r>
          </w:p>
        </w:tc>
        <w:tc>
          <w:tcPr>
            <w:tcW w:w="1478" w:type="dxa"/>
            <w:noWrap/>
            <w:hideMark/>
          </w:tcPr>
          <w:p w14:paraId="7F83E34C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2.724765</w:t>
            </w:r>
          </w:p>
        </w:tc>
        <w:tc>
          <w:tcPr>
            <w:tcW w:w="1078" w:type="dxa"/>
            <w:noWrap/>
            <w:hideMark/>
          </w:tcPr>
          <w:p w14:paraId="01B3D353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0.0081347</w:t>
            </w:r>
          </w:p>
        </w:tc>
      </w:tr>
      <w:tr w:rsidR="003545BA" w:rsidRPr="003545BA" w14:paraId="502F21EA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32486CFF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Zm00001d043913</w:t>
            </w:r>
          </w:p>
        </w:tc>
        <w:tc>
          <w:tcPr>
            <w:tcW w:w="920" w:type="dxa"/>
            <w:noWrap/>
            <w:hideMark/>
          </w:tcPr>
          <w:p w14:paraId="1F8A2E48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2.52</w:t>
            </w:r>
          </w:p>
        </w:tc>
        <w:tc>
          <w:tcPr>
            <w:tcW w:w="1275" w:type="dxa"/>
            <w:noWrap/>
            <w:hideMark/>
          </w:tcPr>
          <w:p w14:paraId="131E4A1D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2.69E-06</w:t>
            </w:r>
          </w:p>
        </w:tc>
        <w:tc>
          <w:tcPr>
            <w:tcW w:w="2949" w:type="dxa"/>
            <w:gridSpan w:val="2"/>
            <w:noWrap/>
            <w:hideMark/>
          </w:tcPr>
          <w:p w14:paraId="0C0DF8BB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 xml:space="preserve">Ethylene-responsive protein  </w:t>
            </w:r>
          </w:p>
        </w:tc>
        <w:tc>
          <w:tcPr>
            <w:tcW w:w="1790" w:type="dxa"/>
            <w:noWrap/>
            <w:hideMark/>
          </w:tcPr>
          <w:p w14:paraId="0F0BC845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Zm00001eb157180</w:t>
            </w:r>
          </w:p>
        </w:tc>
        <w:tc>
          <w:tcPr>
            <w:tcW w:w="1478" w:type="dxa"/>
            <w:noWrap/>
            <w:hideMark/>
          </w:tcPr>
          <w:p w14:paraId="520ECA98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3.251044</w:t>
            </w:r>
          </w:p>
        </w:tc>
        <w:tc>
          <w:tcPr>
            <w:tcW w:w="1078" w:type="dxa"/>
            <w:noWrap/>
            <w:hideMark/>
          </w:tcPr>
          <w:p w14:paraId="1C7F06A8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1.57E-05</w:t>
            </w:r>
          </w:p>
        </w:tc>
      </w:tr>
      <w:tr w:rsidR="003545BA" w:rsidRPr="003545BA" w14:paraId="623CBCF8" w14:textId="77777777" w:rsidTr="009428EF">
        <w:trPr>
          <w:trHeight w:val="274"/>
        </w:trPr>
        <w:tc>
          <w:tcPr>
            <w:tcW w:w="1690" w:type="dxa"/>
            <w:noWrap/>
            <w:hideMark/>
          </w:tcPr>
          <w:p w14:paraId="3B34E167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Zm00001d024975</w:t>
            </w:r>
          </w:p>
        </w:tc>
        <w:tc>
          <w:tcPr>
            <w:tcW w:w="920" w:type="dxa"/>
            <w:noWrap/>
            <w:hideMark/>
          </w:tcPr>
          <w:p w14:paraId="76B80C9F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2.31</w:t>
            </w:r>
          </w:p>
        </w:tc>
        <w:tc>
          <w:tcPr>
            <w:tcW w:w="1275" w:type="dxa"/>
            <w:noWrap/>
            <w:hideMark/>
          </w:tcPr>
          <w:p w14:paraId="0DC938A9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3.11E-05</w:t>
            </w:r>
          </w:p>
        </w:tc>
        <w:tc>
          <w:tcPr>
            <w:tcW w:w="2949" w:type="dxa"/>
            <w:gridSpan w:val="2"/>
            <w:noWrap/>
            <w:hideMark/>
          </w:tcPr>
          <w:p w14:paraId="7B8F5979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Disease resistance protein RPM1</w:t>
            </w:r>
          </w:p>
        </w:tc>
        <w:tc>
          <w:tcPr>
            <w:tcW w:w="1790" w:type="dxa"/>
            <w:noWrap/>
            <w:hideMark/>
          </w:tcPr>
          <w:p w14:paraId="45686BFF" w14:textId="77777777" w:rsidR="003545BA" w:rsidRPr="003545BA" w:rsidRDefault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Zm00001eb419270</w:t>
            </w:r>
          </w:p>
        </w:tc>
        <w:tc>
          <w:tcPr>
            <w:tcW w:w="1478" w:type="dxa"/>
            <w:noWrap/>
            <w:hideMark/>
          </w:tcPr>
          <w:p w14:paraId="5203E4FC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2.675773</w:t>
            </w:r>
          </w:p>
        </w:tc>
        <w:tc>
          <w:tcPr>
            <w:tcW w:w="1078" w:type="dxa"/>
            <w:noWrap/>
            <w:hideMark/>
          </w:tcPr>
          <w:p w14:paraId="7A747F18" w14:textId="77777777" w:rsidR="003545BA" w:rsidRPr="003545BA" w:rsidRDefault="003545BA" w:rsidP="003545BA">
            <w:pPr>
              <w:rPr>
                <w:rFonts w:cstheme="minorHAnsi"/>
                <w:sz w:val="20"/>
                <w:szCs w:val="20"/>
              </w:rPr>
            </w:pPr>
            <w:r w:rsidRPr="003545BA">
              <w:rPr>
                <w:rFonts w:cstheme="minorHAnsi"/>
                <w:sz w:val="20"/>
                <w:szCs w:val="20"/>
              </w:rPr>
              <w:t>3.06E-05</w:t>
            </w:r>
          </w:p>
        </w:tc>
      </w:tr>
    </w:tbl>
    <w:p w14:paraId="58C61C7A" w14:textId="72DA7703" w:rsidR="003545BA" w:rsidRDefault="003545BA">
      <w:pPr>
        <w:rPr>
          <w:rFonts w:ascii="Times New Roman" w:hAnsi="Times New Roman" w:cs="Times New Roman"/>
          <w:sz w:val="24"/>
          <w:szCs w:val="24"/>
        </w:rPr>
      </w:pPr>
    </w:p>
    <w:p w14:paraId="64EF7D99" w14:textId="77777777" w:rsidR="00A06AD2" w:rsidRDefault="00A06AD2">
      <w:pPr>
        <w:rPr>
          <w:rFonts w:ascii="Times New Roman" w:hAnsi="Times New Roman" w:cs="Times New Roman"/>
          <w:b/>
          <w:sz w:val="24"/>
          <w:szCs w:val="24"/>
        </w:rPr>
      </w:pPr>
    </w:p>
    <w:p w14:paraId="1BEC6EE5" w14:textId="77777777" w:rsidR="00A06AD2" w:rsidRDefault="00A06AD2">
      <w:pPr>
        <w:rPr>
          <w:rFonts w:ascii="Times New Roman" w:hAnsi="Times New Roman" w:cs="Times New Roman"/>
          <w:b/>
          <w:sz w:val="24"/>
          <w:szCs w:val="24"/>
        </w:rPr>
      </w:pPr>
    </w:p>
    <w:p w14:paraId="6552C68F" w14:textId="77777777" w:rsidR="00DF0762" w:rsidRDefault="00DF0762">
      <w:pPr>
        <w:rPr>
          <w:rFonts w:ascii="Times New Roman" w:hAnsi="Times New Roman" w:cs="Times New Roman"/>
          <w:sz w:val="24"/>
          <w:szCs w:val="24"/>
        </w:rPr>
      </w:pPr>
    </w:p>
    <w:p w14:paraId="5888E7BA" w14:textId="1C6D4BE6" w:rsidR="00DF0762" w:rsidRDefault="00DF0762">
      <w:pPr>
        <w:rPr>
          <w:rFonts w:ascii="Times New Roman" w:hAnsi="Times New Roman" w:cs="Times New Roman"/>
          <w:sz w:val="24"/>
          <w:szCs w:val="24"/>
        </w:rPr>
      </w:pPr>
      <w:bookmarkStart w:id="1" w:name="_Hlk146028375"/>
    </w:p>
    <w:bookmarkEnd w:id="1"/>
    <w:p w14:paraId="3080ACEC" w14:textId="77777777" w:rsidR="00DF0762" w:rsidRDefault="00DF0762">
      <w:pPr>
        <w:rPr>
          <w:rFonts w:ascii="Times New Roman" w:hAnsi="Times New Roman" w:cs="Times New Roman"/>
          <w:sz w:val="24"/>
          <w:szCs w:val="24"/>
        </w:rPr>
      </w:pPr>
    </w:p>
    <w:p w14:paraId="0A3BB271" w14:textId="77777777" w:rsidR="00DF0762" w:rsidRDefault="00DF0762">
      <w:pPr>
        <w:rPr>
          <w:rFonts w:ascii="Times New Roman" w:hAnsi="Times New Roman" w:cs="Times New Roman"/>
          <w:sz w:val="24"/>
          <w:szCs w:val="24"/>
        </w:rPr>
      </w:pPr>
    </w:p>
    <w:p w14:paraId="54F5C0BE" w14:textId="5376A8EF" w:rsidR="003545BA" w:rsidRPr="003B5BD1" w:rsidRDefault="003545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545BA" w:rsidRPr="003B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102D4"/>
    <w:multiLevelType w:val="hybridMultilevel"/>
    <w:tmpl w:val="73364536"/>
    <w:lvl w:ilvl="0" w:tplc="787A62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4C6A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34E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049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DE9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E1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2AA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8424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C4B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ED41720"/>
    <w:multiLevelType w:val="hybridMultilevel"/>
    <w:tmpl w:val="AC76A6FE"/>
    <w:lvl w:ilvl="0" w:tplc="058C3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A42C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6611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366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8BD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6C6D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E888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2E18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7CBD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D1"/>
    <w:rsid w:val="000163DC"/>
    <w:rsid w:val="00067E57"/>
    <w:rsid w:val="00285CCA"/>
    <w:rsid w:val="002A4A98"/>
    <w:rsid w:val="003254AE"/>
    <w:rsid w:val="003545BA"/>
    <w:rsid w:val="00396179"/>
    <w:rsid w:val="003B5BD1"/>
    <w:rsid w:val="00442941"/>
    <w:rsid w:val="00493C4D"/>
    <w:rsid w:val="0067699D"/>
    <w:rsid w:val="00747537"/>
    <w:rsid w:val="00757D3B"/>
    <w:rsid w:val="007F054B"/>
    <w:rsid w:val="009428EF"/>
    <w:rsid w:val="00A06AD2"/>
    <w:rsid w:val="00A672A4"/>
    <w:rsid w:val="00AD2B46"/>
    <w:rsid w:val="00B07867"/>
    <w:rsid w:val="00C90A09"/>
    <w:rsid w:val="00D272F5"/>
    <w:rsid w:val="00D46F54"/>
    <w:rsid w:val="00D65776"/>
    <w:rsid w:val="00DF0762"/>
    <w:rsid w:val="00E54C9F"/>
    <w:rsid w:val="00FC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3617F"/>
  <w15:chartTrackingRefBased/>
  <w15:docId w15:val="{D5FA760F-5A2A-464C-8DD5-438BD6EC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B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B5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B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354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87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53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52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69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25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530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4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49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7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49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5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32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48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2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299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49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4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67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699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29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02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4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88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38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7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707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8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%2Fgenes1108088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BA7076B7CAD4798D055E8F1E90A53" ma:contentTypeVersion="12" ma:contentTypeDescription="Create a new document." ma:contentTypeScope="" ma:versionID="56926f685bd5a9681f5601074e0d5285">
  <xsd:schema xmlns:xsd="http://www.w3.org/2001/XMLSchema" xmlns:xs="http://www.w3.org/2001/XMLSchema" xmlns:p="http://schemas.microsoft.com/office/2006/metadata/properties" xmlns:ns3="d95559e9-4149-480c-99b8-d282ea7149e2" targetNamespace="http://schemas.microsoft.com/office/2006/metadata/properties" ma:root="true" ma:fieldsID="2b13c3e862837b076ce8a111a1d72ea4" ns3:_="">
    <xsd:import namespace="d95559e9-4149-480c-99b8-d282ea7149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559e9-4149-480c-99b8-d282ea714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56CCEF-264F-4F81-9910-5FDCCBB8B2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EFE19B-DF8C-47BE-A50D-692A2CB33D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D59E74-BACF-4B7A-A84A-12278F770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5559e9-4149-480c-99b8-d282ea7149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State University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K. Hayford</dc:creator>
  <cp:keywords/>
  <dc:description/>
  <cp:lastModifiedBy>Rita K. Hayford</cp:lastModifiedBy>
  <cp:revision>2</cp:revision>
  <dcterms:created xsi:type="dcterms:W3CDTF">2023-11-30T19:20:00Z</dcterms:created>
  <dcterms:modified xsi:type="dcterms:W3CDTF">2023-11-30T19:20:00Z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0x010100649BA7076B7CAD4798D055E8F1E90A53</vt:lpwstr>
  </property>
</Properties>
</file>