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ACE31" w14:textId="77777777" w:rsidR="0012009A" w:rsidRPr="00C61E0B" w:rsidRDefault="0012009A" w:rsidP="0012009A">
      <w:pPr>
        <w:spacing w:line="480" w:lineRule="auto"/>
        <w:jc w:val="center"/>
        <w:rPr>
          <w:rFonts w:ascii="Arial" w:hAnsi="Arial" w:cs="Arial"/>
          <w:b/>
          <w:bCs/>
          <w:noProof/>
        </w:rPr>
      </w:pPr>
      <w:r w:rsidRPr="00C61E0B">
        <w:rPr>
          <w:rFonts w:ascii="Arial" w:hAnsi="Arial" w:cs="Arial"/>
          <w:b/>
          <w:bCs/>
        </w:rPr>
        <w:t>Supplemental materials</w:t>
      </w:r>
    </w:p>
    <w:p w14:paraId="64D4FE46" w14:textId="77777777" w:rsidR="0012009A" w:rsidRDefault="0012009A" w:rsidP="0012009A">
      <w:pPr>
        <w:spacing w:line="480" w:lineRule="auto"/>
        <w:rPr>
          <w:rFonts w:ascii="Arial" w:hAnsi="Arial" w:cs="Arial"/>
        </w:rPr>
      </w:pPr>
    </w:p>
    <w:p w14:paraId="5A2BA06A" w14:textId="681DCA57" w:rsidR="0012009A" w:rsidRPr="00C61E0B" w:rsidRDefault="006F284C" w:rsidP="0012009A">
      <w:pPr>
        <w:spacing w:line="480" w:lineRule="auto"/>
        <w:jc w:val="both"/>
        <w:rPr>
          <w:rFonts w:ascii="Arial" w:hAnsi="Arial" w:cs="Arial"/>
          <w:lang w:eastAsia="zh-TW"/>
        </w:rPr>
      </w:pPr>
      <w:r>
        <w:rPr>
          <w:rFonts w:ascii="Arial" w:hAnsi="Arial" w:cs="Arial"/>
          <w:b/>
          <w:lang w:eastAsia="zh-TW"/>
        </w:rPr>
        <w:t xml:space="preserve">S1. </w:t>
      </w:r>
      <w:r w:rsidR="0012009A" w:rsidRPr="00C61E0B">
        <w:rPr>
          <w:rFonts w:ascii="Arial" w:hAnsi="Arial" w:cs="Arial"/>
          <w:b/>
          <w:lang w:eastAsia="zh-TW"/>
        </w:rPr>
        <w:t>Fairness metrics definition</w:t>
      </w:r>
    </w:p>
    <w:p w14:paraId="56B5EC4E" w14:textId="1633A631" w:rsidR="0012009A" w:rsidRPr="00C61E0B" w:rsidRDefault="0012009A" w:rsidP="0012009A">
      <w:pPr>
        <w:spacing w:line="480" w:lineRule="auto"/>
        <w:jc w:val="both"/>
        <w:rPr>
          <w:rFonts w:ascii="Arial" w:hAnsi="Arial" w:cs="Arial"/>
          <w:color w:val="000000" w:themeColor="text1"/>
        </w:rPr>
      </w:pPr>
      <w:r w:rsidRPr="00C61E0B">
        <w:rPr>
          <w:rFonts w:ascii="Arial" w:hAnsi="Arial" w:cs="Arial"/>
          <w:color w:val="000000" w:themeColor="text1"/>
        </w:rPr>
        <w:t xml:space="preserve">Several performance metrics are used to quantify the fairness of the </w:t>
      </w:r>
      <w:proofErr w:type="spellStart"/>
      <w:r w:rsidRPr="00C61E0B">
        <w:rPr>
          <w:rFonts w:ascii="Arial" w:hAnsi="Arial" w:cs="Arial"/>
          <w:color w:val="000000" w:themeColor="text1"/>
        </w:rPr>
        <w:t>iPsRS</w:t>
      </w:r>
      <w:proofErr w:type="spellEnd"/>
      <w:r w:rsidRPr="00C61E0B">
        <w:rPr>
          <w:rFonts w:ascii="Arial" w:hAnsi="Arial" w:cs="Arial"/>
          <w:color w:val="000000" w:themeColor="text1"/>
        </w:rPr>
        <w:t xml:space="preserve">, which are detailed as below. The fundamental fairness metrics are predictive parity, </w:t>
      </w:r>
      <w:r w:rsidRPr="00867D49">
        <w:rPr>
          <w:rFonts w:ascii="Arial" w:hAnsi="Arial" w:cs="Arial"/>
          <w:color w:val="000000" w:themeColor="text1"/>
        </w:rPr>
        <w:t>predictive equality</w:t>
      </w:r>
      <w:r>
        <w:rPr>
          <w:rFonts w:ascii="Arial" w:hAnsi="Arial" w:cs="Arial"/>
          <w:color w:val="000000" w:themeColor="text1"/>
        </w:rPr>
        <w:t xml:space="preserve"> (</w:t>
      </w:r>
      <w:r w:rsidRPr="00C61E0B">
        <w:rPr>
          <w:rFonts w:ascii="Arial" w:hAnsi="Arial" w:cs="Arial"/>
          <w:color w:val="000000" w:themeColor="text1"/>
        </w:rPr>
        <w:t xml:space="preserve">false positive rate </w:t>
      </w:r>
      <w:r>
        <w:rPr>
          <w:rFonts w:ascii="Arial" w:hAnsi="Arial" w:cs="Arial"/>
          <w:color w:val="000000" w:themeColor="text1"/>
        </w:rPr>
        <w:t>[</w:t>
      </w:r>
      <w:r w:rsidRPr="00C61E0B">
        <w:rPr>
          <w:rFonts w:ascii="Arial" w:hAnsi="Arial" w:cs="Arial"/>
          <w:color w:val="000000" w:themeColor="text1"/>
        </w:rPr>
        <w:t>FPR</w:t>
      </w:r>
      <w:r>
        <w:rPr>
          <w:rFonts w:ascii="Arial" w:hAnsi="Arial" w:cs="Arial"/>
          <w:color w:val="000000" w:themeColor="text1"/>
        </w:rPr>
        <w:t>] balance)</w:t>
      </w:r>
      <w:r w:rsidRPr="00C61E0B">
        <w:rPr>
          <w:rFonts w:ascii="Arial" w:hAnsi="Arial" w:cs="Arial"/>
          <w:color w:val="000000" w:themeColor="text1"/>
        </w:rPr>
        <w:t>, equalized odds, conditional use accuracy equality, treatment equality, equality of opportunity</w:t>
      </w:r>
      <w:r>
        <w:rPr>
          <w:rFonts w:ascii="Arial" w:hAnsi="Arial" w:cs="Arial"/>
          <w:color w:val="000000" w:themeColor="text1"/>
        </w:rPr>
        <w:t xml:space="preserve"> (</w:t>
      </w:r>
      <w:r w:rsidRPr="00C61E0B">
        <w:rPr>
          <w:rFonts w:ascii="Arial" w:hAnsi="Arial" w:cs="Arial"/>
          <w:color w:val="000000" w:themeColor="text1"/>
        </w:rPr>
        <w:t xml:space="preserve">false negative rate </w:t>
      </w:r>
      <w:r>
        <w:rPr>
          <w:rFonts w:ascii="Arial" w:hAnsi="Arial" w:cs="Arial"/>
          <w:color w:val="000000" w:themeColor="text1"/>
        </w:rPr>
        <w:t>[</w:t>
      </w:r>
      <w:r w:rsidRPr="00C61E0B">
        <w:rPr>
          <w:rFonts w:ascii="Arial" w:hAnsi="Arial" w:cs="Arial"/>
          <w:color w:val="000000" w:themeColor="text1"/>
        </w:rPr>
        <w:t>FNR</w:t>
      </w:r>
      <w:r>
        <w:rPr>
          <w:rFonts w:ascii="Arial" w:hAnsi="Arial" w:cs="Arial"/>
          <w:color w:val="000000" w:themeColor="text1"/>
        </w:rPr>
        <w:t>] balance)</w:t>
      </w:r>
      <w:r w:rsidRPr="00C61E0B">
        <w:rPr>
          <w:rFonts w:ascii="Arial" w:hAnsi="Arial" w:cs="Arial"/>
          <w:color w:val="000000" w:themeColor="text1"/>
        </w:rPr>
        <w:fldChar w:fldCharType="begin" w:fldLock="1"/>
      </w:r>
      <w:r w:rsidRPr="00C61E0B">
        <w:rPr>
          <w:rFonts w:ascii="Arial" w:hAnsi="Arial" w:cs="Arial"/>
          <w:color w:val="000000" w:themeColor="text1"/>
        </w:rPr>
        <w:instrText>ADDIN paperpile_citation &lt;clusterId&gt;P316D466Z757W577&lt;/clusterId&gt;&lt;metadata&gt;&lt;citation&gt;&lt;id&gt;8a3681a8-16db-428a-9d88-e8c381b4e59b&lt;/id&gt;&lt;/citation&gt;&lt;/metadata&gt;&lt;data&gt;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&lt;/data&gt; \* MERGEFORMAT</w:instrText>
      </w:r>
      <w:r w:rsidRPr="00C61E0B">
        <w:rPr>
          <w:rFonts w:ascii="Arial" w:hAnsi="Arial" w:cs="Arial"/>
          <w:color w:val="000000" w:themeColor="text1"/>
        </w:rPr>
        <w:fldChar w:fldCharType="separate"/>
      </w:r>
      <w:r w:rsidR="005C493B" w:rsidRPr="005C493B">
        <w:rPr>
          <w:rFonts w:ascii="Arial" w:hAnsi="Arial" w:cs="Arial"/>
          <w:color w:val="000000" w:themeColor="text1"/>
          <w:vertAlign w:val="superscript"/>
        </w:rPr>
        <w:t>2</w:t>
      </w:r>
      <w:r w:rsidRPr="00C61E0B">
        <w:rPr>
          <w:rFonts w:ascii="Arial" w:hAnsi="Arial" w:cs="Arial"/>
          <w:color w:val="000000" w:themeColor="text1"/>
        </w:rPr>
        <w:fldChar w:fldCharType="end"/>
      </w:r>
      <w:r w:rsidRPr="00C61E0B">
        <w:rPr>
          <w:rFonts w:ascii="Arial" w:hAnsi="Arial" w:cs="Arial"/>
          <w:color w:val="000000" w:themeColor="text1"/>
        </w:rPr>
        <w:t>, and overall accuracy equality.  To well explain the metrics, we define sensitive attributes (e.g., race-ethnicity: White [NHW] as the reference group, and Black [NHB] or Hispanic as protected groups) as G, the actual outcome as Y (hospitalization = 1 or not = 0), and the predicted outcome as d (hospitalization = 1 or not = 0).</w:t>
      </w:r>
    </w:p>
    <w:p w14:paraId="1C375876" w14:textId="77777777" w:rsidR="0012009A" w:rsidRPr="00C61E0B" w:rsidRDefault="0012009A" w:rsidP="0012009A">
      <w:pPr>
        <w:spacing w:line="480" w:lineRule="auto"/>
        <w:jc w:val="both"/>
        <w:rPr>
          <w:rFonts w:ascii="Arial" w:hAnsi="Arial" w:cs="Arial"/>
          <w:color w:val="000000" w:themeColor="text1"/>
        </w:rPr>
      </w:pPr>
      <w:r w:rsidRPr="00C61E0B">
        <w:rPr>
          <w:rFonts w:ascii="Arial" w:hAnsi="Arial" w:cs="Arial"/>
          <w:b/>
          <w:bCs/>
          <w:color w:val="000000" w:themeColor="text1"/>
          <w:u w:val="single"/>
        </w:rPr>
        <w:t>Predictive parity:</w:t>
      </w:r>
      <w:r w:rsidRPr="00C61E0B">
        <w:rPr>
          <w:rFonts w:ascii="Arial" w:hAnsi="Arial" w:cs="Arial"/>
          <w:color w:val="000000" w:themeColor="text1"/>
        </w:rPr>
        <w:t xml:space="preserve"> both protected and privileged groups have equal positive predictive value (PPV) – the probability of a subject with positive predictive value truly belonging to the positive class.</w:t>
      </w:r>
    </w:p>
    <w:p w14:paraId="12495E78"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case, the probability of NHW or NHB/Hispanic predicted to be hospitalized (i.e., predicted to be positive) actually having the outcome should be the same.</w:t>
      </w:r>
    </w:p>
    <w:p w14:paraId="23B9CC88" w14:textId="777777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P (Y = 1 | d = 1, G = NHW) = P (Y = 1 | d = 1, G = NHB)</w:t>
      </w:r>
    </w:p>
    <w:p w14:paraId="29E833F5" w14:textId="77777777" w:rsidR="0012009A" w:rsidRPr="00C61E0B" w:rsidRDefault="0012009A" w:rsidP="0012009A">
      <w:pPr>
        <w:spacing w:line="480" w:lineRule="auto"/>
        <w:jc w:val="both"/>
        <w:rPr>
          <w:rFonts w:ascii="Arial" w:hAnsi="Arial" w:cs="Arial"/>
          <w:color w:val="000000" w:themeColor="text1"/>
        </w:rPr>
      </w:pPr>
      <w:r>
        <w:rPr>
          <w:rFonts w:ascii="Arial" w:hAnsi="Arial" w:cs="Arial"/>
          <w:b/>
          <w:bCs/>
          <w:color w:val="000000" w:themeColor="text1"/>
          <w:u w:val="single"/>
        </w:rPr>
        <w:t>P</w:t>
      </w:r>
      <w:r w:rsidRPr="00C61E0B">
        <w:rPr>
          <w:rFonts w:ascii="Arial" w:hAnsi="Arial" w:cs="Arial"/>
          <w:b/>
          <w:bCs/>
          <w:color w:val="000000" w:themeColor="text1"/>
          <w:u w:val="single"/>
        </w:rPr>
        <w:t>redictive equality (a.k.a.,</w:t>
      </w:r>
      <w:r>
        <w:rPr>
          <w:rFonts w:ascii="Arial" w:hAnsi="Arial" w:cs="Arial"/>
          <w:b/>
          <w:bCs/>
          <w:color w:val="000000" w:themeColor="text1"/>
          <w:u w:val="single"/>
        </w:rPr>
        <w:t xml:space="preserve"> f</w:t>
      </w:r>
      <w:r w:rsidRPr="00C61E0B">
        <w:rPr>
          <w:rFonts w:ascii="Arial" w:hAnsi="Arial" w:cs="Arial"/>
          <w:b/>
          <w:bCs/>
          <w:color w:val="000000" w:themeColor="text1"/>
          <w:u w:val="single"/>
        </w:rPr>
        <w:t>alse positive error rate balance):</w:t>
      </w:r>
      <w:r w:rsidRPr="00C61E0B">
        <w:rPr>
          <w:rFonts w:ascii="Arial" w:hAnsi="Arial" w:cs="Arial"/>
          <w:color w:val="000000" w:themeColor="text1"/>
        </w:rPr>
        <w:t xml:space="preserve"> both protected and privileged groups have </w:t>
      </w:r>
      <w:r>
        <w:rPr>
          <w:rFonts w:ascii="Arial" w:hAnsi="Arial" w:cs="Arial"/>
          <w:color w:val="000000" w:themeColor="text1"/>
        </w:rPr>
        <w:t xml:space="preserve">an </w:t>
      </w:r>
      <w:r w:rsidRPr="00C61E0B">
        <w:rPr>
          <w:rFonts w:ascii="Arial" w:hAnsi="Arial" w:cs="Arial"/>
          <w:color w:val="000000" w:themeColor="text1"/>
        </w:rPr>
        <w:t>equal FPR – the probability of a subject in the negative class having a positive predictive value.</w:t>
      </w:r>
    </w:p>
    <w:p w14:paraId="4C1DFA78"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case, the probability of NHW or NHB/Hispanic predicted to be hospitalized (i.e., predicted to be positive) actually do not have the disease should be the same.</w:t>
      </w:r>
    </w:p>
    <w:p w14:paraId="351EBDD6" w14:textId="777777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P (d = 1 | Y = 0, G = NHW) = P (d = 1 | Y = 0, G = NHB)</w:t>
      </w:r>
    </w:p>
    <w:p w14:paraId="77659853" w14:textId="77777777" w:rsidR="0012009A" w:rsidRPr="00C61E0B" w:rsidRDefault="0012009A" w:rsidP="0012009A">
      <w:pPr>
        <w:spacing w:line="480" w:lineRule="auto"/>
        <w:jc w:val="both"/>
        <w:rPr>
          <w:rFonts w:ascii="Arial" w:hAnsi="Arial" w:cs="Arial"/>
          <w:color w:val="000000" w:themeColor="text1"/>
        </w:rPr>
      </w:pPr>
      <w:r w:rsidRPr="00C61E0B">
        <w:rPr>
          <w:rFonts w:ascii="Arial" w:hAnsi="Arial" w:cs="Arial"/>
          <w:b/>
          <w:bCs/>
          <w:color w:val="000000" w:themeColor="text1"/>
          <w:u w:val="single"/>
        </w:rPr>
        <w:lastRenderedPageBreak/>
        <w:t>Equalized odds (a.k.a. conditional procedure accuracy equality and disparate mistreatment):</w:t>
      </w:r>
      <w:r w:rsidRPr="00C61E0B">
        <w:rPr>
          <w:rFonts w:ascii="Arial" w:hAnsi="Arial" w:cs="Arial"/>
          <w:color w:val="000000" w:themeColor="text1"/>
        </w:rPr>
        <w:t xml:space="preserve"> protected and privileged groups have equal true positive rate (TPR) and equal FPR.</w:t>
      </w:r>
    </w:p>
    <w:p w14:paraId="0F91A356"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case, the probability of an individual that (a) does not have the hospitalization label but is incorrectly predicted to be hospitalized; and (b) does have the hospitalization outcome but is incorrectly predicted to not be hospitalized, should be the same between NHW vs. NHB/Hispanic.</w:t>
      </w:r>
    </w:p>
    <w:p w14:paraId="6133E565" w14:textId="777777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w:t>
      </w:r>
      <w:proofErr w:type="gramStart"/>
      <w:r w:rsidRPr="00C61E0B">
        <w:rPr>
          <w:rFonts w:ascii="Arial" w:hAnsi="Arial" w:cs="Arial"/>
          <w:color w:val="000000" w:themeColor="text1"/>
        </w:rPr>
        <w:t>P(</w:t>
      </w:r>
      <w:proofErr w:type="gramEnd"/>
      <w:r w:rsidRPr="00C61E0B">
        <w:rPr>
          <w:rFonts w:ascii="Arial" w:hAnsi="Arial" w:cs="Arial"/>
          <w:color w:val="000000" w:themeColor="text1"/>
        </w:rPr>
        <w:t xml:space="preserve">Y = 1|d = 1,G = NHW) = P(Y = 1|d = 1,G = NHB )) </w:t>
      </w:r>
      <w:r w:rsidRPr="00C61E0B">
        <w:rPr>
          <w:rFonts w:ascii="Cambria Math" w:hAnsi="Cambria Math" w:cs="Cambria Math"/>
          <w:color w:val="000000" w:themeColor="text1"/>
        </w:rPr>
        <w:t>∧</w:t>
      </w:r>
      <w:r w:rsidRPr="00C61E0B">
        <w:rPr>
          <w:rFonts w:ascii="Arial" w:hAnsi="Arial" w:cs="Arial"/>
          <w:color w:val="000000" w:themeColor="text1"/>
        </w:rPr>
        <w:t xml:space="preserve"> (P(Y = 0|d = </w:t>
      </w:r>
      <w:r>
        <w:rPr>
          <w:rFonts w:ascii="Arial" w:hAnsi="Arial" w:cs="Arial"/>
          <w:color w:val="000000" w:themeColor="text1"/>
        </w:rPr>
        <w:t>1</w:t>
      </w:r>
      <w:r w:rsidRPr="00C61E0B">
        <w:rPr>
          <w:rFonts w:ascii="Arial" w:hAnsi="Arial" w:cs="Arial"/>
          <w:color w:val="000000" w:themeColor="text1"/>
        </w:rPr>
        <w:t xml:space="preserve">,G = NHW) = P(Y = 0|d = </w:t>
      </w:r>
      <w:r>
        <w:rPr>
          <w:rFonts w:ascii="Arial" w:hAnsi="Arial" w:cs="Arial"/>
          <w:color w:val="000000" w:themeColor="text1"/>
        </w:rPr>
        <w:t>1</w:t>
      </w:r>
      <w:r w:rsidRPr="00C61E0B">
        <w:rPr>
          <w:rFonts w:ascii="Arial" w:hAnsi="Arial" w:cs="Arial"/>
          <w:color w:val="000000" w:themeColor="text1"/>
        </w:rPr>
        <w:t>,G = NHB ))</w:t>
      </w:r>
    </w:p>
    <w:p w14:paraId="1EF434A7" w14:textId="77777777" w:rsidR="0012009A" w:rsidRPr="00C61E0B" w:rsidRDefault="0012009A" w:rsidP="0012009A">
      <w:pPr>
        <w:spacing w:line="480" w:lineRule="auto"/>
        <w:jc w:val="both"/>
        <w:rPr>
          <w:rFonts w:ascii="Arial" w:hAnsi="Arial" w:cs="Arial"/>
          <w:color w:val="000000" w:themeColor="text1"/>
        </w:rPr>
      </w:pPr>
      <w:r w:rsidRPr="00C61E0B">
        <w:rPr>
          <w:rFonts w:ascii="Arial" w:hAnsi="Arial" w:cs="Arial"/>
          <w:b/>
          <w:bCs/>
          <w:color w:val="000000" w:themeColor="text1"/>
          <w:u w:val="single"/>
        </w:rPr>
        <w:t>Conditional use accuracy equality</w:t>
      </w:r>
      <w:r w:rsidRPr="00C61E0B">
        <w:rPr>
          <w:rFonts w:ascii="Arial" w:hAnsi="Arial" w:cs="Arial"/>
          <w:b/>
          <w:bCs/>
          <w:color w:val="000000" w:themeColor="text1"/>
        </w:rPr>
        <w:t>:</w:t>
      </w:r>
      <w:r w:rsidRPr="00C61E0B">
        <w:rPr>
          <w:rFonts w:ascii="Arial" w:hAnsi="Arial" w:cs="Arial"/>
          <w:color w:val="000000" w:themeColor="text1"/>
        </w:rPr>
        <w:t xml:space="preserve"> protected and privileged groups equal PPV and Negative Predictive Value (NPV) – the probability of subjects with positive predictive value truly belonging to the positive class and the probability of subjects with negative predictive value truly belonging to the negative class.</w:t>
      </w:r>
    </w:p>
    <w:p w14:paraId="19949FCB"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case, the probability of a subject predicted to be hospitalized to actually have the outcome, and the probability of a subject predicted to not be hospitalized to actually not have the hospitalization outcome, should be the same between NHW vs. NHB/Hispanic.</w:t>
      </w:r>
    </w:p>
    <w:p w14:paraId="75C30044" w14:textId="777777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w:t>
      </w:r>
      <w:proofErr w:type="gramStart"/>
      <w:r w:rsidRPr="00C61E0B">
        <w:rPr>
          <w:rFonts w:ascii="Arial" w:hAnsi="Arial" w:cs="Arial"/>
          <w:color w:val="000000" w:themeColor="text1"/>
        </w:rPr>
        <w:t>P(</w:t>
      </w:r>
      <w:proofErr w:type="gramEnd"/>
      <w:r w:rsidRPr="00C61E0B">
        <w:rPr>
          <w:rFonts w:ascii="Arial" w:hAnsi="Arial" w:cs="Arial"/>
          <w:color w:val="000000" w:themeColor="text1"/>
        </w:rPr>
        <w:t xml:space="preserve">Y = 1|d = 1,G = NHW) = P(Y = 1|d = 1,G = NHB )) </w:t>
      </w:r>
      <w:r w:rsidRPr="00C61E0B">
        <w:rPr>
          <w:rFonts w:ascii="Cambria Math" w:hAnsi="Cambria Math" w:cs="Cambria Math"/>
          <w:color w:val="000000" w:themeColor="text1"/>
        </w:rPr>
        <w:t>∧</w:t>
      </w:r>
      <w:r w:rsidRPr="00C61E0B">
        <w:rPr>
          <w:rFonts w:ascii="Arial" w:hAnsi="Arial" w:cs="Arial"/>
          <w:color w:val="000000" w:themeColor="text1"/>
        </w:rPr>
        <w:t xml:space="preserve"> (P(Y = 0|d = 0,G = NHW) = P(Y = 0|d = 0,G = NHB ))</w:t>
      </w:r>
    </w:p>
    <w:p w14:paraId="54EE2285" w14:textId="77777777" w:rsidR="0012009A" w:rsidRPr="00C61E0B" w:rsidRDefault="0012009A" w:rsidP="0012009A">
      <w:pPr>
        <w:spacing w:line="480" w:lineRule="auto"/>
        <w:jc w:val="both"/>
        <w:rPr>
          <w:rFonts w:ascii="Arial" w:hAnsi="Arial" w:cs="Arial"/>
          <w:color w:val="000000" w:themeColor="text1"/>
        </w:rPr>
      </w:pPr>
      <w:r w:rsidRPr="00C61E0B">
        <w:rPr>
          <w:rFonts w:ascii="Arial" w:hAnsi="Arial" w:cs="Arial"/>
          <w:b/>
          <w:bCs/>
          <w:color w:val="000000" w:themeColor="text1"/>
          <w:u w:val="single"/>
        </w:rPr>
        <w:t>Treatment equality:</w:t>
      </w:r>
      <w:r w:rsidRPr="00C61E0B">
        <w:rPr>
          <w:rFonts w:ascii="Arial" w:hAnsi="Arial" w:cs="Arial"/>
          <w:color w:val="000000" w:themeColor="text1"/>
        </w:rPr>
        <w:t xml:space="preserve"> both protected and privileged groups have an equal ratio of false negatives (FN) and false positives (FP).</w:t>
      </w:r>
    </w:p>
    <w:p w14:paraId="4EAF1EDC"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example, the ratio of FP to FN is the same for NHW and NHB/Hispanic.</w:t>
      </w:r>
    </w:p>
    <w:p w14:paraId="2F3FAFE5" w14:textId="777777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FN/FP (NHW) = FN/FP (NHB)</w:t>
      </w:r>
    </w:p>
    <w:p w14:paraId="394BB317" w14:textId="77777777" w:rsidR="0012009A" w:rsidRPr="00C61E0B" w:rsidRDefault="0012009A" w:rsidP="0012009A">
      <w:pPr>
        <w:spacing w:line="480" w:lineRule="auto"/>
        <w:jc w:val="both"/>
        <w:rPr>
          <w:rFonts w:ascii="Arial" w:hAnsi="Arial" w:cs="Arial"/>
          <w:color w:val="000000" w:themeColor="text1"/>
        </w:rPr>
      </w:pPr>
    </w:p>
    <w:p w14:paraId="28225D76" w14:textId="77777777" w:rsidR="0012009A" w:rsidRPr="00C61E0B" w:rsidRDefault="0012009A" w:rsidP="0012009A">
      <w:pPr>
        <w:spacing w:line="480" w:lineRule="auto"/>
        <w:jc w:val="both"/>
        <w:rPr>
          <w:rFonts w:ascii="Arial" w:hAnsi="Arial" w:cs="Arial"/>
          <w:color w:val="000000" w:themeColor="text1"/>
        </w:rPr>
      </w:pPr>
      <w:r>
        <w:rPr>
          <w:rFonts w:ascii="Arial" w:hAnsi="Arial" w:cs="Arial"/>
          <w:b/>
          <w:bCs/>
          <w:color w:val="000000" w:themeColor="text1"/>
          <w:u w:val="single"/>
        </w:rPr>
        <w:t>E</w:t>
      </w:r>
      <w:r w:rsidRPr="00C61E0B">
        <w:rPr>
          <w:rFonts w:ascii="Arial" w:hAnsi="Arial" w:cs="Arial"/>
          <w:b/>
          <w:bCs/>
          <w:color w:val="000000" w:themeColor="text1"/>
          <w:u w:val="single"/>
        </w:rPr>
        <w:t>quality of opportunity (a.k.a.</w:t>
      </w:r>
      <w:r>
        <w:rPr>
          <w:rFonts w:ascii="Arial" w:hAnsi="Arial" w:cs="Arial"/>
          <w:b/>
          <w:bCs/>
          <w:color w:val="000000" w:themeColor="text1"/>
          <w:u w:val="single"/>
        </w:rPr>
        <w:t>, f</w:t>
      </w:r>
      <w:r w:rsidRPr="00C61E0B">
        <w:rPr>
          <w:rFonts w:ascii="Arial" w:hAnsi="Arial" w:cs="Arial"/>
          <w:b/>
          <w:bCs/>
          <w:color w:val="000000" w:themeColor="text1"/>
          <w:u w:val="single"/>
        </w:rPr>
        <w:t>alse negative error rate balance):</w:t>
      </w:r>
      <w:r w:rsidRPr="00C61E0B">
        <w:rPr>
          <w:rFonts w:ascii="Arial" w:hAnsi="Arial" w:cs="Arial"/>
          <w:color w:val="000000" w:themeColor="text1"/>
        </w:rPr>
        <w:t xml:space="preserve"> both protected and privileged groups have equal FNR – the probability of a subject in a positive class having a negative predictive value.</w:t>
      </w:r>
    </w:p>
    <w:p w14:paraId="4968451E"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case, the probability of an individual that has the hospitalization outcome but incorrectly predicted to not be hospitalized, should be the same between NHW vs. NHB/Hispanic.</w:t>
      </w:r>
    </w:p>
    <w:p w14:paraId="40307427" w14:textId="777777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P (d = 0 | Y = 1, G = NHW) = P (d = 0 | Y = 1, G = NHB)</w:t>
      </w:r>
    </w:p>
    <w:p w14:paraId="1DE4D75C" w14:textId="43B4675A" w:rsidR="0012009A" w:rsidRPr="00C61E0B" w:rsidRDefault="0012009A" w:rsidP="0012009A">
      <w:pPr>
        <w:spacing w:line="480" w:lineRule="auto"/>
        <w:jc w:val="both"/>
        <w:rPr>
          <w:rFonts w:ascii="Arial" w:hAnsi="Arial" w:cs="Arial"/>
          <w:color w:val="000000" w:themeColor="text1"/>
        </w:rPr>
      </w:pPr>
      <w:r w:rsidRPr="00C61E0B">
        <w:rPr>
          <w:rFonts w:ascii="Arial" w:hAnsi="Arial" w:cs="Arial"/>
          <w:b/>
          <w:bCs/>
          <w:color w:val="000000" w:themeColor="text1"/>
          <w:u w:val="single"/>
        </w:rPr>
        <w:t>Overall accuracy equality:</w:t>
      </w:r>
      <w:r w:rsidRPr="00C61E0B">
        <w:rPr>
          <w:rFonts w:ascii="Arial" w:hAnsi="Arial" w:cs="Arial"/>
          <w:color w:val="000000" w:themeColor="text1"/>
        </w:rPr>
        <w:t xml:space="preserve"> both protected and privileged groups have equal prediction accuracy – the probability of a subject from either a positive or negative class being assigned to its respective </w:t>
      </w:r>
      <w:proofErr w:type="spellStart"/>
      <w:proofErr w:type="gramStart"/>
      <w:r w:rsidRPr="00C61E0B">
        <w:rPr>
          <w:rFonts w:ascii="Arial" w:hAnsi="Arial" w:cs="Arial"/>
          <w:color w:val="000000" w:themeColor="text1"/>
        </w:rPr>
        <w:t>class.</w:t>
      </w:r>
      <w:r w:rsidR="00B4434E">
        <w:rPr>
          <w:rFonts w:ascii="Arial" w:hAnsi="Arial" w:cs="Arial"/>
          <w:color w:val="000000" w:themeColor="text1"/>
        </w:rPr>
        <w:t>W</w:t>
      </w:r>
      <w:proofErr w:type="spellEnd"/>
      <w:proofErr w:type="gramEnd"/>
    </w:p>
    <w:p w14:paraId="6F269A11" w14:textId="77777777" w:rsidR="0012009A" w:rsidRPr="00C61E0B" w:rsidRDefault="0012009A" w:rsidP="0012009A">
      <w:pPr>
        <w:pStyle w:val="ListParagraph"/>
        <w:numPr>
          <w:ilvl w:val="0"/>
          <w:numId w:val="3"/>
        </w:numPr>
        <w:spacing w:line="480" w:lineRule="auto"/>
        <w:jc w:val="both"/>
        <w:rPr>
          <w:rFonts w:ascii="Arial" w:hAnsi="Arial" w:cs="Arial"/>
          <w:color w:val="000000" w:themeColor="text1"/>
        </w:rPr>
      </w:pPr>
      <w:r w:rsidRPr="00C61E0B">
        <w:rPr>
          <w:rFonts w:ascii="Arial" w:hAnsi="Arial" w:cs="Arial"/>
          <w:color w:val="000000" w:themeColor="text1"/>
        </w:rPr>
        <w:t>In our case, the probability of a subject with the disease being correctly predicted to have the hospitalization outcome and a subject without the disease to be correctly predicted to not be hospitalized is the same for NHW vs. NHB/Hispanic.</w:t>
      </w:r>
    </w:p>
    <w:p w14:paraId="36F1807A" w14:textId="6D85DE77" w:rsidR="0012009A" w:rsidRPr="00C61E0B" w:rsidRDefault="0012009A" w:rsidP="0012009A">
      <w:pPr>
        <w:pStyle w:val="ListParagraph"/>
        <w:numPr>
          <w:ilvl w:val="1"/>
          <w:numId w:val="3"/>
        </w:numPr>
        <w:spacing w:line="480" w:lineRule="auto"/>
        <w:jc w:val="both"/>
        <w:rPr>
          <w:rFonts w:ascii="Arial" w:hAnsi="Arial" w:cs="Arial"/>
          <w:color w:val="000000" w:themeColor="text1"/>
        </w:rPr>
      </w:pPr>
      <w:r w:rsidRPr="00C61E0B">
        <w:rPr>
          <w:rFonts w:ascii="Arial" w:hAnsi="Arial" w:cs="Arial"/>
          <w:color w:val="000000" w:themeColor="text1"/>
        </w:rPr>
        <w:t xml:space="preserve">P (d = </w:t>
      </w:r>
      <w:r w:rsidR="00B4434E" w:rsidRPr="00C61E0B">
        <w:rPr>
          <w:rFonts w:ascii="Arial" w:hAnsi="Arial" w:cs="Arial"/>
          <w:color w:val="000000" w:themeColor="text1"/>
        </w:rPr>
        <w:t>Y, G</w:t>
      </w:r>
      <w:r w:rsidRPr="00C61E0B">
        <w:rPr>
          <w:rFonts w:ascii="Arial" w:hAnsi="Arial" w:cs="Arial"/>
          <w:color w:val="000000" w:themeColor="text1"/>
        </w:rPr>
        <w:t xml:space="preserve"> = NHW) = </w:t>
      </w:r>
      <w:r w:rsidR="00B4434E" w:rsidRPr="00C61E0B">
        <w:rPr>
          <w:rFonts w:ascii="Arial" w:hAnsi="Arial" w:cs="Arial"/>
          <w:color w:val="000000" w:themeColor="text1"/>
        </w:rPr>
        <w:t>P (</w:t>
      </w:r>
      <w:r w:rsidRPr="00C61E0B">
        <w:rPr>
          <w:rFonts w:ascii="Arial" w:hAnsi="Arial" w:cs="Arial"/>
          <w:color w:val="000000" w:themeColor="text1"/>
        </w:rPr>
        <w:t xml:space="preserve">d = </w:t>
      </w:r>
      <w:r w:rsidR="00B4434E" w:rsidRPr="00C61E0B">
        <w:rPr>
          <w:rFonts w:ascii="Arial" w:hAnsi="Arial" w:cs="Arial"/>
          <w:color w:val="000000" w:themeColor="text1"/>
        </w:rPr>
        <w:t>Y, G</w:t>
      </w:r>
      <w:r w:rsidRPr="00C61E0B">
        <w:rPr>
          <w:rFonts w:ascii="Arial" w:hAnsi="Arial" w:cs="Arial"/>
          <w:color w:val="000000" w:themeColor="text1"/>
        </w:rPr>
        <w:t xml:space="preserve"> = NHB)</w:t>
      </w:r>
    </w:p>
    <w:p w14:paraId="69DA9D5D" w14:textId="77777777" w:rsidR="0012009A" w:rsidRDefault="0012009A" w:rsidP="0012009A">
      <w:pPr>
        <w:spacing w:line="480" w:lineRule="auto"/>
        <w:rPr>
          <w:rFonts w:ascii="Arial" w:hAnsi="Arial" w:cs="Arial"/>
        </w:rPr>
      </w:pPr>
      <w:r>
        <w:rPr>
          <w:rFonts w:ascii="Arial" w:hAnsi="Arial" w:cs="Arial"/>
        </w:rPr>
        <w:br w:type="page"/>
      </w:r>
    </w:p>
    <w:p w14:paraId="02D3D8D9" w14:textId="56FBB01F" w:rsidR="0012009A" w:rsidRPr="00C61E0B" w:rsidRDefault="006F284C" w:rsidP="0012009A">
      <w:pPr>
        <w:spacing w:line="480" w:lineRule="auto"/>
        <w:jc w:val="both"/>
        <w:rPr>
          <w:rFonts w:ascii="Arial" w:hAnsi="Arial" w:cs="Arial"/>
          <w:lang w:eastAsia="zh-TW"/>
        </w:rPr>
      </w:pPr>
      <w:r>
        <w:rPr>
          <w:rFonts w:ascii="Arial" w:hAnsi="Arial" w:cs="Arial"/>
          <w:b/>
          <w:lang w:eastAsia="zh-TW"/>
        </w:rPr>
        <w:lastRenderedPageBreak/>
        <w:t xml:space="preserve">S2. </w:t>
      </w:r>
      <w:r w:rsidR="0012009A">
        <w:rPr>
          <w:rFonts w:ascii="Arial" w:hAnsi="Arial" w:cs="Arial"/>
          <w:b/>
          <w:lang w:eastAsia="zh-TW"/>
        </w:rPr>
        <w:t>Individual</w:t>
      </w:r>
      <w:r w:rsidR="00AC2975">
        <w:rPr>
          <w:rFonts w:ascii="Arial" w:hAnsi="Arial" w:cs="Arial"/>
          <w:b/>
          <w:lang w:eastAsia="zh-TW"/>
        </w:rPr>
        <w:t>-level</w:t>
      </w:r>
      <w:r w:rsidR="0012009A">
        <w:rPr>
          <w:rFonts w:ascii="Arial" w:hAnsi="Arial" w:cs="Arial"/>
          <w:b/>
          <w:lang w:eastAsia="zh-TW"/>
        </w:rPr>
        <w:t xml:space="preserve"> </w:t>
      </w:r>
      <w:proofErr w:type="spellStart"/>
      <w:r w:rsidR="0012009A">
        <w:rPr>
          <w:rFonts w:ascii="Arial" w:hAnsi="Arial" w:cs="Arial"/>
          <w:b/>
          <w:lang w:eastAsia="zh-TW"/>
        </w:rPr>
        <w:t>SDoH</w:t>
      </w:r>
      <w:proofErr w:type="spellEnd"/>
    </w:p>
    <w:p w14:paraId="1432AB11" w14:textId="2431576E" w:rsidR="0012009A" w:rsidRPr="00984EB6" w:rsidRDefault="0012009A" w:rsidP="0012009A">
      <w:pPr>
        <w:autoSpaceDE w:val="0"/>
        <w:autoSpaceDN w:val="0"/>
        <w:adjustRightInd w:val="0"/>
        <w:spacing w:line="480" w:lineRule="auto"/>
        <w:jc w:val="both"/>
        <w:rPr>
          <w:rFonts w:ascii="Arial" w:hAnsi="Arial" w:cs="Arial"/>
        </w:rPr>
      </w:pPr>
      <w:r w:rsidRPr="00984EB6">
        <w:rPr>
          <w:rFonts w:ascii="Arial" w:hAnsi="Arial" w:cs="Arial"/>
        </w:rPr>
        <w:t xml:space="preserve">We used SODA(i.e., </w:t>
      </w:r>
      <w:proofErr w:type="spellStart"/>
      <w:r w:rsidRPr="00984EB6">
        <w:rPr>
          <w:rFonts w:ascii="Arial" w:hAnsi="Arial" w:cs="Arial"/>
        </w:rPr>
        <w:t>SOcial</w:t>
      </w:r>
      <w:proofErr w:type="spellEnd"/>
      <w:r w:rsidRPr="00984EB6">
        <w:rPr>
          <w:rFonts w:ascii="Arial" w:hAnsi="Arial" w:cs="Arial"/>
        </w:rPr>
        <w:t xml:space="preserve"> </w:t>
      </w:r>
      <w:proofErr w:type="spellStart"/>
      <w:r w:rsidRPr="00984EB6">
        <w:rPr>
          <w:rFonts w:ascii="Arial" w:hAnsi="Arial" w:cs="Arial"/>
        </w:rPr>
        <w:t>DeterminAnts</w:t>
      </w:r>
      <w:proofErr w:type="spellEnd"/>
      <w:r w:rsidRPr="00984EB6">
        <w:rPr>
          <w:rFonts w:ascii="Arial" w:hAnsi="Arial" w:cs="Arial"/>
        </w:rPr>
        <w:t>)</w:t>
      </w:r>
      <w:r w:rsidRPr="00984EB6">
        <w:rPr>
          <w:rFonts w:ascii="Arial" w:hAnsi="Arial" w:cs="Arial"/>
        </w:rPr>
        <w:fldChar w:fldCharType="begin" w:fldLock="1"/>
      </w:r>
      <w:r w:rsidRPr="00984EB6">
        <w:rPr>
          <w:rFonts w:ascii="Arial" w:hAnsi="Arial" w:cs="Arial"/>
        </w:rPr>
        <w:instrText>ADDIN paperpile_citation &lt;clusterId&gt;W935J183F673D196&lt;/clusterId&gt;&lt;metadata&gt;&lt;citation&gt;&lt;id&gt;f8a23d2b-b3de-443d-80aa-c10d1a909b2e&lt;/id&gt;&lt;/citation&gt;&lt;/metadata&gt;&lt;data&gt;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&lt;/data&gt; \* MERGEFORMAT</w:instrText>
      </w:r>
      <w:r w:rsidRPr="00984EB6">
        <w:rPr>
          <w:rFonts w:ascii="Arial" w:hAnsi="Arial" w:cs="Arial"/>
        </w:rPr>
        <w:fldChar w:fldCharType="separate"/>
      </w:r>
      <w:r w:rsidR="005C493B" w:rsidRPr="005C493B">
        <w:rPr>
          <w:rFonts w:ascii="Arial" w:hAnsi="Arial" w:cs="Arial"/>
          <w:noProof/>
          <w:vertAlign w:val="superscript"/>
        </w:rPr>
        <w:t>3</w:t>
      </w:r>
      <w:r w:rsidRPr="00984EB6">
        <w:rPr>
          <w:rFonts w:ascii="Arial" w:hAnsi="Arial" w:cs="Arial"/>
        </w:rPr>
        <w:fldChar w:fldCharType="end"/>
      </w:r>
      <w:r w:rsidRPr="00984EB6">
        <w:rPr>
          <w:rFonts w:ascii="Arial" w:hAnsi="Arial" w:cs="Arial"/>
        </w:rPr>
        <w:t xml:space="preserve">, a two-stage NLP extracting </w:t>
      </w:r>
      <w:proofErr w:type="spellStart"/>
      <w:r w:rsidRPr="00984EB6">
        <w:rPr>
          <w:rFonts w:ascii="Arial" w:hAnsi="Arial" w:cs="Arial"/>
        </w:rPr>
        <w:t>SDoH</w:t>
      </w:r>
      <w:proofErr w:type="spellEnd"/>
      <w:r w:rsidRPr="00984EB6">
        <w:rPr>
          <w:rFonts w:ascii="Arial" w:hAnsi="Arial" w:cs="Arial"/>
        </w:rPr>
        <w:t xml:space="preserve"> pipeline, including (1) concept extraction to identify </w:t>
      </w:r>
      <w:proofErr w:type="spellStart"/>
      <w:r w:rsidRPr="00984EB6">
        <w:rPr>
          <w:rFonts w:ascii="Arial" w:hAnsi="Arial" w:cs="Arial"/>
        </w:rPr>
        <w:t>SDoH</w:t>
      </w:r>
      <w:proofErr w:type="spellEnd"/>
      <w:r w:rsidRPr="00984EB6">
        <w:rPr>
          <w:rFonts w:ascii="Arial" w:hAnsi="Arial" w:cs="Arial"/>
        </w:rPr>
        <w:t xml:space="preserve"> concepts and attributes and (2) relation extraction to link the attribute to the targeted </w:t>
      </w:r>
      <w:proofErr w:type="spellStart"/>
      <w:r w:rsidRPr="00984EB6">
        <w:rPr>
          <w:rFonts w:ascii="Arial" w:hAnsi="Arial" w:cs="Arial"/>
        </w:rPr>
        <w:t>SDoH</w:t>
      </w:r>
      <w:proofErr w:type="spellEnd"/>
      <w:r w:rsidRPr="00984EB6">
        <w:rPr>
          <w:rFonts w:ascii="Arial" w:hAnsi="Arial" w:cs="Arial"/>
        </w:rPr>
        <w:t xml:space="preserve"> concepts, to extract individual</w:t>
      </w:r>
      <w:r w:rsidR="00842DDC">
        <w:rPr>
          <w:rFonts w:ascii="Arial" w:hAnsi="Arial" w:cs="Arial"/>
        </w:rPr>
        <w:t>-level</w:t>
      </w:r>
      <w:r w:rsidRPr="00984EB6">
        <w:rPr>
          <w:rFonts w:ascii="Arial" w:hAnsi="Arial" w:cs="Arial"/>
        </w:rPr>
        <w:t xml:space="preserve"> </w:t>
      </w:r>
      <w:proofErr w:type="spellStart"/>
      <w:r w:rsidRPr="00984EB6">
        <w:rPr>
          <w:rFonts w:ascii="Arial" w:hAnsi="Arial" w:cs="Arial"/>
        </w:rPr>
        <w:t>SDoH</w:t>
      </w:r>
      <w:proofErr w:type="spellEnd"/>
      <w:r w:rsidRPr="00984EB6">
        <w:rPr>
          <w:rFonts w:ascii="Arial" w:hAnsi="Arial" w:cs="Arial"/>
        </w:rPr>
        <w:t xml:space="preserve"> from unstructured EHR data that cover a broad spectrum of social (e.g., food insecurity), behavioral (e.g., physical activities), and psychological (e.g., stress) information essential to T2D care and outcomes.</w:t>
      </w:r>
      <w:r>
        <w:rPr>
          <w:rFonts w:ascii="Arial" w:hAnsi="Arial" w:cs="Arial"/>
        </w:rPr>
        <w:t xml:space="preserve">  </w:t>
      </w:r>
    </w:p>
    <w:p w14:paraId="76D9616C" w14:textId="77777777" w:rsidR="0012009A" w:rsidRDefault="0012009A" w:rsidP="0012009A">
      <w:pPr>
        <w:spacing w:line="480" w:lineRule="auto"/>
        <w:jc w:val="both"/>
        <w:rPr>
          <w:rFonts w:ascii="Arial" w:hAnsi="Arial" w:cs="Arial"/>
          <w:b/>
          <w:lang w:eastAsia="zh-TW"/>
        </w:rPr>
      </w:pPr>
    </w:p>
    <w:p w14:paraId="0C7B7090" w14:textId="0B023809" w:rsidR="0012009A" w:rsidRPr="00C61E0B" w:rsidRDefault="006F284C" w:rsidP="0012009A">
      <w:pPr>
        <w:spacing w:line="480" w:lineRule="auto"/>
        <w:jc w:val="both"/>
        <w:rPr>
          <w:rFonts w:ascii="Arial" w:hAnsi="Arial" w:cs="Arial"/>
          <w:lang w:eastAsia="zh-TW"/>
        </w:rPr>
      </w:pPr>
      <w:r>
        <w:rPr>
          <w:rFonts w:ascii="Arial" w:hAnsi="Arial" w:cs="Arial"/>
          <w:b/>
          <w:lang w:eastAsia="zh-TW"/>
        </w:rPr>
        <w:t xml:space="preserve">S3. </w:t>
      </w:r>
      <w:r w:rsidR="0012009A">
        <w:rPr>
          <w:rFonts w:ascii="Arial" w:hAnsi="Arial" w:cs="Arial"/>
          <w:b/>
          <w:lang w:eastAsia="zh-TW"/>
        </w:rPr>
        <w:t>Contextual</w:t>
      </w:r>
      <w:r w:rsidR="0009440A">
        <w:rPr>
          <w:rFonts w:ascii="Arial" w:hAnsi="Arial" w:cs="Arial"/>
          <w:b/>
          <w:lang w:eastAsia="zh-TW"/>
        </w:rPr>
        <w:t>-level</w:t>
      </w:r>
      <w:r w:rsidR="0012009A">
        <w:rPr>
          <w:rFonts w:ascii="Arial" w:hAnsi="Arial" w:cs="Arial"/>
          <w:b/>
          <w:lang w:eastAsia="zh-TW"/>
        </w:rPr>
        <w:t xml:space="preserve"> </w:t>
      </w:r>
      <w:proofErr w:type="spellStart"/>
      <w:r w:rsidR="0012009A">
        <w:rPr>
          <w:rFonts w:ascii="Arial" w:hAnsi="Arial" w:cs="Arial"/>
          <w:b/>
          <w:lang w:eastAsia="zh-TW"/>
        </w:rPr>
        <w:t>SDoH</w:t>
      </w:r>
      <w:proofErr w:type="spellEnd"/>
    </w:p>
    <w:p w14:paraId="7699EF3E" w14:textId="77777777" w:rsidR="0012009A" w:rsidRPr="00C61E0B" w:rsidRDefault="0012009A" w:rsidP="0012009A">
      <w:pPr>
        <w:pStyle w:val="Caption"/>
        <w:spacing w:line="480" w:lineRule="auto"/>
        <w:rPr>
          <w:rFonts w:ascii="Arial" w:hAnsi="Arial" w:cs="Arial"/>
          <w:i w:val="0"/>
          <w:iCs w:val="0"/>
          <w:color w:val="000000" w:themeColor="text1"/>
          <w:sz w:val="20"/>
          <w:szCs w:val="20"/>
        </w:rPr>
      </w:pPr>
      <w:bookmarkStart w:id="0" w:name="_Ref135082464"/>
      <w:bookmarkStart w:id="1" w:name="_Ref135082446"/>
      <w:r w:rsidRPr="00C61E0B">
        <w:rPr>
          <w:rFonts w:ascii="Arial" w:hAnsi="Arial" w:cs="Arial"/>
          <w:b/>
          <w:bCs/>
          <w:i w:val="0"/>
          <w:iCs w:val="0"/>
          <w:color w:val="000000" w:themeColor="text1"/>
          <w:sz w:val="20"/>
          <w:szCs w:val="20"/>
        </w:rPr>
        <w:t>Table</w:t>
      </w:r>
      <w:bookmarkEnd w:id="0"/>
      <w:r w:rsidRPr="00C61E0B">
        <w:rPr>
          <w:rFonts w:ascii="Arial" w:hAnsi="Arial" w:cs="Arial"/>
          <w:b/>
          <w:bCs/>
          <w:i w:val="0"/>
          <w:iCs w:val="0"/>
          <w:color w:val="000000" w:themeColor="text1"/>
          <w:sz w:val="20"/>
          <w:szCs w:val="20"/>
        </w:rPr>
        <w:t xml:space="preserve"> S1.</w:t>
      </w:r>
      <w:r w:rsidRPr="00C61E0B">
        <w:rPr>
          <w:rFonts w:ascii="Arial" w:hAnsi="Arial" w:cs="Arial"/>
          <w:i w:val="0"/>
          <w:iCs w:val="0"/>
          <w:color w:val="000000" w:themeColor="text1"/>
          <w:sz w:val="20"/>
          <w:szCs w:val="20"/>
        </w:rPr>
        <w:t xml:space="preserve"> Summary of contextual-level </w:t>
      </w:r>
      <w:proofErr w:type="spellStart"/>
      <w:r w:rsidRPr="00C61E0B">
        <w:rPr>
          <w:rFonts w:ascii="Arial" w:hAnsi="Arial" w:cs="Arial"/>
          <w:i w:val="0"/>
          <w:iCs w:val="0"/>
          <w:color w:val="000000" w:themeColor="text1"/>
          <w:sz w:val="20"/>
          <w:szCs w:val="20"/>
        </w:rPr>
        <w:t>SDoH</w:t>
      </w:r>
      <w:bookmarkEnd w:id="1"/>
      <w:proofErr w:type="spellEnd"/>
      <w:r>
        <w:rPr>
          <w:rFonts w:ascii="Arial" w:hAnsi="Arial" w:cs="Arial"/>
          <w:i w:val="0"/>
          <w:iCs w:val="0"/>
          <w:color w:val="000000" w:themeColor="text1"/>
          <w:sz w:val="20"/>
          <w:szCs w:val="20"/>
        </w:rPr>
        <w:t>.</w:t>
      </w:r>
    </w:p>
    <w:tbl>
      <w:tblPr>
        <w:tblW w:w="9504" w:type="dxa"/>
        <w:tblLayout w:type="fixed"/>
        <w:tblCellMar>
          <w:left w:w="0" w:type="dxa"/>
          <w:right w:w="0" w:type="dxa"/>
        </w:tblCellMar>
        <w:tblLook w:val="04A0" w:firstRow="1" w:lastRow="0" w:firstColumn="1" w:lastColumn="0" w:noHBand="0" w:noVBand="1"/>
      </w:tblPr>
      <w:tblGrid>
        <w:gridCol w:w="1584"/>
        <w:gridCol w:w="2286"/>
        <w:gridCol w:w="1350"/>
        <w:gridCol w:w="1350"/>
        <w:gridCol w:w="1710"/>
        <w:gridCol w:w="1224"/>
      </w:tblGrid>
      <w:tr w:rsidR="0012009A" w:rsidRPr="00C61E0B" w14:paraId="2FCDB583" w14:textId="77777777" w:rsidTr="00B4434E">
        <w:trPr>
          <w:trHeight w:val="20"/>
        </w:trPr>
        <w:tc>
          <w:tcPr>
            <w:tcW w:w="1584" w:type="dxa"/>
            <w:tcBorders>
              <w:top w:val="single" w:sz="4" w:space="0" w:color="auto"/>
              <w:left w:val="nil"/>
              <w:bottom w:val="single" w:sz="4" w:space="0" w:color="auto"/>
              <w:right w:val="nil"/>
            </w:tcBorders>
            <w:shd w:val="clear" w:color="000000" w:fill="FFFFFF"/>
            <w:noWrap/>
            <w:vAlign w:val="center"/>
            <w:hideMark/>
          </w:tcPr>
          <w:p w14:paraId="0A7C20CD" w14:textId="77777777" w:rsidR="0012009A" w:rsidRPr="00C61E0B" w:rsidRDefault="0012009A" w:rsidP="00B4434E">
            <w:pPr>
              <w:spacing w:line="480" w:lineRule="auto"/>
              <w:ind w:left="90"/>
              <w:rPr>
                <w:rFonts w:ascii="Arial" w:hAnsi="Arial" w:cs="Arial"/>
                <w:b/>
                <w:color w:val="000000"/>
                <w:sz w:val="20"/>
                <w:szCs w:val="20"/>
              </w:rPr>
            </w:pPr>
          </w:p>
          <w:p w14:paraId="570314F0" w14:textId="77777777" w:rsidR="0012009A" w:rsidRPr="00C61E0B" w:rsidRDefault="0012009A" w:rsidP="00B4434E">
            <w:pPr>
              <w:spacing w:line="480" w:lineRule="auto"/>
              <w:ind w:left="90"/>
              <w:rPr>
                <w:rFonts w:ascii="Arial" w:hAnsi="Arial" w:cs="Arial"/>
                <w:b/>
                <w:color w:val="000000"/>
                <w:sz w:val="20"/>
                <w:szCs w:val="20"/>
              </w:rPr>
            </w:pPr>
            <w:r w:rsidRPr="00C61E0B">
              <w:rPr>
                <w:rFonts w:ascii="Arial" w:hAnsi="Arial" w:cs="Arial"/>
                <w:b/>
                <w:color w:val="000000"/>
                <w:sz w:val="20"/>
                <w:szCs w:val="20"/>
              </w:rPr>
              <w:t>Category</w:t>
            </w:r>
          </w:p>
        </w:tc>
        <w:tc>
          <w:tcPr>
            <w:tcW w:w="2286" w:type="dxa"/>
            <w:tcBorders>
              <w:top w:val="single" w:sz="4" w:space="0" w:color="auto"/>
              <w:left w:val="nil"/>
              <w:bottom w:val="single" w:sz="4" w:space="0" w:color="auto"/>
              <w:right w:val="nil"/>
            </w:tcBorders>
            <w:shd w:val="clear" w:color="000000" w:fill="FFFFFF"/>
            <w:noWrap/>
            <w:vAlign w:val="center"/>
            <w:hideMark/>
          </w:tcPr>
          <w:p w14:paraId="2C472B6E" w14:textId="77777777" w:rsidR="0012009A" w:rsidRPr="00C61E0B" w:rsidRDefault="0012009A" w:rsidP="00B4434E">
            <w:pPr>
              <w:spacing w:line="480" w:lineRule="auto"/>
              <w:ind w:left="100"/>
              <w:rPr>
                <w:rFonts w:ascii="Arial" w:hAnsi="Arial" w:cs="Arial"/>
                <w:b/>
                <w:color w:val="000000"/>
                <w:sz w:val="20"/>
                <w:szCs w:val="20"/>
              </w:rPr>
            </w:pPr>
            <w:r w:rsidRPr="00C61E0B">
              <w:rPr>
                <w:rFonts w:ascii="Arial" w:hAnsi="Arial" w:cs="Arial"/>
                <w:b/>
                <w:color w:val="000000"/>
                <w:sz w:val="20"/>
                <w:szCs w:val="20"/>
              </w:rPr>
              <w:t>Data source</w:t>
            </w:r>
          </w:p>
        </w:tc>
        <w:tc>
          <w:tcPr>
            <w:tcW w:w="1350" w:type="dxa"/>
            <w:tcBorders>
              <w:top w:val="single" w:sz="4" w:space="0" w:color="auto"/>
              <w:left w:val="nil"/>
              <w:bottom w:val="single" w:sz="4" w:space="0" w:color="auto"/>
              <w:right w:val="nil"/>
            </w:tcBorders>
            <w:shd w:val="clear" w:color="000000" w:fill="FFFFFF"/>
            <w:noWrap/>
            <w:vAlign w:val="center"/>
            <w:hideMark/>
          </w:tcPr>
          <w:p w14:paraId="4159F88C" w14:textId="77777777" w:rsidR="0012009A" w:rsidRPr="00C61E0B" w:rsidRDefault="0012009A" w:rsidP="00B4434E">
            <w:pPr>
              <w:spacing w:line="480" w:lineRule="auto"/>
              <w:ind w:left="100"/>
              <w:rPr>
                <w:rFonts w:ascii="Arial" w:hAnsi="Arial" w:cs="Arial"/>
                <w:b/>
                <w:color w:val="000000"/>
                <w:sz w:val="20"/>
                <w:szCs w:val="20"/>
              </w:rPr>
            </w:pPr>
            <w:r w:rsidRPr="00C61E0B">
              <w:rPr>
                <w:rFonts w:ascii="Arial" w:hAnsi="Arial" w:cs="Arial"/>
                <w:b/>
                <w:color w:val="000000"/>
                <w:sz w:val="20"/>
                <w:szCs w:val="20"/>
              </w:rPr>
              <w:t>Time period</w:t>
            </w:r>
          </w:p>
        </w:tc>
        <w:tc>
          <w:tcPr>
            <w:tcW w:w="1350" w:type="dxa"/>
            <w:tcBorders>
              <w:top w:val="single" w:sz="4" w:space="0" w:color="auto"/>
              <w:left w:val="nil"/>
              <w:bottom w:val="single" w:sz="4" w:space="0" w:color="auto"/>
              <w:right w:val="nil"/>
            </w:tcBorders>
            <w:shd w:val="clear" w:color="000000" w:fill="FFFFFF"/>
            <w:noWrap/>
            <w:vAlign w:val="center"/>
            <w:hideMark/>
          </w:tcPr>
          <w:p w14:paraId="33A0E7AE" w14:textId="77777777" w:rsidR="0012009A" w:rsidRPr="00C61E0B" w:rsidRDefault="0012009A" w:rsidP="00B4434E">
            <w:pPr>
              <w:spacing w:line="480" w:lineRule="auto"/>
              <w:ind w:left="100"/>
              <w:rPr>
                <w:rFonts w:ascii="Arial" w:hAnsi="Arial" w:cs="Arial"/>
                <w:b/>
                <w:color w:val="000000"/>
                <w:sz w:val="20"/>
                <w:szCs w:val="20"/>
              </w:rPr>
            </w:pPr>
            <w:r w:rsidRPr="00C61E0B">
              <w:rPr>
                <w:rFonts w:ascii="Arial" w:hAnsi="Arial" w:cs="Arial"/>
                <w:b/>
                <w:color w:val="000000"/>
                <w:sz w:val="20"/>
                <w:szCs w:val="20"/>
              </w:rPr>
              <w:t>Spatial scale</w:t>
            </w:r>
          </w:p>
        </w:tc>
        <w:tc>
          <w:tcPr>
            <w:tcW w:w="1710" w:type="dxa"/>
            <w:tcBorders>
              <w:top w:val="single" w:sz="4" w:space="0" w:color="auto"/>
              <w:left w:val="nil"/>
              <w:bottom w:val="single" w:sz="4" w:space="0" w:color="auto"/>
              <w:right w:val="nil"/>
            </w:tcBorders>
            <w:shd w:val="clear" w:color="000000" w:fill="FFFFFF"/>
            <w:noWrap/>
            <w:vAlign w:val="center"/>
            <w:hideMark/>
          </w:tcPr>
          <w:p w14:paraId="3EE4C95D" w14:textId="77777777" w:rsidR="0012009A" w:rsidRPr="00C61E0B" w:rsidRDefault="0012009A" w:rsidP="00B4434E">
            <w:pPr>
              <w:spacing w:line="480" w:lineRule="auto"/>
              <w:ind w:left="100"/>
              <w:rPr>
                <w:rFonts w:ascii="Arial" w:hAnsi="Arial" w:cs="Arial"/>
                <w:b/>
                <w:color w:val="000000"/>
                <w:sz w:val="20"/>
                <w:szCs w:val="20"/>
              </w:rPr>
            </w:pPr>
            <w:r w:rsidRPr="00C61E0B">
              <w:rPr>
                <w:rFonts w:ascii="Arial" w:hAnsi="Arial" w:cs="Arial"/>
                <w:b/>
                <w:color w:val="000000"/>
                <w:sz w:val="20"/>
                <w:szCs w:val="20"/>
              </w:rPr>
              <w:t>Temporal scale</w:t>
            </w:r>
          </w:p>
        </w:tc>
        <w:tc>
          <w:tcPr>
            <w:tcW w:w="1224" w:type="dxa"/>
            <w:tcBorders>
              <w:top w:val="single" w:sz="4" w:space="0" w:color="auto"/>
              <w:left w:val="nil"/>
              <w:bottom w:val="single" w:sz="4" w:space="0" w:color="auto"/>
              <w:right w:val="nil"/>
            </w:tcBorders>
            <w:shd w:val="clear" w:color="000000" w:fill="FFFFFF"/>
            <w:noWrap/>
            <w:vAlign w:val="center"/>
            <w:hideMark/>
          </w:tcPr>
          <w:p w14:paraId="6A0DD5BD" w14:textId="77777777" w:rsidR="0012009A" w:rsidRPr="00C61E0B" w:rsidRDefault="0012009A" w:rsidP="00B4434E">
            <w:pPr>
              <w:spacing w:line="480" w:lineRule="auto"/>
              <w:ind w:left="100"/>
              <w:rPr>
                <w:rFonts w:ascii="Arial" w:hAnsi="Arial" w:cs="Arial"/>
                <w:b/>
                <w:color w:val="000000"/>
                <w:sz w:val="20"/>
                <w:szCs w:val="20"/>
              </w:rPr>
            </w:pPr>
            <w:r w:rsidRPr="00C61E0B">
              <w:rPr>
                <w:rFonts w:ascii="Arial" w:hAnsi="Arial" w:cs="Arial"/>
                <w:b/>
                <w:color w:val="000000"/>
                <w:sz w:val="20"/>
                <w:szCs w:val="20"/>
              </w:rPr>
              <w:t>Number of variables</w:t>
            </w:r>
          </w:p>
        </w:tc>
      </w:tr>
      <w:tr w:rsidR="0012009A" w:rsidRPr="00C61E0B" w14:paraId="7BAE2C17" w14:textId="77777777" w:rsidTr="00B4434E">
        <w:trPr>
          <w:trHeight w:val="20"/>
        </w:trPr>
        <w:tc>
          <w:tcPr>
            <w:tcW w:w="1584" w:type="dxa"/>
            <w:tcBorders>
              <w:top w:val="nil"/>
              <w:left w:val="nil"/>
              <w:bottom w:val="nil"/>
              <w:right w:val="nil"/>
            </w:tcBorders>
            <w:shd w:val="clear" w:color="000000" w:fill="FFFFFF"/>
            <w:noWrap/>
            <w:vAlign w:val="center"/>
          </w:tcPr>
          <w:p w14:paraId="01B9341E" w14:textId="77777777" w:rsidR="0012009A" w:rsidRPr="00C61E0B" w:rsidRDefault="0012009A" w:rsidP="00B4434E">
            <w:pPr>
              <w:spacing w:line="480" w:lineRule="auto"/>
              <w:ind w:left="90"/>
              <w:rPr>
                <w:rFonts w:ascii="Arial" w:hAnsi="Arial" w:cs="Arial"/>
                <w:color w:val="000000"/>
                <w:sz w:val="20"/>
                <w:szCs w:val="20"/>
              </w:rPr>
            </w:pPr>
            <w:r w:rsidRPr="00C61E0B">
              <w:rPr>
                <w:rFonts w:ascii="Arial" w:hAnsi="Arial" w:cs="Arial"/>
                <w:color w:val="000000"/>
                <w:sz w:val="20"/>
                <w:szCs w:val="20"/>
              </w:rPr>
              <w:t>Rurality</w:t>
            </w:r>
          </w:p>
        </w:tc>
        <w:tc>
          <w:tcPr>
            <w:tcW w:w="2286" w:type="dxa"/>
            <w:tcBorders>
              <w:top w:val="nil"/>
              <w:left w:val="nil"/>
              <w:bottom w:val="nil"/>
              <w:right w:val="nil"/>
            </w:tcBorders>
            <w:shd w:val="clear" w:color="000000" w:fill="FFFFFF"/>
            <w:noWrap/>
            <w:vAlign w:val="center"/>
          </w:tcPr>
          <w:p w14:paraId="391107FD" w14:textId="77777777" w:rsidR="0012009A" w:rsidRPr="00C61E0B" w:rsidRDefault="0012009A" w:rsidP="00B4434E">
            <w:pPr>
              <w:spacing w:line="480" w:lineRule="auto"/>
              <w:ind w:left="100"/>
              <w:rPr>
                <w:rFonts w:ascii="Arial" w:hAnsi="Arial" w:cs="Arial"/>
                <w:color w:val="000000"/>
                <w:sz w:val="20"/>
                <w:szCs w:val="20"/>
              </w:rPr>
            </w:pPr>
            <w:r w:rsidRPr="00C61E0B">
              <w:rPr>
                <w:rFonts w:ascii="Arial" w:hAnsi="Arial" w:cs="Arial"/>
                <w:color w:val="000000"/>
                <w:sz w:val="20"/>
                <w:szCs w:val="20"/>
              </w:rPr>
              <w:t xml:space="preserve">Federal Information Processing System and USDA </w:t>
            </w:r>
          </w:p>
        </w:tc>
        <w:tc>
          <w:tcPr>
            <w:tcW w:w="1350" w:type="dxa"/>
            <w:tcBorders>
              <w:top w:val="nil"/>
              <w:left w:val="nil"/>
              <w:bottom w:val="nil"/>
              <w:right w:val="nil"/>
            </w:tcBorders>
            <w:shd w:val="clear" w:color="000000" w:fill="FFFFFF"/>
            <w:noWrap/>
            <w:vAlign w:val="center"/>
          </w:tcPr>
          <w:p w14:paraId="5D6C4B61" w14:textId="77777777" w:rsidR="0012009A" w:rsidRPr="00C61E0B" w:rsidRDefault="0012009A" w:rsidP="00B4434E">
            <w:pPr>
              <w:spacing w:line="480" w:lineRule="auto"/>
              <w:ind w:left="100"/>
              <w:rPr>
                <w:rFonts w:ascii="Arial" w:hAnsi="Arial" w:cs="Arial"/>
                <w:color w:val="000000"/>
                <w:sz w:val="20"/>
                <w:szCs w:val="20"/>
              </w:rPr>
            </w:pPr>
            <w:r w:rsidRPr="00C61E0B">
              <w:rPr>
                <w:rFonts w:ascii="Arial" w:hAnsi="Arial" w:cs="Arial"/>
                <w:color w:val="000000"/>
                <w:sz w:val="20"/>
                <w:szCs w:val="20"/>
              </w:rPr>
              <w:t>2015–2020</w:t>
            </w:r>
          </w:p>
        </w:tc>
        <w:tc>
          <w:tcPr>
            <w:tcW w:w="1350" w:type="dxa"/>
            <w:tcBorders>
              <w:top w:val="nil"/>
              <w:left w:val="nil"/>
              <w:bottom w:val="nil"/>
              <w:right w:val="nil"/>
            </w:tcBorders>
            <w:shd w:val="clear" w:color="000000" w:fill="FFFFFF"/>
            <w:noWrap/>
            <w:vAlign w:val="center"/>
          </w:tcPr>
          <w:p w14:paraId="1E94AA3F" w14:textId="77777777" w:rsidR="0012009A" w:rsidRPr="00C61E0B" w:rsidRDefault="0012009A" w:rsidP="00B4434E">
            <w:pPr>
              <w:spacing w:line="480" w:lineRule="auto"/>
              <w:ind w:left="100"/>
              <w:rPr>
                <w:rFonts w:ascii="Arial" w:hAnsi="Arial" w:cs="Arial"/>
                <w:color w:val="000000"/>
                <w:sz w:val="20"/>
                <w:szCs w:val="20"/>
              </w:rPr>
            </w:pPr>
            <w:r w:rsidRPr="00C61E0B">
              <w:rPr>
                <w:rFonts w:ascii="Arial" w:hAnsi="Arial" w:cs="Arial"/>
                <w:color w:val="000000"/>
                <w:sz w:val="20"/>
                <w:szCs w:val="20"/>
              </w:rPr>
              <w:t>County</w:t>
            </w:r>
          </w:p>
        </w:tc>
        <w:tc>
          <w:tcPr>
            <w:tcW w:w="1710" w:type="dxa"/>
            <w:tcBorders>
              <w:top w:val="nil"/>
              <w:left w:val="nil"/>
              <w:bottom w:val="nil"/>
              <w:right w:val="nil"/>
            </w:tcBorders>
            <w:shd w:val="clear" w:color="000000" w:fill="FFFFFF"/>
            <w:noWrap/>
            <w:vAlign w:val="center"/>
          </w:tcPr>
          <w:p w14:paraId="4853FCD7" w14:textId="77777777" w:rsidR="0012009A" w:rsidRPr="00C61E0B" w:rsidRDefault="0012009A" w:rsidP="00B4434E">
            <w:pPr>
              <w:spacing w:line="480" w:lineRule="auto"/>
              <w:ind w:left="100"/>
              <w:rPr>
                <w:rFonts w:ascii="Arial" w:hAnsi="Arial" w:cs="Arial"/>
                <w:color w:val="000000"/>
                <w:sz w:val="20"/>
                <w:szCs w:val="20"/>
              </w:rPr>
            </w:pPr>
            <w:r w:rsidRPr="00C61E0B">
              <w:rPr>
                <w:rFonts w:ascii="Arial" w:hAnsi="Arial" w:cs="Arial"/>
                <w:color w:val="000000"/>
                <w:sz w:val="20"/>
                <w:szCs w:val="20"/>
              </w:rPr>
              <w:t>Cross-sectional</w:t>
            </w:r>
          </w:p>
        </w:tc>
        <w:tc>
          <w:tcPr>
            <w:tcW w:w="1224" w:type="dxa"/>
            <w:tcBorders>
              <w:top w:val="nil"/>
              <w:left w:val="nil"/>
              <w:bottom w:val="nil"/>
              <w:right w:val="nil"/>
            </w:tcBorders>
            <w:shd w:val="clear" w:color="000000" w:fill="FFFFFF"/>
            <w:noWrap/>
            <w:vAlign w:val="center"/>
          </w:tcPr>
          <w:p w14:paraId="5917A8A8" w14:textId="77777777" w:rsidR="0012009A" w:rsidRPr="00C61E0B" w:rsidRDefault="0012009A" w:rsidP="00B4434E">
            <w:pPr>
              <w:spacing w:line="480" w:lineRule="auto"/>
              <w:ind w:left="100"/>
              <w:rPr>
                <w:rFonts w:ascii="Arial" w:hAnsi="Arial" w:cs="Arial"/>
                <w:color w:val="000000"/>
                <w:sz w:val="20"/>
                <w:szCs w:val="20"/>
              </w:rPr>
            </w:pPr>
            <w:r w:rsidRPr="00C61E0B">
              <w:rPr>
                <w:rFonts w:ascii="Arial" w:hAnsi="Arial" w:cs="Arial"/>
                <w:color w:val="000000"/>
                <w:sz w:val="20"/>
                <w:szCs w:val="20"/>
              </w:rPr>
              <w:t>1</w:t>
            </w:r>
          </w:p>
        </w:tc>
      </w:tr>
      <w:tr w:rsidR="0012009A" w:rsidRPr="00C61E0B" w14:paraId="2478F079" w14:textId="77777777" w:rsidTr="00B4434E">
        <w:trPr>
          <w:trHeight w:val="20"/>
        </w:trPr>
        <w:tc>
          <w:tcPr>
            <w:tcW w:w="1584" w:type="dxa"/>
            <w:tcBorders>
              <w:top w:val="nil"/>
              <w:left w:val="nil"/>
              <w:bottom w:val="nil"/>
              <w:right w:val="nil"/>
            </w:tcBorders>
            <w:shd w:val="clear" w:color="000000" w:fill="FFFFFF"/>
            <w:noWrap/>
            <w:vAlign w:val="center"/>
            <w:hideMark/>
          </w:tcPr>
          <w:p w14:paraId="63DE603F" w14:textId="77777777" w:rsidR="0012009A" w:rsidRPr="00C61E0B" w:rsidRDefault="0012009A" w:rsidP="00B4434E">
            <w:pPr>
              <w:spacing w:line="480" w:lineRule="auto"/>
              <w:ind w:left="90"/>
              <w:rPr>
                <w:rFonts w:ascii="Arial" w:hAnsi="Arial" w:cs="Arial"/>
                <w:bCs/>
                <w:color w:val="000000"/>
                <w:sz w:val="20"/>
                <w:szCs w:val="20"/>
              </w:rPr>
            </w:pPr>
            <w:r w:rsidRPr="00C61E0B">
              <w:rPr>
                <w:rFonts w:ascii="Arial" w:hAnsi="Arial" w:cs="Arial"/>
                <w:color w:val="000000"/>
                <w:sz w:val="20"/>
                <w:szCs w:val="20"/>
              </w:rPr>
              <w:t>Food access</w:t>
            </w:r>
          </w:p>
        </w:tc>
        <w:tc>
          <w:tcPr>
            <w:tcW w:w="2286" w:type="dxa"/>
            <w:tcBorders>
              <w:top w:val="nil"/>
              <w:left w:val="nil"/>
              <w:bottom w:val="nil"/>
              <w:right w:val="nil"/>
            </w:tcBorders>
            <w:shd w:val="clear" w:color="000000" w:fill="FFFFFF"/>
            <w:noWrap/>
            <w:vAlign w:val="center"/>
            <w:hideMark/>
          </w:tcPr>
          <w:p w14:paraId="651F2E52"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Food Access Research Atlas, USDA</w:t>
            </w:r>
          </w:p>
        </w:tc>
        <w:tc>
          <w:tcPr>
            <w:tcW w:w="1350" w:type="dxa"/>
            <w:tcBorders>
              <w:top w:val="nil"/>
              <w:left w:val="nil"/>
              <w:bottom w:val="nil"/>
              <w:right w:val="nil"/>
            </w:tcBorders>
            <w:shd w:val="clear" w:color="000000" w:fill="FFFFFF"/>
            <w:noWrap/>
            <w:vAlign w:val="center"/>
            <w:hideMark/>
          </w:tcPr>
          <w:p w14:paraId="7840ED08"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2015, 2019</w:t>
            </w:r>
          </w:p>
        </w:tc>
        <w:tc>
          <w:tcPr>
            <w:tcW w:w="1350" w:type="dxa"/>
            <w:tcBorders>
              <w:top w:val="nil"/>
              <w:left w:val="nil"/>
              <w:bottom w:val="nil"/>
              <w:right w:val="nil"/>
            </w:tcBorders>
            <w:shd w:val="clear" w:color="000000" w:fill="FFFFFF"/>
            <w:noWrap/>
            <w:vAlign w:val="center"/>
            <w:hideMark/>
          </w:tcPr>
          <w:p w14:paraId="6DD245AA"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Census tract</w:t>
            </w:r>
          </w:p>
        </w:tc>
        <w:tc>
          <w:tcPr>
            <w:tcW w:w="1710" w:type="dxa"/>
            <w:tcBorders>
              <w:top w:val="nil"/>
              <w:left w:val="nil"/>
              <w:bottom w:val="nil"/>
              <w:right w:val="nil"/>
            </w:tcBorders>
            <w:shd w:val="clear" w:color="000000" w:fill="FFFFFF"/>
            <w:noWrap/>
            <w:vAlign w:val="center"/>
            <w:hideMark/>
          </w:tcPr>
          <w:p w14:paraId="36C76B0B"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1-year</w:t>
            </w:r>
          </w:p>
        </w:tc>
        <w:tc>
          <w:tcPr>
            <w:tcW w:w="1224" w:type="dxa"/>
            <w:tcBorders>
              <w:top w:val="nil"/>
              <w:left w:val="nil"/>
              <w:bottom w:val="nil"/>
              <w:right w:val="nil"/>
            </w:tcBorders>
            <w:shd w:val="clear" w:color="000000" w:fill="FFFFFF"/>
            <w:noWrap/>
            <w:vAlign w:val="center"/>
            <w:hideMark/>
          </w:tcPr>
          <w:p w14:paraId="1B624836"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75</w:t>
            </w:r>
          </w:p>
        </w:tc>
      </w:tr>
      <w:tr w:rsidR="0012009A" w:rsidRPr="00C61E0B" w14:paraId="4BBBE211" w14:textId="77777777" w:rsidTr="00B4434E">
        <w:trPr>
          <w:trHeight w:val="20"/>
        </w:trPr>
        <w:tc>
          <w:tcPr>
            <w:tcW w:w="1584" w:type="dxa"/>
            <w:tcBorders>
              <w:top w:val="nil"/>
              <w:left w:val="nil"/>
              <w:bottom w:val="nil"/>
              <w:right w:val="nil"/>
            </w:tcBorders>
            <w:shd w:val="clear" w:color="000000" w:fill="FFFFFF"/>
            <w:noWrap/>
            <w:vAlign w:val="center"/>
            <w:hideMark/>
          </w:tcPr>
          <w:p w14:paraId="4EAE15EB" w14:textId="77777777" w:rsidR="0012009A" w:rsidRPr="00C61E0B" w:rsidRDefault="0012009A" w:rsidP="00B4434E">
            <w:pPr>
              <w:spacing w:line="480" w:lineRule="auto"/>
              <w:ind w:left="90"/>
              <w:rPr>
                <w:rFonts w:ascii="Arial" w:hAnsi="Arial" w:cs="Arial"/>
                <w:bCs/>
                <w:color w:val="000000"/>
                <w:sz w:val="20"/>
                <w:szCs w:val="20"/>
              </w:rPr>
            </w:pPr>
            <w:r w:rsidRPr="00C61E0B">
              <w:rPr>
                <w:rFonts w:ascii="Arial" w:hAnsi="Arial" w:cs="Arial"/>
                <w:color w:val="000000"/>
                <w:sz w:val="20"/>
                <w:szCs w:val="20"/>
              </w:rPr>
              <w:t>Walkability</w:t>
            </w:r>
          </w:p>
        </w:tc>
        <w:tc>
          <w:tcPr>
            <w:tcW w:w="2286" w:type="dxa"/>
            <w:tcBorders>
              <w:top w:val="nil"/>
              <w:left w:val="nil"/>
              <w:bottom w:val="nil"/>
              <w:right w:val="nil"/>
            </w:tcBorders>
            <w:shd w:val="clear" w:color="000000" w:fill="FFFFFF"/>
            <w:noWrap/>
            <w:vAlign w:val="center"/>
            <w:hideMark/>
          </w:tcPr>
          <w:p w14:paraId="078BA88C"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Walkability Index, EPA</w:t>
            </w:r>
          </w:p>
        </w:tc>
        <w:tc>
          <w:tcPr>
            <w:tcW w:w="1350" w:type="dxa"/>
            <w:tcBorders>
              <w:top w:val="nil"/>
              <w:left w:val="nil"/>
              <w:bottom w:val="nil"/>
              <w:right w:val="nil"/>
            </w:tcBorders>
            <w:shd w:val="clear" w:color="000000" w:fill="FFFFFF"/>
            <w:noWrap/>
            <w:vAlign w:val="center"/>
            <w:hideMark/>
          </w:tcPr>
          <w:p w14:paraId="13CDC3FA"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2006–2013</w:t>
            </w:r>
          </w:p>
        </w:tc>
        <w:tc>
          <w:tcPr>
            <w:tcW w:w="1350" w:type="dxa"/>
            <w:tcBorders>
              <w:top w:val="nil"/>
              <w:left w:val="nil"/>
              <w:bottom w:val="nil"/>
              <w:right w:val="nil"/>
            </w:tcBorders>
            <w:shd w:val="clear" w:color="000000" w:fill="FFFFFF"/>
            <w:noWrap/>
            <w:vAlign w:val="center"/>
            <w:hideMark/>
          </w:tcPr>
          <w:p w14:paraId="57E3FB60"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Census block group</w:t>
            </w:r>
          </w:p>
        </w:tc>
        <w:tc>
          <w:tcPr>
            <w:tcW w:w="1710" w:type="dxa"/>
            <w:tcBorders>
              <w:top w:val="nil"/>
              <w:left w:val="nil"/>
              <w:bottom w:val="nil"/>
              <w:right w:val="nil"/>
            </w:tcBorders>
            <w:shd w:val="clear" w:color="000000" w:fill="FFFFFF"/>
            <w:noWrap/>
            <w:vAlign w:val="center"/>
            <w:hideMark/>
          </w:tcPr>
          <w:p w14:paraId="602F7C7F"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Cross-sectional</w:t>
            </w:r>
          </w:p>
        </w:tc>
        <w:tc>
          <w:tcPr>
            <w:tcW w:w="1224" w:type="dxa"/>
            <w:tcBorders>
              <w:top w:val="nil"/>
              <w:left w:val="nil"/>
              <w:bottom w:val="nil"/>
              <w:right w:val="nil"/>
            </w:tcBorders>
            <w:shd w:val="clear" w:color="000000" w:fill="FFFFFF"/>
            <w:noWrap/>
            <w:vAlign w:val="center"/>
            <w:hideMark/>
          </w:tcPr>
          <w:p w14:paraId="18C80030"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w:t>
            </w:r>
          </w:p>
        </w:tc>
      </w:tr>
      <w:tr w:rsidR="0012009A" w:rsidRPr="00C61E0B" w14:paraId="4E4CB4E8" w14:textId="77777777" w:rsidTr="00B4434E">
        <w:trPr>
          <w:trHeight w:val="20"/>
        </w:trPr>
        <w:tc>
          <w:tcPr>
            <w:tcW w:w="1584" w:type="dxa"/>
            <w:tcBorders>
              <w:top w:val="nil"/>
              <w:left w:val="nil"/>
              <w:bottom w:val="nil"/>
              <w:right w:val="nil"/>
            </w:tcBorders>
            <w:shd w:val="clear" w:color="000000" w:fill="FFFFFF"/>
            <w:noWrap/>
            <w:vAlign w:val="center"/>
            <w:hideMark/>
          </w:tcPr>
          <w:p w14:paraId="01DC7B99" w14:textId="77777777" w:rsidR="0012009A" w:rsidRPr="00C61E0B" w:rsidRDefault="0012009A" w:rsidP="00B4434E">
            <w:pPr>
              <w:spacing w:line="480" w:lineRule="auto"/>
              <w:ind w:left="90"/>
              <w:rPr>
                <w:rFonts w:ascii="Arial" w:hAnsi="Arial" w:cs="Arial"/>
                <w:bCs/>
                <w:color w:val="000000"/>
                <w:sz w:val="20"/>
                <w:szCs w:val="20"/>
              </w:rPr>
            </w:pPr>
            <w:r w:rsidRPr="00C61E0B">
              <w:rPr>
                <w:rFonts w:ascii="Arial" w:hAnsi="Arial" w:cs="Arial"/>
                <w:color w:val="000000"/>
                <w:sz w:val="20"/>
                <w:szCs w:val="20"/>
              </w:rPr>
              <w:t>Vacant land</w:t>
            </w:r>
          </w:p>
        </w:tc>
        <w:tc>
          <w:tcPr>
            <w:tcW w:w="2286" w:type="dxa"/>
            <w:tcBorders>
              <w:top w:val="nil"/>
              <w:left w:val="nil"/>
              <w:bottom w:val="nil"/>
              <w:right w:val="nil"/>
            </w:tcBorders>
            <w:shd w:val="clear" w:color="000000" w:fill="FFFFFF"/>
            <w:noWrap/>
            <w:vAlign w:val="center"/>
            <w:hideMark/>
          </w:tcPr>
          <w:p w14:paraId="027E52C2"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Aggregated USPS Administrative Data on Address Vacancies, HUD</w:t>
            </w:r>
          </w:p>
        </w:tc>
        <w:tc>
          <w:tcPr>
            <w:tcW w:w="1350" w:type="dxa"/>
            <w:tcBorders>
              <w:top w:val="nil"/>
              <w:left w:val="nil"/>
              <w:bottom w:val="nil"/>
              <w:right w:val="nil"/>
            </w:tcBorders>
            <w:shd w:val="clear" w:color="000000" w:fill="FFFFFF"/>
            <w:noWrap/>
            <w:vAlign w:val="center"/>
            <w:hideMark/>
          </w:tcPr>
          <w:p w14:paraId="43399C78"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2015–2019</w:t>
            </w:r>
          </w:p>
        </w:tc>
        <w:tc>
          <w:tcPr>
            <w:tcW w:w="1350" w:type="dxa"/>
            <w:tcBorders>
              <w:top w:val="nil"/>
              <w:left w:val="nil"/>
              <w:bottom w:val="nil"/>
              <w:right w:val="nil"/>
            </w:tcBorders>
            <w:shd w:val="clear" w:color="000000" w:fill="FFFFFF"/>
            <w:noWrap/>
            <w:vAlign w:val="center"/>
            <w:hideMark/>
          </w:tcPr>
          <w:p w14:paraId="143476B7"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Census tract</w:t>
            </w:r>
          </w:p>
        </w:tc>
        <w:tc>
          <w:tcPr>
            <w:tcW w:w="1710" w:type="dxa"/>
            <w:tcBorders>
              <w:top w:val="nil"/>
              <w:left w:val="nil"/>
              <w:bottom w:val="nil"/>
              <w:right w:val="nil"/>
            </w:tcBorders>
            <w:shd w:val="clear" w:color="000000" w:fill="FFFFFF"/>
            <w:noWrap/>
            <w:vAlign w:val="center"/>
            <w:hideMark/>
          </w:tcPr>
          <w:p w14:paraId="3BBB157C"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3-month</w:t>
            </w:r>
          </w:p>
        </w:tc>
        <w:tc>
          <w:tcPr>
            <w:tcW w:w="1224" w:type="dxa"/>
            <w:tcBorders>
              <w:top w:val="nil"/>
              <w:left w:val="nil"/>
              <w:bottom w:val="nil"/>
              <w:right w:val="nil"/>
            </w:tcBorders>
            <w:shd w:val="clear" w:color="000000" w:fill="FFFFFF"/>
            <w:noWrap/>
            <w:vAlign w:val="center"/>
            <w:hideMark/>
          </w:tcPr>
          <w:p w14:paraId="13340912"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18</w:t>
            </w:r>
          </w:p>
        </w:tc>
      </w:tr>
      <w:tr w:rsidR="0012009A" w:rsidRPr="00C61E0B" w14:paraId="5302C228" w14:textId="77777777" w:rsidTr="00B4434E">
        <w:trPr>
          <w:trHeight w:val="20"/>
        </w:trPr>
        <w:tc>
          <w:tcPr>
            <w:tcW w:w="1584" w:type="dxa"/>
            <w:tcBorders>
              <w:top w:val="nil"/>
              <w:left w:val="nil"/>
              <w:bottom w:val="nil"/>
              <w:right w:val="nil"/>
            </w:tcBorders>
            <w:shd w:val="clear" w:color="000000" w:fill="FFFFFF"/>
            <w:vAlign w:val="center"/>
            <w:hideMark/>
          </w:tcPr>
          <w:p w14:paraId="6FC4F90D" w14:textId="77777777" w:rsidR="0012009A" w:rsidRPr="00C61E0B" w:rsidRDefault="0012009A" w:rsidP="00B4434E">
            <w:pPr>
              <w:spacing w:line="480" w:lineRule="auto"/>
              <w:ind w:left="90"/>
              <w:rPr>
                <w:rFonts w:ascii="Arial" w:hAnsi="Arial" w:cs="Arial"/>
                <w:bCs/>
                <w:color w:val="000000"/>
                <w:sz w:val="20"/>
                <w:szCs w:val="20"/>
              </w:rPr>
            </w:pPr>
            <w:r w:rsidRPr="00C61E0B">
              <w:rPr>
                <w:rFonts w:ascii="Arial" w:hAnsi="Arial" w:cs="Arial"/>
                <w:color w:val="000000"/>
                <w:sz w:val="20"/>
                <w:szCs w:val="20"/>
              </w:rPr>
              <w:t>Socioeconomic status</w:t>
            </w:r>
          </w:p>
        </w:tc>
        <w:tc>
          <w:tcPr>
            <w:tcW w:w="2286" w:type="dxa"/>
            <w:tcBorders>
              <w:top w:val="nil"/>
              <w:left w:val="nil"/>
              <w:bottom w:val="nil"/>
              <w:right w:val="nil"/>
            </w:tcBorders>
            <w:shd w:val="clear" w:color="000000" w:fill="FFFFFF"/>
            <w:noWrap/>
            <w:vAlign w:val="center"/>
            <w:hideMark/>
          </w:tcPr>
          <w:p w14:paraId="72936094"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Neighborhood Deprivation Index, ACS</w:t>
            </w:r>
          </w:p>
        </w:tc>
        <w:tc>
          <w:tcPr>
            <w:tcW w:w="1350" w:type="dxa"/>
            <w:tcBorders>
              <w:top w:val="nil"/>
              <w:left w:val="nil"/>
              <w:bottom w:val="nil"/>
              <w:right w:val="nil"/>
            </w:tcBorders>
            <w:shd w:val="clear" w:color="000000" w:fill="FFFFFF"/>
            <w:noWrap/>
            <w:vAlign w:val="center"/>
            <w:hideMark/>
          </w:tcPr>
          <w:p w14:paraId="1AED0D85"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2015-2019</w:t>
            </w:r>
          </w:p>
        </w:tc>
        <w:tc>
          <w:tcPr>
            <w:tcW w:w="1350" w:type="dxa"/>
            <w:tcBorders>
              <w:top w:val="nil"/>
              <w:left w:val="nil"/>
              <w:bottom w:val="nil"/>
              <w:right w:val="nil"/>
            </w:tcBorders>
            <w:shd w:val="clear" w:color="000000" w:fill="FFFFFF"/>
            <w:noWrap/>
            <w:vAlign w:val="center"/>
            <w:hideMark/>
          </w:tcPr>
          <w:p w14:paraId="132C759F"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Census block group</w:t>
            </w:r>
          </w:p>
        </w:tc>
        <w:tc>
          <w:tcPr>
            <w:tcW w:w="1710" w:type="dxa"/>
            <w:tcBorders>
              <w:top w:val="nil"/>
              <w:left w:val="nil"/>
              <w:bottom w:val="nil"/>
              <w:right w:val="nil"/>
            </w:tcBorders>
            <w:shd w:val="clear" w:color="000000" w:fill="FFFFFF"/>
            <w:noWrap/>
            <w:vAlign w:val="center"/>
            <w:hideMark/>
          </w:tcPr>
          <w:p w14:paraId="2BA9011F"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5-year</w:t>
            </w:r>
          </w:p>
        </w:tc>
        <w:tc>
          <w:tcPr>
            <w:tcW w:w="1224" w:type="dxa"/>
            <w:tcBorders>
              <w:top w:val="nil"/>
              <w:left w:val="nil"/>
              <w:bottom w:val="nil"/>
              <w:right w:val="nil"/>
            </w:tcBorders>
            <w:shd w:val="clear" w:color="000000" w:fill="FFFFFF"/>
            <w:noWrap/>
            <w:vAlign w:val="center"/>
            <w:hideMark/>
          </w:tcPr>
          <w:p w14:paraId="0D9CCA1F"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w:t>
            </w:r>
          </w:p>
        </w:tc>
      </w:tr>
      <w:tr w:rsidR="0012009A" w:rsidRPr="00C61E0B" w14:paraId="2B5C912B" w14:textId="77777777" w:rsidTr="00B4434E">
        <w:trPr>
          <w:trHeight w:val="20"/>
        </w:trPr>
        <w:tc>
          <w:tcPr>
            <w:tcW w:w="1584" w:type="dxa"/>
            <w:tcBorders>
              <w:top w:val="nil"/>
              <w:left w:val="nil"/>
              <w:bottom w:val="nil"/>
              <w:right w:val="nil"/>
            </w:tcBorders>
            <w:shd w:val="clear" w:color="000000" w:fill="FFFFFF"/>
            <w:noWrap/>
            <w:vAlign w:val="center"/>
            <w:hideMark/>
          </w:tcPr>
          <w:p w14:paraId="2BDF4988" w14:textId="77777777" w:rsidR="0012009A" w:rsidRPr="00C61E0B" w:rsidRDefault="0012009A" w:rsidP="00B4434E">
            <w:pPr>
              <w:spacing w:line="480" w:lineRule="auto"/>
              <w:ind w:left="90"/>
              <w:rPr>
                <w:rFonts w:ascii="Arial" w:hAnsi="Arial" w:cs="Arial"/>
                <w:bCs/>
                <w:color w:val="000000"/>
                <w:sz w:val="20"/>
                <w:szCs w:val="20"/>
              </w:rPr>
            </w:pPr>
            <w:r w:rsidRPr="00C61E0B">
              <w:rPr>
                <w:rFonts w:ascii="Arial" w:hAnsi="Arial" w:cs="Arial"/>
                <w:color w:val="000000"/>
                <w:sz w:val="20"/>
                <w:szCs w:val="20"/>
              </w:rPr>
              <w:lastRenderedPageBreak/>
              <w:t>Social capital</w:t>
            </w:r>
          </w:p>
        </w:tc>
        <w:tc>
          <w:tcPr>
            <w:tcW w:w="2286" w:type="dxa"/>
            <w:tcBorders>
              <w:top w:val="nil"/>
              <w:left w:val="nil"/>
              <w:bottom w:val="nil"/>
              <w:right w:val="nil"/>
            </w:tcBorders>
            <w:shd w:val="clear" w:color="000000" w:fill="FFFFFF"/>
            <w:noWrap/>
            <w:vAlign w:val="center"/>
            <w:hideMark/>
          </w:tcPr>
          <w:p w14:paraId="3014A772"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Census Business Pattern</w:t>
            </w:r>
          </w:p>
        </w:tc>
        <w:tc>
          <w:tcPr>
            <w:tcW w:w="1350" w:type="dxa"/>
            <w:tcBorders>
              <w:top w:val="nil"/>
              <w:left w:val="nil"/>
              <w:bottom w:val="nil"/>
              <w:right w:val="nil"/>
            </w:tcBorders>
            <w:shd w:val="clear" w:color="000000" w:fill="FFFFFF"/>
            <w:noWrap/>
            <w:vAlign w:val="center"/>
            <w:hideMark/>
          </w:tcPr>
          <w:p w14:paraId="23688D5E"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2015–2019</w:t>
            </w:r>
          </w:p>
        </w:tc>
        <w:tc>
          <w:tcPr>
            <w:tcW w:w="1350" w:type="dxa"/>
            <w:tcBorders>
              <w:top w:val="nil"/>
              <w:left w:val="nil"/>
              <w:bottom w:val="nil"/>
              <w:right w:val="nil"/>
            </w:tcBorders>
            <w:shd w:val="clear" w:color="000000" w:fill="FFFFFF"/>
            <w:noWrap/>
            <w:vAlign w:val="center"/>
            <w:hideMark/>
          </w:tcPr>
          <w:p w14:paraId="7D041787"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ZCTA5</w:t>
            </w:r>
          </w:p>
        </w:tc>
        <w:tc>
          <w:tcPr>
            <w:tcW w:w="1710" w:type="dxa"/>
            <w:tcBorders>
              <w:top w:val="nil"/>
              <w:left w:val="nil"/>
              <w:bottom w:val="nil"/>
              <w:right w:val="nil"/>
            </w:tcBorders>
            <w:shd w:val="clear" w:color="000000" w:fill="FFFFFF"/>
            <w:noWrap/>
            <w:vAlign w:val="center"/>
            <w:hideMark/>
          </w:tcPr>
          <w:p w14:paraId="210781B8"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1-year</w:t>
            </w:r>
          </w:p>
        </w:tc>
        <w:tc>
          <w:tcPr>
            <w:tcW w:w="1224" w:type="dxa"/>
            <w:tcBorders>
              <w:top w:val="nil"/>
              <w:left w:val="nil"/>
              <w:bottom w:val="nil"/>
              <w:right w:val="nil"/>
            </w:tcBorders>
            <w:shd w:val="clear" w:color="000000" w:fill="FFFFFF"/>
            <w:noWrap/>
            <w:vAlign w:val="center"/>
            <w:hideMark/>
          </w:tcPr>
          <w:p w14:paraId="38082412"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10</w:t>
            </w:r>
          </w:p>
        </w:tc>
      </w:tr>
      <w:tr w:rsidR="0012009A" w:rsidRPr="00C61E0B" w14:paraId="321924F9" w14:textId="77777777" w:rsidTr="00B4434E">
        <w:trPr>
          <w:trHeight w:val="20"/>
        </w:trPr>
        <w:tc>
          <w:tcPr>
            <w:tcW w:w="1584" w:type="dxa"/>
            <w:tcBorders>
              <w:top w:val="nil"/>
              <w:left w:val="nil"/>
              <w:bottom w:val="single" w:sz="4" w:space="0" w:color="auto"/>
              <w:right w:val="nil"/>
            </w:tcBorders>
            <w:shd w:val="clear" w:color="000000" w:fill="FFFFFF"/>
            <w:noWrap/>
            <w:vAlign w:val="center"/>
            <w:hideMark/>
          </w:tcPr>
          <w:p w14:paraId="1939F52A" w14:textId="77777777" w:rsidR="0012009A" w:rsidRPr="00C61E0B" w:rsidRDefault="0012009A" w:rsidP="00B4434E">
            <w:pPr>
              <w:spacing w:line="480" w:lineRule="auto"/>
              <w:ind w:left="90"/>
              <w:rPr>
                <w:rFonts w:ascii="Arial" w:hAnsi="Arial" w:cs="Arial"/>
                <w:bCs/>
                <w:color w:val="000000"/>
                <w:sz w:val="20"/>
                <w:szCs w:val="20"/>
              </w:rPr>
            </w:pPr>
            <w:r w:rsidRPr="00C61E0B">
              <w:rPr>
                <w:rFonts w:ascii="Arial" w:hAnsi="Arial" w:cs="Arial"/>
                <w:color w:val="000000"/>
                <w:sz w:val="20"/>
                <w:szCs w:val="20"/>
              </w:rPr>
              <w:t>Crime and safety</w:t>
            </w:r>
          </w:p>
        </w:tc>
        <w:tc>
          <w:tcPr>
            <w:tcW w:w="2286" w:type="dxa"/>
            <w:tcBorders>
              <w:top w:val="nil"/>
              <w:left w:val="nil"/>
              <w:bottom w:val="single" w:sz="4" w:space="0" w:color="auto"/>
              <w:right w:val="nil"/>
            </w:tcBorders>
            <w:shd w:val="clear" w:color="000000" w:fill="FFFFFF"/>
            <w:noWrap/>
            <w:vAlign w:val="center"/>
            <w:hideMark/>
          </w:tcPr>
          <w:p w14:paraId="5F7F1E3A"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Uniform Crime Reporting Program, FBI</w:t>
            </w:r>
          </w:p>
        </w:tc>
        <w:tc>
          <w:tcPr>
            <w:tcW w:w="1350" w:type="dxa"/>
            <w:tcBorders>
              <w:top w:val="nil"/>
              <w:left w:val="nil"/>
              <w:bottom w:val="single" w:sz="4" w:space="0" w:color="auto"/>
              <w:right w:val="nil"/>
            </w:tcBorders>
            <w:shd w:val="clear" w:color="000000" w:fill="FFFFFF"/>
            <w:noWrap/>
            <w:vAlign w:val="center"/>
            <w:hideMark/>
          </w:tcPr>
          <w:p w14:paraId="2AB78C56"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2015–2019</w:t>
            </w:r>
          </w:p>
        </w:tc>
        <w:tc>
          <w:tcPr>
            <w:tcW w:w="1350" w:type="dxa"/>
            <w:tcBorders>
              <w:top w:val="nil"/>
              <w:left w:val="nil"/>
              <w:bottom w:val="single" w:sz="4" w:space="0" w:color="auto"/>
              <w:right w:val="nil"/>
            </w:tcBorders>
            <w:shd w:val="clear" w:color="000000" w:fill="FFFFFF"/>
            <w:noWrap/>
            <w:vAlign w:val="center"/>
            <w:hideMark/>
          </w:tcPr>
          <w:p w14:paraId="5E8F7CFB"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County</w:t>
            </w:r>
          </w:p>
        </w:tc>
        <w:tc>
          <w:tcPr>
            <w:tcW w:w="1710" w:type="dxa"/>
            <w:tcBorders>
              <w:top w:val="nil"/>
              <w:left w:val="nil"/>
              <w:bottom w:val="single" w:sz="4" w:space="0" w:color="auto"/>
              <w:right w:val="nil"/>
            </w:tcBorders>
            <w:shd w:val="clear" w:color="000000" w:fill="FFFFFF"/>
            <w:noWrap/>
            <w:vAlign w:val="center"/>
            <w:hideMark/>
          </w:tcPr>
          <w:p w14:paraId="41BA9CCC"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1-year</w:t>
            </w:r>
          </w:p>
        </w:tc>
        <w:tc>
          <w:tcPr>
            <w:tcW w:w="1224" w:type="dxa"/>
            <w:tcBorders>
              <w:top w:val="nil"/>
              <w:left w:val="nil"/>
              <w:bottom w:val="single" w:sz="4" w:space="0" w:color="auto"/>
              <w:right w:val="nil"/>
            </w:tcBorders>
            <w:shd w:val="clear" w:color="000000" w:fill="FFFFFF"/>
            <w:noWrap/>
            <w:vAlign w:val="center"/>
            <w:hideMark/>
          </w:tcPr>
          <w:p w14:paraId="2F1E225D" w14:textId="77777777" w:rsidR="0012009A" w:rsidRPr="00C61E0B" w:rsidRDefault="0012009A" w:rsidP="00B4434E">
            <w:pPr>
              <w:spacing w:line="480" w:lineRule="auto"/>
              <w:ind w:left="100"/>
              <w:rPr>
                <w:rFonts w:ascii="Arial" w:hAnsi="Arial" w:cs="Arial"/>
                <w:bCs/>
                <w:color w:val="000000"/>
                <w:sz w:val="20"/>
                <w:szCs w:val="20"/>
              </w:rPr>
            </w:pPr>
            <w:r w:rsidRPr="00C61E0B">
              <w:rPr>
                <w:rFonts w:ascii="Arial" w:hAnsi="Arial" w:cs="Arial"/>
                <w:color w:val="000000"/>
                <w:sz w:val="20"/>
                <w:szCs w:val="20"/>
              </w:rPr>
              <w:t>8</w:t>
            </w:r>
          </w:p>
        </w:tc>
      </w:tr>
    </w:tbl>
    <w:p w14:paraId="09AC4079" w14:textId="77777777" w:rsidR="0012009A" w:rsidRPr="00C61E0B" w:rsidRDefault="0012009A" w:rsidP="0012009A">
      <w:pPr>
        <w:spacing w:line="480" w:lineRule="auto"/>
        <w:rPr>
          <w:rFonts w:ascii="Arial" w:hAnsi="Arial" w:cs="Arial"/>
          <w:bCs/>
        </w:rPr>
      </w:pPr>
      <w:r w:rsidRPr="00C61E0B">
        <w:rPr>
          <w:rFonts w:ascii="Arial" w:hAnsi="Arial" w:cs="Arial"/>
        </w:rPr>
        <w:t>Abbreviations:</w:t>
      </w:r>
    </w:p>
    <w:p w14:paraId="30321788" w14:textId="77777777" w:rsidR="0012009A" w:rsidRPr="00C61E0B" w:rsidRDefault="0012009A" w:rsidP="0012009A">
      <w:pPr>
        <w:spacing w:line="480" w:lineRule="auto"/>
        <w:rPr>
          <w:rFonts w:ascii="Arial" w:hAnsi="Arial" w:cs="Arial"/>
        </w:rPr>
      </w:pPr>
      <w:r w:rsidRPr="00C61E0B">
        <w:rPr>
          <w:rFonts w:ascii="Arial" w:hAnsi="Arial" w:cs="Arial"/>
        </w:rPr>
        <w:t>ACS: American Community Survey; EPA: Environmental Protection Agency; USDA, US Department of Agriculture; HUD, Department of Housing and Urban Development; FBI: Federal Bureau of Investigation.</w:t>
      </w:r>
    </w:p>
    <w:p w14:paraId="0CBD9161" w14:textId="483FDFA3" w:rsidR="0012009A" w:rsidRPr="00C61E0B" w:rsidRDefault="0012009A" w:rsidP="0012009A">
      <w:pPr>
        <w:spacing w:line="480" w:lineRule="auto"/>
        <w:jc w:val="both"/>
        <w:rPr>
          <w:rFonts w:ascii="Arial" w:hAnsi="Arial" w:cs="Arial"/>
        </w:rPr>
      </w:pPr>
      <w:r w:rsidRPr="00C61E0B">
        <w:rPr>
          <w:rFonts w:ascii="Arial" w:hAnsi="Arial" w:cs="Arial"/>
        </w:rPr>
        <w:t>Table S1 presents information on the sources of data at the contextual</w:t>
      </w:r>
      <w:r w:rsidR="004C27FD">
        <w:rPr>
          <w:rFonts w:ascii="Arial" w:hAnsi="Arial" w:cs="Arial"/>
        </w:rPr>
        <w:t>-</w:t>
      </w:r>
      <w:r w:rsidRPr="00C61E0B">
        <w:rPr>
          <w:rFonts w:ascii="Arial" w:hAnsi="Arial" w:cs="Arial"/>
        </w:rPr>
        <w:t>level, the period during which the data was collected, and the corresponding spatial and temporal scales.  The data included 43 food access measures at the census tract level, obtained from the USDA's Food Access Research Atlas</w:t>
      </w:r>
      <w:r w:rsidRPr="00C61E0B">
        <w:rPr>
          <w:rFonts w:ascii="Arial" w:hAnsi="Arial" w:cs="Arial"/>
        </w:rPr>
        <w:fldChar w:fldCharType="begin" w:fldLock="1"/>
      </w:r>
      <w:r w:rsidRPr="00C61E0B">
        <w:rPr>
          <w:rFonts w:ascii="Arial" w:hAnsi="Arial" w:cs="Arial"/>
        </w:rPr>
        <w:instrText>ADDIN paperpile_citation &lt;clusterId&gt;S297F355U645S358&lt;/clusterId&gt;&lt;metadata&gt;&lt;citation&gt;&lt;id&gt;27d66e8d-86c6-4944-a794-62ff6b3faa52&lt;/id&gt;&lt;/citation&gt;&lt;/metadata&gt;&lt;data&gt;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&lt;/data&gt; \* MERGEFORMAT</w:instrText>
      </w:r>
      <w:r w:rsidRPr="00C61E0B">
        <w:rPr>
          <w:rFonts w:ascii="Arial" w:hAnsi="Arial" w:cs="Arial"/>
        </w:rPr>
        <w:fldChar w:fldCharType="separate"/>
      </w:r>
      <w:r w:rsidR="005C493B" w:rsidRPr="005C493B">
        <w:rPr>
          <w:rFonts w:ascii="Arial" w:hAnsi="Arial" w:cs="Arial"/>
          <w:noProof/>
          <w:vertAlign w:val="superscript"/>
        </w:rPr>
        <w:t>4</w:t>
      </w:r>
      <w:r w:rsidRPr="00C61E0B">
        <w:rPr>
          <w:rFonts w:ascii="Arial" w:hAnsi="Arial" w:cs="Arial"/>
        </w:rPr>
        <w:fldChar w:fldCharType="end"/>
      </w:r>
      <w:r w:rsidRPr="00C61E0B">
        <w:rPr>
          <w:rFonts w:ascii="Arial" w:hAnsi="Arial" w:cs="Arial"/>
        </w:rPr>
        <w:t xml:space="preserve"> for the years 2015 and 2019.  Walkability was evaluated using the National Walkability Index, developed by the US Environmental Protection Agency</w:t>
      </w:r>
      <w:r w:rsidRPr="00C61E0B">
        <w:rPr>
          <w:rFonts w:ascii="Arial" w:hAnsi="Arial" w:cs="Arial"/>
        </w:rPr>
        <w:fldChar w:fldCharType="begin" w:fldLock="1"/>
      </w:r>
      <w:r w:rsidRPr="00C61E0B">
        <w:rPr>
          <w:rFonts w:ascii="Arial" w:hAnsi="Arial" w:cs="Arial"/>
        </w:rPr>
        <w:instrText>ADDIN paperpile_citation &lt;clusterId&gt;U665I623X113B736&lt;/clusterId&gt;&lt;metadata&gt;&lt;citation&gt;&lt;id&gt;dc8f3c1e-e39e-466f-a430-7fdefcb4688a&lt;/id&gt;&lt;/citation&gt;&lt;/metadata&gt;&lt;data&gt;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&lt;/data&gt; \* MERGEFORMAT</w:instrText>
      </w:r>
      <w:r w:rsidRPr="00C61E0B">
        <w:rPr>
          <w:rFonts w:ascii="Arial" w:hAnsi="Arial" w:cs="Arial"/>
        </w:rPr>
        <w:fldChar w:fldCharType="separate"/>
      </w:r>
      <w:r w:rsidR="005C493B" w:rsidRPr="005C493B">
        <w:rPr>
          <w:rFonts w:ascii="Arial" w:hAnsi="Arial" w:cs="Arial"/>
          <w:noProof/>
          <w:vertAlign w:val="superscript"/>
        </w:rPr>
        <w:t>5</w:t>
      </w:r>
      <w:r w:rsidRPr="00C61E0B">
        <w:rPr>
          <w:rFonts w:ascii="Arial" w:hAnsi="Arial" w:cs="Arial"/>
        </w:rPr>
        <w:fldChar w:fldCharType="end"/>
      </w:r>
      <w:r w:rsidRPr="00C61E0B">
        <w:rPr>
          <w:rFonts w:ascii="Arial" w:hAnsi="Arial" w:cs="Arial"/>
        </w:rPr>
        <w:t>, on a scale of 1 to 20 for each census block group.  The assessment showed that 1 is the least walkable, while 20 is the most walkable.  Data on vacant land measures at the census-tract level from 2015 to 2019 were obtained from the US Department of Housing and Urban Development</w:t>
      </w:r>
      <w:r w:rsidRPr="00C61E0B">
        <w:rPr>
          <w:rFonts w:ascii="Arial" w:hAnsi="Arial" w:cs="Arial"/>
        </w:rPr>
        <w:fldChar w:fldCharType="begin" w:fldLock="1"/>
      </w:r>
      <w:r w:rsidRPr="00C61E0B">
        <w:rPr>
          <w:rFonts w:ascii="Arial" w:hAnsi="Arial" w:cs="Arial"/>
        </w:rPr>
        <w:instrText>ADDIN paperpile_citation &lt;clusterId&gt;R724F871U262Y955&lt;/clusterId&gt;&lt;metadata&gt;&lt;citation&gt;&lt;id&gt;85e84dc5-26d1-4f27-a719-7705a2e53394&lt;/id&gt;&lt;/citation&gt;&lt;/metadata&gt;&lt;data&gt;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&lt;/data&gt; \* MERGEFORMAT</w:instrText>
      </w:r>
      <w:r w:rsidRPr="00C61E0B">
        <w:rPr>
          <w:rFonts w:ascii="Arial" w:hAnsi="Arial" w:cs="Arial"/>
        </w:rPr>
        <w:fldChar w:fldCharType="separate"/>
      </w:r>
      <w:r w:rsidR="005C493B" w:rsidRPr="005C493B">
        <w:rPr>
          <w:rFonts w:ascii="Arial" w:hAnsi="Arial" w:cs="Arial"/>
          <w:noProof/>
          <w:vertAlign w:val="superscript"/>
        </w:rPr>
        <w:t>6</w:t>
      </w:r>
      <w:r w:rsidRPr="00C61E0B">
        <w:rPr>
          <w:rFonts w:ascii="Arial" w:hAnsi="Arial" w:cs="Arial"/>
        </w:rPr>
        <w:fldChar w:fldCharType="end"/>
      </w:r>
      <w:r w:rsidRPr="00C61E0B">
        <w:rPr>
          <w:rFonts w:ascii="Arial" w:hAnsi="Arial" w:cs="Arial"/>
        </w:rPr>
        <w:t>, combined with administrative data from the US Postal Service, and a total of 18 measures available across all years were included.  The neighborhood deprivation index (NDI), a socioeconomic status measure, was obtained at the census block group level from the 2015 to 2019 American Community Survey (ACS).  It provided information on income, education, employment, and housing quality of a neighborhood, allowing ranking by socioeconomic disadvantage</w:t>
      </w:r>
      <w:r w:rsidRPr="00C61E0B">
        <w:rPr>
          <w:rFonts w:ascii="Arial" w:hAnsi="Arial" w:cs="Arial"/>
        </w:rPr>
        <w:fldChar w:fldCharType="begin" w:fldLock="1"/>
      </w:r>
      <w:r w:rsidRPr="00C61E0B">
        <w:rPr>
          <w:rFonts w:ascii="Arial" w:hAnsi="Arial" w:cs="Arial"/>
        </w:rPr>
        <w:instrText>ADDIN paperpile_citation &lt;clusterId&gt;M295A355W746T467&lt;/clusterId&gt;&lt;metadata&gt;&lt;citation&gt;&lt;id&gt;089ceeb3-a4fd-4bef-b17a-abe072eacf56&lt;/id&gt;&lt;/citation&gt;&lt;/metadata&gt;&lt;data&gt;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&lt;/data&gt; \* MERGEFORMAT</w:instrText>
      </w:r>
      <w:r w:rsidRPr="00C61E0B">
        <w:rPr>
          <w:rFonts w:ascii="Arial" w:hAnsi="Arial" w:cs="Arial"/>
        </w:rPr>
        <w:fldChar w:fldCharType="separate"/>
      </w:r>
      <w:r w:rsidR="005C493B" w:rsidRPr="005C493B">
        <w:rPr>
          <w:rFonts w:ascii="Arial" w:hAnsi="Arial" w:cs="Arial"/>
          <w:noProof/>
          <w:vertAlign w:val="superscript"/>
        </w:rPr>
        <w:t>7</w:t>
      </w:r>
      <w:r w:rsidRPr="00C61E0B">
        <w:rPr>
          <w:rFonts w:ascii="Arial" w:hAnsi="Arial" w:cs="Arial"/>
        </w:rPr>
        <w:fldChar w:fldCharType="end"/>
      </w:r>
      <w:r w:rsidRPr="00C61E0B">
        <w:rPr>
          <w:rFonts w:ascii="Arial" w:hAnsi="Arial" w:cs="Arial"/>
        </w:rPr>
        <w:t>.  Additionally, ten social capital measures were created based on the North American Industry Classification System (NACIS) codes</w:t>
      </w:r>
      <w:r w:rsidRPr="00C61E0B">
        <w:rPr>
          <w:rFonts w:ascii="Arial" w:hAnsi="Arial" w:cs="Arial"/>
        </w:rPr>
        <w:fldChar w:fldCharType="begin" w:fldLock="1"/>
      </w:r>
      <w:r w:rsidRPr="00C61E0B">
        <w:rPr>
          <w:rFonts w:ascii="Arial" w:hAnsi="Arial" w:cs="Arial"/>
        </w:rPr>
        <w:instrText>ADDIN paperpile_citation &lt;clusterId&gt;B898I955E346B939&lt;/clusterId&gt;&lt;metadata&gt;&lt;citation&gt;&lt;id&gt;42bd9467-ca53-4e92-9fee-cdbd73318888&lt;/id&gt;&lt;/citation&gt;&lt;/metadata&gt;&lt;data&gt;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&lt;/data&gt; \* MERGEFORMAT</w:instrText>
      </w:r>
      <w:r w:rsidRPr="00C61E0B">
        <w:rPr>
          <w:rFonts w:ascii="Arial" w:hAnsi="Arial" w:cs="Arial"/>
        </w:rPr>
        <w:fldChar w:fldCharType="separate"/>
      </w:r>
      <w:r w:rsidR="005C493B" w:rsidRPr="005C493B">
        <w:rPr>
          <w:rFonts w:ascii="Arial" w:hAnsi="Arial" w:cs="Arial"/>
          <w:noProof/>
          <w:vertAlign w:val="superscript"/>
        </w:rPr>
        <w:t>8</w:t>
      </w:r>
      <w:r w:rsidRPr="00C61E0B">
        <w:rPr>
          <w:rFonts w:ascii="Arial" w:hAnsi="Arial" w:cs="Arial"/>
        </w:rPr>
        <w:fldChar w:fldCharType="end"/>
      </w:r>
      <w:r w:rsidRPr="00C61E0B">
        <w:rPr>
          <w:rFonts w:ascii="Arial" w:hAnsi="Arial" w:cs="Arial"/>
        </w:rPr>
        <w:t xml:space="preserve"> using the Census Business Pattern data </w:t>
      </w:r>
      <w:r w:rsidRPr="00C61E0B">
        <w:rPr>
          <w:rFonts w:ascii="Arial" w:hAnsi="Arial" w:cs="Arial"/>
        </w:rPr>
        <w:lastRenderedPageBreak/>
        <w:t>at the 5-digit ZIP code tabulation area (ZCTA5) level.  Eight county-level annual measures of crime and safety were also obtained from the Uniform Crime Reporting Program from 2015 to 2019.</w:t>
      </w:r>
      <w:r w:rsidRPr="00C61E0B">
        <w:rPr>
          <w:rFonts w:ascii="Arial" w:hAnsi="Arial" w:cs="Arial"/>
        </w:rPr>
        <w:fldChar w:fldCharType="begin" w:fldLock="1"/>
      </w:r>
      <w:r w:rsidRPr="00C61E0B">
        <w:rPr>
          <w:rFonts w:ascii="Arial" w:hAnsi="Arial" w:cs="Arial"/>
        </w:rPr>
        <w:instrText>ADDIN paperpile_citation &lt;clusterId&gt;U613I962X453B164&lt;/clusterId&gt;&lt;metadata&gt;&lt;citation&gt;&lt;id&gt;92c8f099-76d8-41ee-ab05-da25179f4d21&lt;/id&gt;&lt;/citation&gt;&lt;/metadata&gt;&lt;data&gt;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&lt;/data&gt; \* MERGEFORMAT</w:instrText>
      </w:r>
      <w:r w:rsidRPr="00C61E0B">
        <w:rPr>
          <w:rFonts w:ascii="Arial" w:hAnsi="Arial" w:cs="Arial"/>
        </w:rPr>
        <w:fldChar w:fldCharType="separate"/>
      </w:r>
      <w:r w:rsidR="005C493B" w:rsidRPr="005C493B">
        <w:rPr>
          <w:rFonts w:ascii="Arial" w:hAnsi="Arial" w:cs="Arial"/>
          <w:noProof/>
          <w:vertAlign w:val="superscript"/>
        </w:rPr>
        <w:t>9</w:t>
      </w:r>
      <w:r w:rsidRPr="00C61E0B">
        <w:rPr>
          <w:rFonts w:ascii="Arial" w:hAnsi="Arial" w:cs="Arial"/>
        </w:rPr>
        <w:fldChar w:fldCharType="end"/>
      </w:r>
      <w:r w:rsidRPr="00C61E0B">
        <w:rPr>
          <w:rFonts w:ascii="Arial" w:hAnsi="Arial" w:cs="Arial"/>
        </w:rPr>
        <w:t xml:space="preserve">  Overall, the analysis included 11</w:t>
      </w:r>
      <w:r>
        <w:rPr>
          <w:rFonts w:ascii="Arial" w:hAnsi="Arial" w:cs="Arial"/>
        </w:rPr>
        <w:t>4</w:t>
      </w:r>
      <w:r w:rsidRPr="00C61E0B">
        <w:rPr>
          <w:rFonts w:ascii="Arial" w:hAnsi="Arial" w:cs="Arial"/>
        </w:rPr>
        <w:t xml:space="preserve"> social determinants of health (</w:t>
      </w:r>
      <w:proofErr w:type="spellStart"/>
      <w:r w:rsidRPr="00C61E0B">
        <w:rPr>
          <w:rFonts w:ascii="Arial" w:hAnsi="Arial" w:cs="Arial"/>
        </w:rPr>
        <w:t>SDoH</w:t>
      </w:r>
      <w:proofErr w:type="spellEnd"/>
      <w:r w:rsidRPr="00C61E0B">
        <w:rPr>
          <w:rFonts w:ascii="Arial" w:hAnsi="Arial" w:cs="Arial"/>
        </w:rPr>
        <w:t>) measures.</w:t>
      </w:r>
    </w:p>
    <w:p w14:paraId="5F7EE8F7" w14:textId="77777777" w:rsidR="0012009A" w:rsidRPr="00C61E0B" w:rsidRDefault="0012009A" w:rsidP="0012009A">
      <w:pPr>
        <w:spacing w:line="480" w:lineRule="auto"/>
        <w:rPr>
          <w:rFonts w:ascii="Arial" w:hAnsi="Arial" w:cs="Arial"/>
        </w:rPr>
      </w:pPr>
      <w:r w:rsidRPr="00C61E0B">
        <w:rPr>
          <w:rFonts w:ascii="Arial" w:hAnsi="Arial" w:cs="Arial"/>
        </w:rPr>
        <w:br w:type="page"/>
      </w:r>
    </w:p>
    <w:p w14:paraId="22BC2473" w14:textId="449E4EBB" w:rsidR="0012009A" w:rsidRPr="00C61E0B" w:rsidRDefault="006F284C" w:rsidP="0012009A">
      <w:pPr>
        <w:spacing w:line="480" w:lineRule="auto"/>
        <w:jc w:val="both"/>
        <w:rPr>
          <w:rFonts w:ascii="Arial" w:hAnsi="Arial" w:cs="Arial"/>
          <w:lang w:eastAsia="zh-TW"/>
        </w:rPr>
      </w:pPr>
      <w:r>
        <w:rPr>
          <w:rFonts w:ascii="Arial" w:hAnsi="Arial" w:cs="Arial"/>
          <w:b/>
          <w:lang w:eastAsia="zh-TW"/>
        </w:rPr>
        <w:lastRenderedPageBreak/>
        <w:t xml:space="preserve">S4. </w:t>
      </w:r>
      <w:r w:rsidR="0012009A">
        <w:rPr>
          <w:rFonts w:ascii="Arial" w:hAnsi="Arial" w:cs="Arial"/>
          <w:b/>
          <w:lang w:eastAsia="zh-TW"/>
        </w:rPr>
        <w:t>Ablation study</w:t>
      </w:r>
    </w:p>
    <w:p w14:paraId="26CF05A7" w14:textId="63A964C0" w:rsidR="0012009A" w:rsidRPr="00C61E0B" w:rsidRDefault="0012009A" w:rsidP="0012009A">
      <w:pPr>
        <w:spacing w:line="480" w:lineRule="auto"/>
        <w:jc w:val="both"/>
        <w:rPr>
          <w:rFonts w:ascii="Arial" w:hAnsi="Arial" w:cs="Arial"/>
          <w:color w:val="000000" w:themeColor="text1"/>
        </w:rPr>
      </w:pPr>
      <w:r w:rsidRPr="00C61E0B">
        <w:rPr>
          <w:rFonts w:ascii="Arial" w:hAnsi="Arial" w:cs="Arial"/>
          <w:color w:val="000000" w:themeColor="text1"/>
        </w:rPr>
        <w:t xml:space="preserve">In the initial trial, we presented the results in </w:t>
      </w:r>
      <w:r w:rsidRPr="00C61E0B">
        <w:rPr>
          <w:rFonts w:ascii="Arial" w:hAnsi="Arial" w:cs="Arial"/>
          <w:b/>
          <w:bCs/>
          <w:color w:val="000000" w:themeColor="text1"/>
        </w:rPr>
        <w:t>Table S2</w:t>
      </w:r>
      <w:r w:rsidRPr="00C61E0B">
        <w:rPr>
          <w:rFonts w:ascii="Arial" w:hAnsi="Arial" w:cs="Arial"/>
          <w:color w:val="000000" w:themeColor="text1"/>
        </w:rPr>
        <w:t xml:space="preserve"> which compares the effectiveness of different combinations of three sampling techniques (ROS, RUS, MCC), two machine learning methodologies (linear models and </w:t>
      </w:r>
      <w:proofErr w:type="spellStart"/>
      <w:r w:rsidRPr="00C61E0B">
        <w:rPr>
          <w:rFonts w:ascii="Arial" w:hAnsi="Arial" w:cs="Arial"/>
          <w:color w:val="000000" w:themeColor="text1"/>
        </w:rPr>
        <w:t>XGBoost</w:t>
      </w:r>
      <w:proofErr w:type="spellEnd"/>
      <w:r w:rsidRPr="00C61E0B">
        <w:rPr>
          <w:rFonts w:ascii="Arial" w:hAnsi="Arial" w:cs="Arial"/>
          <w:color w:val="000000" w:themeColor="text1"/>
        </w:rPr>
        <w:t xml:space="preserve">), and three feature sets (Full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Individual-level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and Contextual-level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Among all combinations, the best performance was achieved by RUS with the linear model (ridge regression) on Full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with an AUROC score of 0.7220.  Upon examining the table, it can be seen that RUS produced satisfactory results in comparison to the other sampling methods.  The linear models demonstrated comparable prediction capability with </w:t>
      </w:r>
      <w:proofErr w:type="spellStart"/>
      <w:r w:rsidRPr="00C61E0B">
        <w:rPr>
          <w:rFonts w:ascii="Arial" w:hAnsi="Arial" w:cs="Arial"/>
          <w:color w:val="000000" w:themeColor="text1"/>
        </w:rPr>
        <w:t>XGBoost</w:t>
      </w:r>
      <w:proofErr w:type="spellEnd"/>
      <w:r w:rsidRPr="00C61E0B">
        <w:rPr>
          <w:rFonts w:ascii="Arial" w:hAnsi="Arial" w:cs="Arial"/>
          <w:color w:val="000000" w:themeColor="text1"/>
        </w:rPr>
        <w:t xml:space="preserve"> in these experiments.  Individual</w:t>
      </w:r>
      <w:r w:rsidR="00C626DA">
        <w:rPr>
          <w:rFonts w:ascii="Arial" w:hAnsi="Arial" w:cs="Arial"/>
          <w:color w:val="000000" w:themeColor="text1"/>
        </w:rPr>
        <w:t>-level</w:t>
      </w:r>
      <w:r w:rsidRPr="00C61E0B">
        <w:rPr>
          <w:rFonts w:ascii="Arial" w:hAnsi="Arial" w:cs="Arial"/>
          <w:color w:val="000000" w:themeColor="text1"/>
        </w:rPr>
        <w:t xml:space="preserve">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demonstrated promising prediction capability regarding features, but the optimal model is obtained by combining both contextual-level and individual-level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Based on the conclusion that RUS with full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can deliver the best performance in this study, we will only present the results based on RUS with full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in the following sections.  To enhance expression conciseness, we select </w:t>
      </w:r>
      <w:bookmarkStart w:id="2" w:name="OLE_LINK4"/>
      <w:r w:rsidRPr="00C61E0B">
        <w:rPr>
          <w:rFonts w:ascii="Arial" w:hAnsi="Arial" w:cs="Arial"/>
          <w:color w:val="000000" w:themeColor="text1"/>
        </w:rPr>
        <w:t xml:space="preserve">ridge regression </w:t>
      </w:r>
      <w:bookmarkEnd w:id="2"/>
      <w:r w:rsidRPr="00C61E0B">
        <w:rPr>
          <w:rFonts w:ascii="Arial" w:hAnsi="Arial" w:cs="Arial"/>
          <w:color w:val="000000" w:themeColor="text1"/>
        </w:rPr>
        <w:t>over linear models in the subsequent sections due to its superior performance within the linear model family after hyperparameter tuning.  The detailed results can be found in the supplemental materials.</w:t>
      </w:r>
    </w:p>
    <w:p w14:paraId="6F18A225" w14:textId="77777777" w:rsidR="0012009A" w:rsidRPr="00C61E0B" w:rsidRDefault="0012009A" w:rsidP="0012009A">
      <w:pPr>
        <w:pStyle w:val="Caption"/>
        <w:spacing w:line="480" w:lineRule="auto"/>
        <w:rPr>
          <w:rFonts w:ascii="Arial" w:hAnsi="Arial" w:cs="Arial"/>
          <w:i w:val="0"/>
          <w:iCs w:val="0"/>
          <w:color w:val="000000" w:themeColor="text1"/>
          <w:sz w:val="20"/>
          <w:szCs w:val="20"/>
        </w:rPr>
      </w:pPr>
      <w:bookmarkStart w:id="3" w:name="_Ref135082663"/>
      <w:r w:rsidRPr="00C61E0B">
        <w:rPr>
          <w:rFonts w:ascii="Arial" w:hAnsi="Arial" w:cs="Arial"/>
          <w:b/>
          <w:bCs/>
          <w:i w:val="0"/>
          <w:iCs w:val="0"/>
          <w:color w:val="000000" w:themeColor="text1"/>
          <w:sz w:val="20"/>
          <w:szCs w:val="20"/>
        </w:rPr>
        <w:t xml:space="preserve">Table </w:t>
      </w:r>
      <w:bookmarkEnd w:id="3"/>
      <w:r w:rsidRPr="00C61E0B">
        <w:rPr>
          <w:rFonts w:ascii="Arial" w:hAnsi="Arial" w:cs="Arial"/>
          <w:b/>
          <w:bCs/>
          <w:i w:val="0"/>
          <w:iCs w:val="0"/>
          <w:color w:val="000000" w:themeColor="text1"/>
          <w:sz w:val="20"/>
          <w:szCs w:val="20"/>
        </w:rPr>
        <w:t>S2</w:t>
      </w:r>
      <w:r w:rsidRPr="00C61E0B">
        <w:rPr>
          <w:rFonts w:ascii="Arial" w:hAnsi="Arial" w:cs="Arial"/>
          <w:i w:val="0"/>
          <w:iCs w:val="0"/>
          <w:color w:val="000000" w:themeColor="text1"/>
          <w:sz w:val="20"/>
          <w:szCs w:val="20"/>
        </w:rPr>
        <w:t xml:space="preserve"> Overall performance (AUROC) for T2D hospitalization prediction on the independent testing set.</w:t>
      </w: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2070"/>
        <w:gridCol w:w="1530"/>
        <w:gridCol w:w="2250"/>
        <w:gridCol w:w="2250"/>
      </w:tblGrid>
      <w:tr w:rsidR="0012009A" w:rsidRPr="00C61E0B" w14:paraId="5D02F5A5" w14:textId="77777777" w:rsidTr="00125BBE">
        <w:trPr>
          <w:trHeight w:val="320"/>
        </w:trPr>
        <w:tc>
          <w:tcPr>
            <w:tcW w:w="1165" w:type="dxa"/>
            <w:shd w:val="clear" w:color="auto" w:fill="auto"/>
            <w:noWrap/>
            <w:vAlign w:val="center"/>
            <w:hideMark/>
          </w:tcPr>
          <w:p w14:paraId="1F11546A" w14:textId="77777777" w:rsidR="0012009A" w:rsidRPr="00C61E0B" w:rsidRDefault="0012009A" w:rsidP="00B4434E">
            <w:pPr>
              <w:spacing w:line="480" w:lineRule="auto"/>
              <w:jc w:val="center"/>
              <w:rPr>
                <w:rFonts w:ascii="Arial" w:hAnsi="Arial" w:cs="Arial"/>
                <w:color w:val="000000"/>
                <w:sz w:val="20"/>
                <w:szCs w:val="20"/>
              </w:rPr>
            </w:pPr>
          </w:p>
        </w:tc>
        <w:tc>
          <w:tcPr>
            <w:tcW w:w="2070" w:type="dxa"/>
            <w:shd w:val="clear" w:color="auto" w:fill="auto"/>
            <w:noWrap/>
            <w:vAlign w:val="center"/>
            <w:hideMark/>
          </w:tcPr>
          <w:p w14:paraId="76E01A6E" w14:textId="77777777" w:rsidR="0012009A" w:rsidRPr="00C61E0B" w:rsidRDefault="0012009A" w:rsidP="00B4434E">
            <w:pPr>
              <w:spacing w:line="480" w:lineRule="auto"/>
              <w:jc w:val="center"/>
              <w:rPr>
                <w:rFonts w:ascii="Arial" w:hAnsi="Arial" w:cs="Arial"/>
                <w:color w:val="000000"/>
                <w:sz w:val="20"/>
                <w:szCs w:val="20"/>
              </w:rPr>
            </w:pPr>
          </w:p>
        </w:tc>
        <w:tc>
          <w:tcPr>
            <w:tcW w:w="1530" w:type="dxa"/>
            <w:shd w:val="clear" w:color="auto" w:fill="auto"/>
            <w:noWrap/>
            <w:vAlign w:val="center"/>
            <w:hideMark/>
          </w:tcPr>
          <w:p w14:paraId="0E62E972"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 xml:space="preserve">Full </w:t>
            </w:r>
            <w:proofErr w:type="spellStart"/>
            <w:r w:rsidRPr="00C61E0B">
              <w:rPr>
                <w:rFonts w:ascii="Arial" w:hAnsi="Arial" w:cs="Arial"/>
                <w:color w:val="000000"/>
                <w:sz w:val="20"/>
                <w:szCs w:val="20"/>
              </w:rPr>
              <w:t>SDoH</w:t>
            </w:r>
            <w:proofErr w:type="spellEnd"/>
          </w:p>
        </w:tc>
        <w:tc>
          <w:tcPr>
            <w:tcW w:w="2250" w:type="dxa"/>
            <w:shd w:val="clear" w:color="auto" w:fill="auto"/>
            <w:noWrap/>
            <w:vAlign w:val="center"/>
            <w:hideMark/>
          </w:tcPr>
          <w:p w14:paraId="03A27B15" w14:textId="7591AEB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Individual</w:t>
            </w:r>
            <w:r w:rsidR="00393DE9">
              <w:rPr>
                <w:rFonts w:ascii="Arial" w:hAnsi="Arial" w:cs="Arial"/>
                <w:color w:val="000000"/>
                <w:sz w:val="20"/>
                <w:szCs w:val="20"/>
              </w:rPr>
              <w:t>-level</w:t>
            </w:r>
            <w:r w:rsidRPr="00C61E0B">
              <w:rPr>
                <w:rFonts w:ascii="Arial" w:hAnsi="Arial" w:cs="Arial"/>
                <w:color w:val="000000"/>
                <w:sz w:val="20"/>
                <w:szCs w:val="20"/>
              </w:rPr>
              <w:t xml:space="preserve"> </w:t>
            </w:r>
            <w:proofErr w:type="spellStart"/>
            <w:r w:rsidRPr="00C61E0B">
              <w:rPr>
                <w:rFonts w:ascii="Arial" w:hAnsi="Arial" w:cs="Arial"/>
                <w:color w:val="000000"/>
                <w:sz w:val="20"/>
                <w:szCs w:val="20"/>
              </w:rPr>
              <w:t>SDoH</w:t>
            </w:r>
            <w:proofErr w:type="spellEnd"/>
          </w:p>
        </w:tc>
        <w:tc>
          <w:tcPr>
            <w:tcW w:w="2250" w:type="dxa"/>
            <w:shd w:val="clear" w:color="auto" w:fill="auto"/>
            <w:noWrap/>
            <w:vAlign w:val="center"/>
            <w:hideMark/>
          </w:tcPr>
          <w:p w14:paraId="0B587EBE" w14:textId="38AF0CE1"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Contextual</w:t>
            </w:r>
            <w:r w:rsidR="00547C07">
              <w:rPr>
                <w:rFonts w:ascii="Arial" w:hAnsi="Arial" w:cs="Arial"/>
                <w:color w:val="000000"/>
                <w:sz w:val="20"/>
                <w:szCs w:val="20"/>
              </w:rPr>
              <w:t>-level</w:t>
            </w:r>
            <w:r w:rsidRPr="00C61E0B">
              <w:rPr>
                <w:rFonts w:ascii="Arial" w:hAnsi="Arial" w:cs="Arial"/>
                <w:color w:val="000000"/>
                <w:sz w:val="20"/>
                <w:szCs w:val="20"/>
              </w:rPr>
              <w:t xml:space="preserve"> </w:t>
            </w:r>
            <w:proofErr w:type="spellStart"/>
            <w:r w:rsidRPr="00C61E0B">
              <w:rPr>
                <w:rFonts w:ascii="Arial" w:hAnsi="Arial" w:cs="Arial"/>
                <w:color w:val="000000"/>
                <w:sz w:val="20"/>
                <w:szCs w:val="20"/>
              </w:rPr>
              <w:t>SDoH</w:t>
            </w:r>
            <w:proofErr w:type="spellEnd"/>
          </w:p>
        </w:tc>
      </w:tr>
      <w:tr w:rsidR="0012009A" w:rsidRPr="00C61E0B" w14:paraId="540C3D3B" w14:textId="77777777" w:rsidTr="00125BBE">
        <w:trPr>
          <w:trHeight w:val="320"/>
        </w:trPr>
        <w:tc>
          <w:tcPr>
            <w:tcW w:w="1165" w:type="dxa"/>
            <w:vMerge w:val="restart"/>
            <w:shd w:val="clear" w:color="auto" w:fill="auto"/>
            <w:noWrap/>
            <w:vAlign w:val="center"/>
            <w:hideMark/>
          </w:tcPr>
          <w:p w14:paraId="5596A4B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ROS</w:t>
            </w:r>
          </w:p>
        </w:tc>
        <w:tc>
          <w:tcPr>
            <w:tcW w:w="2070" w:type="dxa"/>
            <w:shd w:val="clear" w:color="auto" w:fill="auto"/>
            <w:noWrap/>
            <w:vAlign w:val="center"/>
            <w:hideMark/>
          </w:tcPr>
          <w:p w14:paraId="0F3AD2C9"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Xgboost</w:t>
            </w:r>
            <w:proofErr w:type="spellEnd"/>
          </w:p>
        </w:tc>
        <w:tc>
          <w:tcPr>
            <w:tcW w:w="1530" w:type="dxa"/>
            <w:shd w:val="clear" w:color="000000" w:fill="8DCA7E"/>
            <w:vAlign w:val="center"/>
            <w:hideMark/>
          </w:tcPr>
          <w:p w14:paraId="5EB5209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0.7021</w:t>
            </w:r>
          </w:p>
        </w:tc>
        <w:tc>
          <w:tcPr>
            <w:tcW w:w="2250" w:type="dxa"/>
            <w:shd w:val="clear" w:color="000000" w:fill="97CD7E"/>
            <w:vAlign w:val="center"/>
            <w:hideMark/>
          </w:tcPr>
          <w:p w14:paraId="65B11EB2"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0.6972</w:t>
            </w:r>
          </w:p>
        </w:tc>
        <w:tc>
          <w:tcPr>
            <w:tcW w:w="2250" w:type="dxa"/>
            <w:shd w:val="clear" w:color="000000" w:fill="FCBD7B"/>
            <w:vAlign w:val="center"/>
            <w:hideMark/>
          </w:tcPr>
          <w:p w14:paraId="56F36F9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0.6120</w:t>
            </w:r>
          </w:p>
        </w:tc>
      </w:tr>
      <w:tr w:rsidR="0012009A" w:rsidRPr="00C61E0B" w14:paraId="0CB2E50B" w14:textId="77777777" w:rsidTr="00125BBE">
        <w:trPr>
          <w:trHeight w:val="71"/>
        </w:trPr>
        <w:tc>
          <w:tcPr>
            <w:tcW w:w="1165" w:type="dxa"/>
            <w:vMerge/>
            <w:shd w:val="clear" w:color="auto" w:fill="auto"/>
            <w:noWrap/>
            <w:vAlign w:val="center"/>
            <w:hideMark/>
          </w:tcPr>
          <w:p w14:paraId="7495F0AC" w14:textId="77777777" w:rsidR="0012009A" w:rsidRPr="00C61E0B" w:rsidRDefault="0012009A" w:rsidP="00B4434E">
            <w:pPr>
              <w:spacing w:line="480" w:lineRule="auto"/>
              <w:jc w:val="center"/>
              <w:rPr>
                <w:rFonts w:ascii="Arial" w:hAnsi="Arial" w:cs="Arial"/>
                <w:color w:val="000000"/>
                <w:sz w:val="20"/>
                <w:szCs w:val="20"/>
              </w:rPr>
            </w:pPr>
          </w:p>
        </w:tc>
        <w:tc>
          <w:tcPr>
            <w:tcW w:w="2070" w:type="dxa"/>
            <w:shd w:val="clear" w:color="auto" w:fill="auto"/>
            <w:noWrap/>
            <w:vAlign w:val="center"/>
            <w:hideMark/>
          </w:tcPr>
          <w:p w14:paraId="373EFA6F"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Ridge regression</w:t>
            </w:r>
          </w:p>
        </w:tc>
        <w:tc>
          <w:tcPr>
            <w:tcW w:w="1530" w:type="dxa"/>
            <w:shd w:val="clear" w:color="000000" w:fill="6DC17C"/>
            <w:vAlign w:val="center"/>
            <w:hideMark/>
          </w:tcPr>
          <w:p w14:paraId="061A493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0.7174</w:t>
            </w:r>
          </w:p>
        </w:tc>
        <w:tc>
          <w:tcPr>
            <w:tcW w:w="2250" w:type="dxa"/>
            <w:shd w:val="clear" w:color="000000" w:fill="83C87D"/>
            <w:vAlign w:val="center"/>
            <w:hideMark/>
          </w:tcPr>
          <w:p w14:paraId="3977BB77"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0.7069</w:t>
            </w:r>
          </w:p>
        </w:tc>
        <w:tc>
          <w:tcPr>
            <w:tcW w:w="2250" w:type="dxa"/>
            <w:shd w:val="clear" w:color="000000" w:fill="FCC07B"/>
            <w:vAlign w:val="center"/>
            <w:hideMark/>
          </w:tcPr>
          <w:p w14:paraId="415FA111"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0.6136</w:t>
            </w:r>
          </w:p>
        </w:tc>
      </w:tr>
      <w:tr w:rsidR="0012009A" w:rsidRPr="00C61E0B" w14:paraId="4C4C01A4" w14:textId="77777777" w:rsidTr="00125BBE">
        <w:trPr>
          <w:trHeight w:val="251"/>
        </w:trPr>
        <w:tc>
          <w:tcPr>
            <w:tcW w:w="1165" w:type="dxa"/>
            <w:vMerge w:val="restart"/>
            <w:shd w:val="clear" w:color="auto" w:fill="auto"/>
            <w:noWrap/>
            <w:vAlign w:val="center"/>
            <w:hideMark/>
          </w:tcPr>
          <w:p w14:paraId="46097EA2"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RUS</w:t>
            </w:r>
          </w:p>
        </w:tc>
        <w:tc>
          <w:tcPr>
            <w:tcW w:w="2070" w:type="dxa"/>
            <w:shd w:val="clear" w:color="auto" w:fill="auto"/>
            <w:noWrap/>
            <w:vAlign w:val="center"/>
            <w:hideMark/>
          </w:tcPr>
          <w:p w14:paraId="754BEA0F"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Xgboost</w:t>
            </w:r>
            <w:proofErr w:type="spellEnd"/>
          </w:p>
        </w:tc>
        <w:tc>
          <w:tcPr>
            <w:tcW w:w="1530" w:type="dxa"/>
            <w:shd w:val="clear" w:color="000000" w:fill="8DCA7E"/>
            <w:vAlign w:val="center"/>
            <w:hideMark/>
          </w:tcPr>
          <w:p w14:paraId="7C5F402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0.7022</w:t>
            </w:r>
          </w:p>
        </w:tc>
        <w:tc>
          <w:tcPr>
            <w:tcW w:w="2250" w:type="dxa"/>
            <w:shd w:val="clear" w:color="000000" w:fill="85C87D"/>
            <w:vAlign w:val="center"/>
            <w:hideMark/>
          </w:tcPr>
          <w:p w14:paraId="6D2CF80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0.7058</w:t>
            </w:r>
          </w:p>
        </w:tc>
        <w:tc>
          <w:tcPr>
            <w:tcW w:w="2250" w:type="dxa"/>
            <w:shd w:val="clear" w:color="000000" w:fill="FBAE78"/>
            <w:vAlign w:val="center"/>
            <w:hideMark/>
          </w:tcPr>
          <w:p w14:paraId="7132FE2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0.6002</w:t>
            </w:r>
          </w:p>
        </w:tc>
      </w:tr>
      <w:tr w:rsidR="0012009A" w:rsidRPr="00C61E0B" w14:paraId="0FC52792" w14:textId="77777777" w:rsidTr="00125BBE">
        <w:trPr>
          <w:trHeight w:val="320"/>
        </w:trPr>
        <w:tc>
          <w:tcPr>
            <w:tcW w:w="1165" w:type="dxa"/>
            <w:vMerge/>
            <w:shd w:val="clear" w:color="auto" w:fill="auto"/>
            <w:noWrap/>
            <w:vAlign w:val="center"/>
            <w:hideMark/>
          </w:tcPr>
          <w:p w14:paraId="1AE7DFB3" w14:textId="77777777" w:rsidR="0012009A" w:rsidRPr="00C61E0B" w:rsidRDefault="0012009A" w:rsidP="00B4434E">
            <w:pPr>
              <w:spacing w:line="480" w:lineRule="auto"/>
              <w:jc w:val="center"/>
              <w:rPr>
                <w:rFonts w:ascii="Arial" w:hAnsi="Arial" w:cs="Arial"/>
                <w:color w:val="000000"/>
                <w:sz w:val="20"/>
                <w:szCs w:val="20"/>
              </w:rPr>
            </w:pPr>
          </w:p>
        </w:tc>
        <w:tc>
          <w:tcPr>
            <w:tcW w:w="2070" w:type="dxa"/>
            <w:shd w:val="clear" w:color="auto" w:fill="auto"/>
            <w:noWrap/>
            <w:vAlign w:val="center"/>
            <w:hideMark/>
          </w:tcPr>
          <w:p w14:paraId="4C7D97D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Ridge regression</w:t>
            </w:r>
          </w:p>
        </w:tc>
        <w:tc>
          <w:tcPr>
            <w:tcW w:w="1530" w:type="dxa"/>
            <w:shd w:val="clear" w:color="000000" w:fill="63BE7B"/>
            <w:vAlign w:val="center"/>
            <w:hideMark/>
          </w:tcPr>
          <w:p w14:paraId="0935F2D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0.7220</w:t>
            </w:r>
          </w:p>
        </w:tc>
        <w:tc>
          <w:tcPr>
            <w:tcW w:w="2250" w:type="dxa"/>
            <w:shd w:val="clear" w:color="000000" w:fill="7CC57D"/>
            <w:vAlign w:val="center"/>
            <w:hideMark/>
          </w:tcPr>
          <w:p w14:paraId="75B1C14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0.7105</w:t>
            </w:r>
          </w:p>
        </w:tc>
        <w:tc>
          <w:tcPr>
            <w:tcW w:w="2250" w:type="dxa"/>
            <w:shd w:val="clear" w:color="000000" w:fill="FDCC7E"/>
            <w:vAlign w:val="center"/>
            <w:hideMark/>
          </w:tcPr>
          <w:p w14:paraId="3F5089D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0.6234</w:t>
            </w:r>
          </w:p>
        </w:tc>
      </w:tr>
      <w:tr w:rsidR="0012009A" w:rsidRPr="00C61E0B" w14:paraId="7BA24C12" w14:textId="77777777" w:rsidTr="00125BBE">
        <w:trPr>
          <w:trHeight w:val="320"/>
        </w:trPr>
        <w:tc>
          <w:tcPr>
            <w:tcW w:w="1165" w:type="dxa"/>
            <w:vMerge w:val="restart"/>
            <w:shd w:val="clear" w:color="auto" w:fill="auto"/>
            <w:noWrap/>
            <w:vAlign w:val="center"/>
            <w:hideMark/>
          </w:tcPr>
          <w:p w14:paraId="198BC86F"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lastRenderedPageBreak/>
              <w:t>MCC</w:t>
            </w:r>
          </w:p>
        </w:tc>
        <w:tc>
          <w:tcPr>
            <w:tcW w:w="2070" w:type="dxa"/>
            <w:shd w:val="clear" w:color="auto" w:fill="auto"/>
            <w:noWrap/>
            <w:vAlign w:val="center"/>
            <w:hideMark/>
          </w:tcPr>
          <w:p w14:paraId="22950D3D"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Xgboost</w:t>
            </w:r>
            <w:proofErr w:type="spellEnd"/>
          </w:p>
        </w:tc>
        <w:tc>
          <w:tcPr>
            <w:tcW w:w="1530" w:type="dxa"/>
            <w:shd w:val="clear" w:color="000000" w:fill="FEE783"/>
            <w:vAlign w:val="center"/>
            <w:hideMark/>
          </w:tcPr>
          <w:p w14:paraId="4B299881"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0.6445</w:t>
            </w:r>
          </w:p>
        </w:tc>
        <w:tc>
          <w:tcPr>
            <w:tcW w:w="2250" w:type="dxa"/>
            <w:shd w:val="clear" w:color="000000" w:fill="FEDA80"/>
            <w:vAlign w:val="center"/>
            <w:hideMark/>
          </w:tcPr>
          <w:p w14:paraId="15CC614F"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0.6341</w:t>
            </w:r>
          </w:p>
        </w:tc>
        <w:tc>
          <w:tcPr>
            <w:tcW w:w="2250" w:type="dxa"/>
            <w:shd w:val="clear" w:color="000000" w:fill="F8696B"/>
            <w:vAlign w:val="center"/>
            <w:hideMark/>
          </w:tcPr>
          <w:p w14:paraId="5CBDE25F"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0.5454</w:t>
            </w:r>
          </w:p>
        </w:tc>
      </w:tr>
      <w:tr w:rsidR="0012009A" w:rsidRPr="00C61E0B" w14:paraId="40B29A2F" w14:textId="77777777" w:rsidTr="00125BBE">
        <w:trPr>
          <w:trHeight w:val="340"/>
        </w:trPr>
        <w:tc>
          <w:tcPr>
            <w:tcW w:w="1165" w:type="dxa"/>
            <w:vMerge/>
            <w:shd w:val="clear" w:color="auto" w:fill="auto"/>
            <w:noWrap/>
            <w:vAlign w:val="center"/>
            <w:hideMark/>
          </w:tcPr>
          <w:p w14:paraId="1C4D4E85" w14:textId="77777777" w:rsidR="0012009A" w:rsidRPr="00C61E0B" w:rsidRDefault="0012009A" w:rsidP="00B4434E">
            <w:pPr>
              <w:spacing w:line="480" w:lineRule="auto"/>
              <w:jc w:val="center"/>
              <w:rPr>
                <w:rFonts w:ascii="Arial" w:hAnsi="Arial" w:cs="Arial"/>
                <w:color w:val="000000"/>
                <w:sz w:val="20"/>
                <w:szCs w:val="20"/>
              </w:rPr>
            </w:pPr>
          </w:p>
        </w:tc>
        <w:tc>
          <w:tcPr>
            <w:tcW w:w="2070" w:type="dxa"/>
            <w:shd w:val="clear" w:color="auto" w:fill="auto"/>
            <w:noWrap/>
            <w:vAlign w:val="center"/>
            <w:hideMark/>
          </w:tcPr>
          <w:p w14:paraId="5CCA011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Ridge regression</w:t>
            </w:r>
          </w:p>
        </w:tc>
        <w:tc>
          <w:tcPr>
            <w:tcW w:w="1530" w:type="dxa"/>
            <w:shd w:val="clear" w:color="000000" w:fill="FAEA84"/>
            <w:vAlign w:val="center"/>
            <w:hideMark/>
          </w:tcPr>
          <w:p w14:paraId="4C986862"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0.6500</w:t>
            </w:r>
          </w:p>
        </w:tc>
        <w:tc>
          <w:tcPr>
            <w:tcW w:w="2250" w:type="dxa"/>
            <w:shd w:val="clear" w:color="000000" w:fill="FDD780"/>
            <w:vAlign w:val="center"/>
            <w:hideMark/>
          </w:tcPr>
          <w:p w14:paraId="0DE944B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0.6321</w:t>
            </w:r>
          </w:p>
        </w:tc>
        <w:tc>
          <w:tcPr>
            <w:tcW w:w="2250" w:type="dxa"/>
            <w:shd w:val="clear" w:color="000000" w:fill="FA9A74"/>
            <w:vAlign w:val="center"/>
            <w:hideMark/>
          </w:tcPr>
          <w:p w14:paraId="48FD83B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0.5844</w:t>
            </w:r>
          </w:p>
        </w:tc>
      </w:tr>
    </w:tbl>
    <w:p w14:paraId="1ED1D857" w14:textId="77777777" w:rsidR="0012009A" w:rsidRPr="00C61E0B" w:rsidRDefault="0012009A" w:rsidP="0012009A">
      <w:pPr>
        <w:spacing w:line="480" w:lineRule="auto"/>
        <w:rPr>
          <w:rFonts w:ascii="Arial" w:hAnsi="Arial" w:cs="Arial"/>
          <w:bCs/>
        </w:rPr>
      </w:pPr>
      <w:r w:rsidRPr="00C61E0B">
        <w:rPr>
          <w:rFonts w:ascii="Arial" w:hAnsi="Arial" w:cs="Arial"/>
        </w:rPr>
        <w:t>Abbreviations:</w:t>
      </w:r>
    </w:p>
    <w:p w14:paraId="73653E38" w14:textId="77777777" w:rsidR="0012009A" w:rsidRPr="00C61E0B" w:rsidRDefault="0012009A" w:rsidP="0012009A">
      <w:pPr>
        <w:spacing w:line="480" w:lineRule="auto"/>
        <w:rPr>
          <w:rFonts w:ascii="Arial" w:hAnsi="Arial" w:cs="Arial"/>
          <w:bCs/>
        </w:rPr>
      </w:pPr>
      <w:r w:rsidRPr="00C61E0B">
        <w:rPr>
          <w:rFonts w:ascii="Arial" w:hAnsi="Arial" w:cs="Arial"/>
        </w:rPr>
        <w:t>ROS: Random over-sampling; RUS: Random under-sampling, MCC: Under-sampling by matching CCI flag.</w:t>
      </w:r>
    </w:p>
    <w:p w14:paraId="0E10E887" w14:textId="77777777" w:rsidR="0012009A" w:rsidRPr="00C61E0B" w:rsidRDefault="0012009A" w:rsidP="0012009A">
      <w:pPr>
        <w:spacing w:line="480" w:lineRule="auto"/>
        <w:jc w:val="both"/>
        <w:rPr>
          <w:rFonts w:ascii="Arial" w:hAnsi="Arial" w:cs="Arial"/>
        </w:rPr>
      </w:pPr>
    </w:p>
    <w:p w14:paraId="39B53206" w14:textId="77777777" w:rsidR="0012009A" w:rsidRPr="00C61E0B" w:rsidRDefault="0012009A" w:rsidP="0012009A">
      <w:pPr>
        <w:spacing w:line="480" w:lineRule="auto"/>
        <w:jc w:val="both"/>
        <w:rPr>
          <w:rFonts w:ascii="Arial" w:hAnsi="Arial" w:cs="Arial"/>
          <w:color w:val="000000" w:themeColor="text1"/>
        </w:rPr>
      </w:pPr>
      <w:r w:rsidRPr="00C61E0B">
        <w:rPr>
          <w:rFonts w:ascii="Arial" w:hAnsi="Arial" w:cs="Arial"/>
          <w:color w:val="000000" w:themeColor="text1"/>
        </w:rPr>
        <w:t xml:space="preserve">After obtaining initial results, we proceeded to investigate the standard errors and confidence intervals of the proposed models by removing various sensitive features. We conducted 100 bootstrapping experiments on the testing set within the modeling set and computed the mean and standard deviation to assess the models.  </w:t>
      </w:r>
      <w:r w:rsidRPr="00C61E0B">
        <w:rPr>
          <w:rFonts w:ascii="Arial" w:hAnsi="Arial" w:cs="Arial"/>
          <w:b/>
          <w:bCs/>
          <w:color w:val="000000" w:themeColor="text1"/>
        </w:rPr>
        <w:t>Table S3</w:t>
      </w:r>
      <w:r w:rsidRPr="00C61E0B">
        <w:rPr>
          <w:rFonts w:ascii="Arial" w:hAnsi="Arial" w:cs="Arial"/>
          <w:color w:val="000000" w:themeColor="text1"/>
        </w:rPr>
        <w:t xml:space="preserve"> displays the outcomes obtained by utilizing RUS on different models while utilizing full </w:t>
      </w:r>
      <w:proofErr w:type="spellStart"/>
      <w:r w:rsidRPr="00C61E0B">
        <w:rPr>
          <w:rFonts w:ascii="Arial" w:hAnsi="Arial" w:cs="Arial"/>
          <w:color w:val="000000" w:themeColor="text1"/>
        </w:rPr>
        <w:t>SDoH</w:t>
      </w:r>
      <w:proofErr w:type="spellEnd"/>
      <w:r w:rsidRPr="00C61E0B">
        <w:rPr>
          <w:rFonts w:ascii="Arial" w:hAnsi="Arial" w:cs="Arial"/>
          <w:color w:val="000000" w:themeColor="text1"/>
        </w:rPr>
        <w:t xml:space="preserve"> features. We observed that removing different sensitive features such as age, sex, and race did not have an impact on the model performance (both </w:t>
      </w:r>
      <w:proofErr w:type="spellStart"/>
      <w:r w:rsidRPr="00C61E0B">
        <w:rPr>
          <w:rFonts w:ascii="Arial" w:hAnsi="Arial" w:cs="Arial"/>
          <w:color w:val="000000" w:themeColor="text1"/>
        </w:rPr>
        <w:t>XGBoost</w:t>
      </w:r>
      <w:proofErr w:type="spellEnd"/>
      <w:r w:rsidRPr="00C61E0B">
        <w:rPr>
          <w:rFonts w:ascii="Arial" w:hAnsi="Arial" w:cs="Arial"/>
          <w:color w:val="000000" w:themeColor="text1"/>
        </w:rPr>
        <w:t xml:space="preserve"> and ridge regression), as evidenced by an AUROC ranging between 0.7090 to 0.7237, Recall ranging from 0.6959 to 0.7123, and Specificity ranging from 0.6141 to 0.6295. Moreover, the standard deviation of each experiment was less than 0.04, indicating that the model performance remained consistent during bootstrapping testing.</w:t>
      </w:r>
    </w:p>
    <w:p w14:paraId="774CE5BF" w14:textId="77777777" w:rsidR="0012009A" w:rsidRPr="00C61E0B" w:rsidRDefault="0012009A" w:rsidP="0012009A">
      <w:pPr>
        <w:pStyle w:val="Caption"/>
        <w:spacing w:line="480" w:lineRule="auto"/>
        <w:rPr>
          <w:rFonts w:ascii="Arial" w:hAnsi="Arial" w:cs="Arial"/>
          <w:i w:val="0"/>
          <w:iCs w:val="0"/>
          <w:color w:val="000000" w:themeColor="text1"/>
          <w:sz w:val="20"/>
          <w:szCs w:val="20"/>
        </w:rPr>
      </w:pPr>
      <w:bookmarkStart w:id="4" w:name="_Ref135082716"/>
      <w:r w:rsidRPr="00C61E0B">
        <w:rPr>
          <w:rFonts w:ascii="Arial" w:hAnsi="Arial" w:cs="Arial"/>
          <w:b/>
          <w:bCs/>
          <w:i w:val="0"/>
          <w:iCs w:val="0"/>
          <w:color w:val="000000" w:themeColor="text1"/>
          <w:sz w:val="20"/>
          <w:szCs w:val="20"/>
        </w:rPr>
        <w:t xml:space="preserve">Table </w:t>
      </w:r>
      <w:bookmarkEnd w:id="4"/>
      <w:r w:rsidRPr="00C61E0B">
        <w:rPr>
          <w:rFonts w:ascii="Arial" w:hAnsi="Arial" w:cs="Arial"/>
          <w:b/>
          <w:bCs/>
          <w:i w:val="0"/>
          <w:iCs w:val="0"/>
          <w:color w:val="000000" w:themeColor="text1"/>
          <w:sz w:val="20"/>
          <w:szCs w:val="20"/>
        </w:rPr>
        <w:t xml:space="preserve">S3 </w:t>
      </w:r>
      <w:r w:rsidRPr="00C61E0B">
        <w:rPr>
          <w:rFonts w:ascii="Arial" w:hAnsi="Arial" w:cs="Arial"/>
          <w:i w:val="0"/>
          <w:iCs w:val="0"/>
          <w:color w:val="000000" w:themeColor="text1"/>
          <w:sz w:val="20"/>
          <w:szCs w:val="20"/>
        </w:rPr>
        <w:t>Bootstrapping Prediction performance for different feature sets by random under-sampling.</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785"/>
        <w:gridCol w:w="1228"/>
        <w:gridCol w:w="1528"/>
        <w:gridCol w:w="1804"/>
        <w:gridCol w:w="1660"/>
      </w:tblGrid>
      <w:tr w:rsidR="0012009A" w:rsidRPr="00C61E0B" w14:paraId="40DFAD1B" w14:textId="77777777" w:rsidTr="00B4434E">
        <w:trPr>
          <w:trHeight w:val="320"/>
        </w:trPr>
        <w:tc>
          <w:tcPr>
            <w:tcW w:w="1345" w:type="dxa"/>
            <w:shd w:val="clear" w:color="auto" w:fill="auto"/>
            <w:noWrap/>
            <w:vAlign w:val="center"/>
            <w:hideMark/>
          </w:tcPr>
          <w:p w14:paraId="5C16BADC"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 </w:t>
            </w:r>
          </w:p>
        </w:tc>
        <w:tc>
          <w:tcPr>
            <w:tcW w:w="1785" w:type="dxa"/>
            <w:shd w:val="clear" w:color="auto" w:fill="auto"/>
            <w:noWrap/>
            <w:vAlign w:val="center"/>
            <w:hideMark/>
          </w:tcPr>
          <w:p w14:paraId="6F0B681B"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Features</w:t>
            </w:r>
          </w:p>
        </w:tc>
        <w:tc>
          <w:tcPr>
            <w:tcW w:w="1228" w:type="dxa"/>
            <w:shd w:val="clear" w:color="auto" w:fill="auto"/>
            <w:noWrap/>
            <w:vAlign w:val="center"/>
            <w:hideMark/>
          </w:tcPr>
          <w:p w14:paraId="23A5BA03" w14:textId="77777777" w:rsidR="0012009A" w:rsidRPr="00C61E0B" w:rsidRDefault="0012009A" w:rsidP="00B4434E">
            <w:pPr>
              <w:spacing w:line="480" w:lineRule="auto"/>
              <w:jc w:val="center"/>
              <w:rPr>
                <w:rFonts w:ascii="Arial" w:hAnsi="Arial" w:cs="Arial"/>
                <w:sz w:val="20"/>
                <w:szCs w:val="20"/>
              </w:rPr>
            </w:pPr>
          </w:p>
        </w:tc>
        <w:tc>
          <w:tcPr>
            <w:tcW w:w="1528" w:type="dxa"/>
            <w:shd w:val="clear" w:color="auto" w:fill="auto"/>
            <w:noWrap/>
            <w:vAlign w:val="center"/>
            <w:hideMark/>
          </w:tcPr>
          <w:p w14:paraId="27DDD5A4"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AUROC</w:t>
            </w:r>
          </w:p>
        </w:tc>
        <w:tc>
          <w:tcPr>
            <w:tcW w:w="1804" w:type="dxa"/>
            <w:shd w:val="clear" w:color="auto" w:fill="auto"/>
            <w:noWrap/>
            <w:vAlign w:val="center"/>
            <w:hideMark/>
          </w:tcPr>
          <w:p w14:paraId="0459B22C"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Recall</w:t>
            </w:r>
          </w:p>
        </w:tc>
        <w:tc>
          <w:tcPr>
            <w:tcW w:w="1660" w:type="dxa"/>
            <w:shd w:val="clear" w:color="auto" w:fill="auto"/>
            <w:noWrap/>
            <w:vAlign w:val="center"/>
            <w:hideMark/>
          </w:tcPr>
          <w:p w14:paraId="0015014E"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Specificity</w:t>
            </w:r>
          </w:p>
        </w:tc>
      </w:tr>
      <w:tr w:rsidR="0012009A" w:rsidRPr="00C61E0B" w14:paraId="4C6418AA" w14:textId="77777777" w:rsidTr="00B4434E">
        <w:trPr>
          <w:trHeight w:val="320"/>
        </w:trPr>
        <w:tc>
          <w:tcPr>
            <w:tcW w:w="1345" w:type="dxa"/>
            <w:vMerge w:val="restart"/>
            <w:shd w:val="clear" w:color="auto" w:fill="auto"/>
            <w:noWrap/>
            <w:vAlign w:val="center"/>
            <w:hideMark/>
          </w:tcPr>
          <w:p w14:paraId="6000BF3F"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Xgboost</w:t>
            </w:r>
            <w:proofErr w:type="spellEnd"/>
          </w:p>
        </w:tc>
        <w:tc>
          <w:tcPr>
            <w:tcW w:w="1785" w:type="dxa"/>
            <w:vMerge w:val="restart"/>
            <w:shd w:val="clear" w:color="auto" w:fill="auto"/>
            <w:noWrap/>
            <w:vAlign w:val="center"/>
            <w:hideMark/>
          </w:tcPr>
          <w:p w14:paraId="17B5C495"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fullvar</w:t>
            </w:r>
            <w:proofErr w:type="spellEnd"/>
          </w:p>
        </w:tc>
        <w:tc>
          <w:tcPr>
            <w:tcW w:w="1228" w:type="dxa"/>
            <w:shd w:val="clear" w:color="auto" w:fill="auto"/>
            <w:noWrap/>
            <w:vAlign w:val="center"/>
            <w:hideMark/>
          </w:tcPr>
          <w:p w14:paraId="334342C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FEE081"/>
            <w:noWrap/>
            <w:vAlign w:val="center"/>
            <w:hideMark/>
          </w:tcPr>
          <w:p w14:paraId="36666E91"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0.7111</w:t>
            </w:r>
          </w:p>
        </w:tc>
        <w:tc>
          <w:tcPr>
            <w:tcW w:w="1804" w:type="dxa"/>
            <w:shd w:val="clear" w:color="000000" w:fill="FB9874"/>
            <w:noWrap/>
            <w:vAlign w:val="center"/>
            <w:hideMark/>
          </w:tcPr>
          <w:p w14:paraId="12AC7E14"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0.7062</w:t>
            </w:r>
          </w:p>
        </w:tc>
        <w:tc>
          <w:tcPr>
            <w:tcW w:w="1660" w:type="dxa"/>
            <w:shd w:val="clear" w:color="000000" w:fill="FDD680"/>
            <w:noWrap/>
            <w:vAlign w:val="center"/>
            <w:hideMark/>
          </w:tcPr>
          <w:p w14:paraId="7E6D9117"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0.6141</w:t>
            </w:r>
          </w:p>
        </w:tc>
      </w:tr>
      <w:tr w:rsidR="0012009A" w:rsidRPr="00C61E0B" w14:paraId="3A94ECDB" w14:textId="77777777" w:rsidTr="00B4434E">
        <w:trPr>
          <w:trHeight w:val="320"/>
        </w:trPr>
        <w:tc>
          <w:tcPr>
            <w:tcW w:w="1345" w:type="dxa"/>
            <w:vMerge/>
            <w:vAlign w:val="center"/>
            <w:hideMark/>
          </w:tcPr>
          <w:p w14:paraId="37130E98"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7123B914"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028028A2"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09A385C7"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0.0172</w:t>
            </w:r>
          </w:p>
        </w:tc>
        <w:tc>
          <w:tcPr>
            <w:tcW w:w="1804" w:type="dxa"/>
            <w:shd w:val="clear" w:color="auto" w:fill="auto"/>
            <w:noWrap/>
            <w:vAlign w:val="center"/>
            <w:hideMark/>
          </w:tcPr>
          <w:p w14:paraId="614FDC3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0.0360</w:t>
            </w:r>
          </w:p>
        </w:tc>
        <w:tc>
          <w:tcPr>
            <w:tcW w:w="1660" w:type="dxa"/>
            <w:shd w:val="clear" w:color="auto" w:fill="auto"/>
            <w:noWrap/>
            <w:vAlign w:val="center"/>
            <w:hideMark/>
          </w:tcPr>
          <w:p w14:paraId="4FC102CA"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0.0214</w:t>
            </w:r>
          </w:p>
        </w:tc>
      </w:tr>
      <w:tr w:rsidR="0012009A" w:rsidRPr="00C61E0B" w14:paraId="2D5A674E" w14:textId="77777777" w:rsidTr="00B4434E">
        <w:trPr>
          <w:trHeight w:val="320"/>
        </w:trPr>
        <w:tc>
          <w:tcPr>
            <w:tcW w:w="1345" w:type="dxa"/>
            <w:vMerge/>
            <w:vAlign w:val="center"/>
            <w:hideMark/>
          </w:tcPr>
          <w:p w14:paraId="7E4F4F7E" w14:textId="77777777" w:rsidR="0012009A" w:rsidRPr="00C61E0B" w:rsidRDefault="0012009A" w:rsidP="00B4434E">
            <w:pPr>
              <w:spacing w:line="480" w:lineRule="auto"/>
              <w:rPr>
                <w:rFonts w:ascii="Arial" w:hAnsi="Arial" w:cs="Arial"/>
                <w:color w:val="000000"/>
                <w:sz w:val="20"/>
                <w:szCs w:val="20"/>
              </w:rPr>
            </w:pPr>
          </w:p>
        </w:tc>
        <w:tc>
          <w:tcPr>
            <w:tcW w:w="1785" w:type="dxa"/>
            <w:vMerge w:val="restart"/>
            <w:shd w:val="clear" w:color="auto" w:fill="auto"/>
            <w:noWrap/>
            <w:vAlign w:val="center"/>
            <w:hideMark/>
          </w:tcPr>
          <w:p w14:paraId="43A98EFB"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w/o age</w:t>
            </w:r>
          </w:p>
        </w:tc>
        <w:tc>
          <w:tcPr>
            <w:tcW w:w="1228" w:type="dxa"/>
            <w:shd w:val="clear" w:color="auto" w:fill="auto"/>
            <w:noWrap/>
            <w:vAlign w:val="center"/>
            <w:hideMark/>
          </w:tcPr>
          <w:p w14:paraId="5ADF16E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F4E884"/>
            <w:noWrap/>
            <w:vAlign w:val="center"/>
            <w:hideMark/>
          </w:tcPr>
          <w:p w14:paraId="3B7EDFC8"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0.7150</w:t>
            </w:r>
          </w:p>
        </w:tc>
        <w:tc>
          <w:tcPr>
            <w:tcW w:w="1804" w:type="dxa"/>
            <w:shd w:val="clear" w:color="000000" w:fill="F8696B"/>
            <w:noWrap/>
            <w:vAlign w:val="center"/>
            <w:hideMark/>
          </w:tcPr>
          <w:p w14:paraId="0D5BCE28"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0.7123</w:t>
            </w:r>
          </w:p>
        </w:tc>
        <w:tc>
          <w:tcPr>
            <w:tcW w:w="1660" w:type="dxa"/>
            <w:shd w:val="clear" w:color="000000" w:fill="FED880"/>
            <w:noWrap/>
            <w:vAlign w:val="center"/>
            <w:hideMark/>
          </w:tcPr>
          <w:p w14:paraId="1600877C"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0.6148</w:t>
            </w:r>
          </w:p>
        </w:tc>
      </w:tr>
      <w:tr w:rsidR="0012009A" w:rsidRPr="00C61E0B" w14:paraId="0C85DC08" w14:textId="77777777" w:rsidTr="00B4434E">
        <w:trPr>
          <w:trHeight w:val="320"/>
        </w:trPr>
        <w:tc>
          <w:tcPr>
            <w:tcW w:w="1345" w:type="dxa"/>
            <w:vMerge/>
            <w:vAlign w:val="center"/>
            <w:hideMark/>
          </w:tcPr>
          <w:p w14:paraId="0039EB37"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49014238"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505642C0"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184B90E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0.0160</w:t>
            </w:r>
          </w:p>
        </w:tc>
        <w:tc>
          <w:tcPr>
            <w:tcW w:w="1804" w:type="dxa"/>
            <w:shd w:val="clear" w:color="auto" w:fill="auto"/>
            <w:noWrap/>
            <w:vAlign w:val="center"/>
            <w:hideMark/>
          </w:tcPr>
          <w:p w14:paraId="26029688"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0.0354</w:t>
            </w:r>
          </w:p>
        </w:tc>
        <w:tc>
          <w:tcPr>
            <w:tcW w:w="1660" w:type="dxa"/>
            <w:shd w:val="clear" w:color="auto" w:fill="auto"/>
            <w:noWrap/>
            <w:vAlign w:val="center"/>
            <w:hideMark/>
          </w:tcPr>
          <w:p w14:paraId="4C55A41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0.0222</w:t>
            </w:r>
          </w:p>
        </w:tc>
      </w:tr>
      <w:tr w:rsidR="0012009A" w:rsidRPr="00C61E0B" w14:paraId="75D34A0E" w14:textId="77777777" w:rsidTr="00B4434E">
        <w:trPr>
          <w:trHeight w:val="320"/>
        </w:trPr>
        <w:tc>
          <w:tcPr>
            <w:tcW w:w="1345" w:type="dxa"/>
            <w:vMerge/>
            <w:vAlign w:val="center"/>
            <w:hideMark/>
          </w:tcPr>
          <w:p w14:paraId="0656DD2D" w14:textId="77777777" w:rsidR="0012009A" w:rsidRPr="00C61E0B" w:rsidRDefault="0012009A" w:rsidP="00B4434E">
            <w:pPr>
              <w:spacing w:line="480" w:lineRule="auto"/>
              <w:rPr>
                <w:rFonts w:ascii="Arial" w:hAnsi="Arial" w:cs="Arial"/>
                <w:color w:val="000000"/>
                <w:sz w:val="20"/>
                <w:szCs w:val="20"/>
              </w:rPr>
            </w:pPr>
          </w:p>
        </w:tc>
        <w:tc>
          <w:tcPr>
            <w:tcW w:w="1785" w:type="dxa"/>
            <w:vMerge w:val="restart"/>
            <w:shd w:val="clear" w:color="auto" w:fill="auto"/>
            <w:noWrap/>
            <w:vAlign w:val="center"/>
            <w:hideMark/>
          </w:tcPr>
          <w:p w14:paraId="4D6FB8A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w/o age &amp; sex</w:t>
            </w:r>
          </w:p>
        </w:tc>
        <w:tc>
          <w:tcPr>
            <w:tcW w:w="1228" w:type="dxa"/>
            <w:shd w:val="clear" w:color="auto" w:fill="auto"/>
            <w:noWrap/>
            <w:vAlign w:val="center"/>
            <w:hideMark/>
          </w:tcPr>
          <w:p w14:paraId="520BA61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FDD880"/>
            <w:noWrap/>
            <w:vAlign w:val="center"/>
            <w:hideMark/>
          </w:tcPr>
          <w:p w14:paraId="23EF04B7"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0.7090</w:t>
            </w:r>
          </w:p>
        </w:tc>
        <w:tc>
          <w:tcPr>
            <w:tcW w:w="1804" w:type="dxa"/>
            <w:shd w:val="clear" w:color="000000" w:fill="FFE683"/>
            <w:noWrap/>
            <w:vAlign w:val="center"/>
            <w:hideMark/>
          </w:tcPr>
          <w:p w14:paraId="2394A3D8"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0.6959</w:t>
            </w:r>
          </w:p>
        </w:tc>
        <w:tc>
          <w:tcPr>
            <w:tcW w:w="1660" w:type="dxa"/>
            <w:shd w:val="clear" w:color="000000" w:fill="FEDE81"/>
            <w:noWrap/>
            <w:vAlign w:val="center"/>
            <w:hideMark/>
          </w:tcPr>
          <w:p w14:paraId="185E544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0.6172</w:t>
            </w:r>
          </w:p>
        </w:tc>
      </w:tr>
      <w:tr w:rsidR="0012009A" w:rsidRPr="00C61E0B" w14:paraId="57D0602A" w14:textId="77777777" w:rsidTr="00B4434E">
        <w:trPr>
          <w:trHeight w:val="320"/>
        </w:trPr>
        <w:tc>
          <w:tcPr>
            <w:tcW w:w="1345" w:type="dxa"/>
            <w:vMerge/>
            <w:vAlign w:val="center"/>
            <w:hideMark/>
          </w:tcPr>
          <w:p w14:paraId="45CCF25F"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627B06F1"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24C642FD"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6504ABEA"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0.0166</w:t>
            </w:r>
          </w:p>
        </w:tc>
        <w:tc>
          <w:tcPr>
            <w:tcW w:w="1804" w:type="dxa"/>
            <w:shd w:val="clear" w:color="auto" w:fill="auto"/>
            <w:noWrap/>
            <w:vAlign w:val="center"/>
            <w:hideMark/>
          </w:tcPr>
          <w:p w14:paraId="7F441F3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0.0386</w:t>
            </w:r>
          </w:p>
        </w:tc>
        <w:tc>
          <w:tcPr>
            <w:tcW w:w="1660" w:type="dxa"/>
            <w:shd w:val="clear" w:color="auto" w:fill="auto"/>
            <w:noWrap/>
            <w:vAlign w:val="center"/>
            <w:hideMark/>
          </w:tcPr>
          <w:p w14:paraId="736DD6A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0.0227</w:t>
            </w:r>
          </w:p>
        </w:tc>
      </w:tr>
      <w:tr w:rsidR="0012009A" w:rsidRPr="00C61E0B" w14:paraId="0A1CEC14" w14:textId="77777777" w:rsidTr="00B4434E">
        <w:trPr>
          <w:trHeight w:val="320"/>
        </w:trPr>
        <w:tc>
          <w:tcPr>
            <w:tcW w:w="1345" w:type="dxa"/>
            <w:vMerge/>
            <w:vAlign w:val="center"/>
            <w:hideMark/>
          </w:tcPr>
          <w:p w14:paraId="70061E92" w14:textId="77777777" w:rsidR="0012009A" w:rsidRPr="00C61E0B" w:rsidRDefault="0012009A" w:rsidP="00B4434E">
            <w:pPr>
              <w:spacing w:line="480" w:lineRule="auto"/>
              <w:rPr>
                <w:rFonts w:ascii="Arial" w:hAnsi="Arial" w:cs="Arial"/>
                <w:color w:val="000000"/>
                <w:sz w:val="20"/>
                <w:szCs w:val="20"/>
              </w:rPr>
            </w:pPr>
          </w:p>
        </w:tc>
        <w:tc>
          <w:tcPr>
            <w:tcW w:w="1785" w:type="dxa"/>
            <w:vMerge w:val="restart"/>
            <w:shd w:val="clear" w:color="auto" w:fill="auto"/>
            <w:noWrap/>
            <w:vAlign w:val="center"/>
            <w:hideMark/>
          </w:tcPr>
          <w:p w14:paraId="35CFB5C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w/o age &amp; sex &amp; race</w:t>
            </w:r>
          </w:p>
        </w:tc>
        <w:tc>
          <w:tcPr>
            <w:tcW w:w="1228" w:type="dxa"/>
            <w:shd w:val="clear" w:color="auto" w:fill="auto"/>
            <w:noWrap/>
            <w:vAlign w:val="center"/>
            <w:hideMark/>
          </w:tcPr>
          <w:p w14:paraId="7C7DA55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FEE783"/>
            <w:noWrap/>
            <w:vAlign w:val="center"/>
            <w:hideMark/>
          </w:tcPr>
          <w:p w14:paraId="7B3C6207"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0.7129</w:t>
            </w:r>
          </w:p>
        </w:tc>
        <w:tc>
          <w:tcPr>
            <w:tcW w:w="1804" w:type="dxa"/>
            <w:shd w:val="clear" w:color="000000" w:fill="F9796E"/>
            <w:noWrap/>
            <w:vAlign w:val="center"/>
            <w:hideMark/>
          </w:tcPr>
          <w:p w14:paraId="56899091"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0.7102</w:t>
            </w:r>
          </w:p>
        </w:tc>
        <w:tc>
          <w:tcPr>
            <w:tcW w:w="1660" w:type="dxa"/>
            <w:shd w:val="clear" w:color="000000" w:fill="FDD680"/>
            <w:noWrap/>
            <w:vAlign w:val="center"/>
            <w:hideMark/>
          </w:tcPr>
          <w:p w14:paraId="767BE56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0.6139</w:t>
            </w:r>
          </w:p>
        </w:tc>
      </w:tr>
      <w:tr w:rsidR="0012009A" w:rsidRPr="00C61E0B" w14:paraId="0D03A104" w14:textId="77777777" w:rsidTr="00B4434E">
        <w:trPr>
          <w:trHeight w:val="320"/>
        </w:trPr>
        <w:tc>
          <w:tcPr>
            <w:tcW w:w="1345" w:type="dxa"/>
            <w:vMerge/>
            <w:vAlign w:val="center"/>
            <w:hideMark/>
          </w:tcPr>
          <w:p w14:paraId="12996335"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217F949D"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367512E4"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4462961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0.0167</w:t>
            </w:r>
          </w:p>
        </w:tc>
        <w:tc>
          <w:tcPr>
            <w:tcW w:w="1804" w:type="dxa"/>
            <w:shd w:val="clear" w:color="auto" w:fill="auto"/>
            <w:noWrap/>
            <w:vAlign w:val="center"/>
            <w:hideMark/>
          </w:tcPr>
          <w:p w14:paraId="15249AFE"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0.0390</w:t>
            </w:r>
          </w:p>
        </w:tc>
        <w:tc>
          <w:tcPr>
            <w:tcW w:w="1660" w:type="dxa"/>
            <w:shd w:val="clear" w:color="auto" w:fill="auto"/>
            <w:noWrap/>
            <w:vAlign w:val="center"/>
            <w:hideMark/>
          </w:tcPr>
          <w:p w14:paraId="385AC35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0.0200</w:t>
            </w:r>
          </w:p>
        </w:tc>
      </w:tr>
      <w:tr w:rsidR="0012009A" w:rsidRPr="00C61E0B" w14:paraId="11DF8B96" w14:textId="77777777" w:rsidTr="00B4434E">
        <w:trPr>
          <w:trHeight w:val="320"/>
        </w:trPr>
        <w:tc>
          <w:tcPr>
            <w:tcW w:w="1345" w:type="dxa"/>
            <w:vMerge w:val="restart"/>
            <w:shd w:val="clear" w:color="auto" w:fill="auto"/>
            <w:noWrap/>
            <w:vAlign w:val="center"/>
            <w:hideMark/>
          </w:tcPr>
          <w:p w14:paraId="5F44DED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Ridge regression</w:t>
            </w:r>
          </w:p>
        </w:tc>
        <w:tc>
          <w:tcPr>
            <w:tcW w:w="1785" w:type="dxa"/>
            <w:vMerge w:val="restart"/>
            <w:shd w:val="clear" w:color="auto" w:fill="auto"/>
            <w:noWrap/>
            <w:vAlign w:val="center"/>
            <w:hideMark/>
          </w:tcPr>
          <w:p w14:paraId="70257D0C"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fullvar</w:t>
            </w:r>
            <w:proofErr w:type="spellEnd"/>
          </w:p>
        </w:tc>
        <w:tc>
          <w:tcPr>
            <w:tcW w:w="1228" w:type="dxa"/>
            <w:shd w:val="clear" w:color="auto" w:fill="auto"/>
            <w:noWrap/>
            <w:vAlign w:val="center"/>
            <w:hideMark/>
          </w:tcPr>
          <w:p w14:paraId="693B363C"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92CC7E"/>
            <w:noWrap/>
            <w:vAlign w:val="center"/>
            <w:hideMark/>
          </w:tcPr>
          <w:p w14:paraId="1F9C85D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0.7237</w:t>
            </w:r>
          </w:p>
        </w:tc>
        <w:tc>
          <w:tcPr>
            <w:tcW w:w="1804" w:type="dxa"/>
            <w:shd w:val="clear" w:color="000000" w:fill="FA8771"/>
            <w:noWrap/>
            <w:vAlign w:val="center"/>
            <w:hideMark/>
          </w:tcPr>
          <w:p w14:paraId="52C6A3F4"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0.7084</w:t>
            </w:r>
          </w:p>
        </w:tc>
        <w:tc>
          <w:tcPr>
            <w:tcW w:w="1660" w:type="dxa"/>
            <w:shd w:val="clear" w:color="000000" w:fill="CBDC81"/>
            <w:noWrap/>
            <w:vAlign w:val="center"/>
            <w:hideMark/>
          </w:tcPr>
          <w:p w14:paraId="298C993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0.6295</w:t>
            </w:r>
          </w:p>
        </w:tc>
      </w:tr>
      <w:tr w:rsidR="0012009A" w:rsidRPr="00C61E0B" w14:paraId="4BE0AD39" w14:textId="77777777" w:rsidTr="00B4434E">
        <w:trPr>
          <w:trHeight w:val="320"/>
        </w:trPr>
        <w:tc>
          <w:tcPr>
            <w:tcW w:w="1345" w:type="dxa"/>
            <w:vMerge/>
            <w:vAlign w:val="center"/>
            <w:hideMark/>
          </w:tcPr>
          <w:p w14:paraId="47FAA57A"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75AB04B2"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3CE01687"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7BCD083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0.0148</w:t>
            </w:r>
          </w:p>
        </w:tc>
        <w:tc>
          <w:tcPr>
            <w:tcW w:w="1804" w:type="dxa"/>
            <w:shd w:val="clear" w:color="auto" w:fill="auto"/>
            <w:noWrap/>
            <w:vAlign w:val="center"/>
            <w:hideMark/>
          </w:tcPr>
          <w:p w14:paraId="03C20C24"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0.0270</w:t>
            </w:r>
          </w:p>
        </w:tc>
        <w:tc>
          <w:tcPr>
            <w:tcW w:w="1660" w:type="dxa"/>
            <w:shd w:val="clear" w:color="auto" w:fill="auto"/>
            <w:noWrap/>
            <w:vAlign w:val="center"/>
            <w:hideMark/>
          </w:tcPr>
          <w:p w14:paraId="46587DD8"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0.0153</w:t>
            </w:r>
          </w:p>
        </w:tc>
      </w:tr>
      <w:tr w:rsidR="0012009A" w:rsidRPr="00C61E0B" w14:paraId="526130A9" w14:textId="77777777" w:rsidTr="00B4434E">
        <w:trPr>
          <w:trHeight w:val="320"/>
        </w:trPr>
        <w:tc>
          <w:tcPr>
            <w:tcW w:w="1345" w:type="dxa"/>
            <w:vMerge/>
            <w:vAlign w:val="center"/>
            <w:hideMark/>
          </w:tcPr>
          <w:p w14:paraId="056230D0" w14:textId="77777777" w:rsidR="0012009A" w:rsidRPr="00C61E0B" w:rsidRDefault="0012009A" w:rsidP="00B4434E">
            <w:pPr>
              <w:spacing w:line="480" w:lineRule="auto"/>
              <w:rPr>
                <w:rFonts w:ascii="Arial" w:hAnsi="Arial" w:cs="Arial"/>
                <w:color w:val="000000"/>
                <w:sz w:val="20"/>
                <w:szCs w:val="20"/>
              </w:rPr>
            </w:pPr>
          </w:p>
        </w:tc>
        <w:tc>
          <w:tcPr>
            <w:tcW w:w="1785" w:type="dxa"/>
            <w:vMerge w:val="restart"/>
            <w:shd w:val="clear" w:color="auto" w:fill="auto"/>
            <w:noWrap/>
            <w:vAlign w:val="center"/>
            <w:hideMark/>
          </w:tcPr>
          <w:p w14:paraId="22F74B8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w/o age</w:t>
            </w:r>
          </w:p>
        </w:tc>
        <w:tc>
          <w:tcPr>
            <w:tcW w:w="1228" w:type="dxa"/>
            <w:shd w:val="clear" w:color="auto" w:fill="auto"/>
            <w:noWrap/>
            <w:vAlign w:val="center"/>
            <w:hideMark/>
          </w:tcPr>
          <w:p w14:paraId="0418EA6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92CC7E"/>
            <w:noWrap/>
            <w:vAlign w:val="center"/>
            <w:hideMark/>
          </w:tcPr>
          <w:p w14:paraId="4AE48CDD"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0.7237</w:t>
            </w:r>
          </w:p>
        </w:tc>
        <w:tc>
          <w:tcPr>
            <w:tcW w:w="1804" w:type="dxa"/>
            <w:shd w:val="clear" w:color="000000" w:fill="FA8A72"/>
            <w:noWrap/>
            <w:vAlign w:val="center"/>
            <w:hideMark/>
          </w:tcPr>
          <w:p w14:paraId="3CFCDD44"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0.7081</w:t>
            </w:r>
          </w:p>
        </w:tc>
        <w:tc>
          <w:tcPr>
            <w:tcW w:w="1660" w:type="dxa"/>
            <w:shd w:val="clear" w:color="000000" w:fill="CFDD82"/>
            <w:noWrap/>
            <w:vAlign w:val="center"/>
            <w:hideMark/>
          </w:tcPr>
          <w:p w14:paraId="4BC1518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0.6290</w:t>
            </w:r>
          </w:p>
        </w:tc>
      </w:tr>
      <w:tr w:rsidR="0012009A" w:rsidRPr="00C61E0B" w14:paraId="064531AC" w14:textId="77777777" w:rsidTr="00B4434E">
        <w:trPr>
          <w:trHeight w:val="320"/>
        </w:trPr>
        <w:tc>
          <w:tcPr>
            <w:tcW w:w="1345" w:type="dxa"/>
            <w:vMerge/>
            <w:vAlign w:val="center"/>
            <w:hideMark/>
          </w:tcPr>
          <w:p w14:paraId="759498F6"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60BCFFD7"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4DAFB94A"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6964321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0.0148</w:t>
            </w:r>
          </w:p>
        </w:tc>
        <w:tc>
          <w:tcPr>
            <w:tcW w:w="1804" w:type="dxa"/>
            <w:shd w:val="clear" w:color="auto" w:fill="auto"/>
            <w:noWrap/>
            <w:vAlign w:val="center"/>
            <w:hideMark/>
          </w:tcPr>
          <w:p w14:paraId="43E2468A"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0.0262</w:t>
            </w:r>
          </w:p>
        </w:tc>
        <w:tc>
          <w:tcPr>
            <w:tcW w:w="1660" w:type="dxa"/>
            <w:shd w:val="clear" w:color="auto" w:fill="auto"/>
            <w:noWrap/>
            <w:vAlign w:val="center"/>
            <w:hideMark/>
          </w:tcPr>
          <w:p w14:paraId="5AB9001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0.0152</w:t>
            </w:r>
          </w:p>
        </w:tc>
      </w:tr>
      <w:tr w:rsidR="0012009A" w:rsidRPr="00C61E0B" w14:paraId="0F75BCCF" w14:textId="77777777" w:rsidTr="00B4434E">
        <w:trPr>
          <w:trHeight w:val="320"/>
        </w:trPr>
        <w:tc>
          <w:tcPr>
            <w:tcW w:w="1345" w:type="dxa"/>
            <w:vMerge/>
            <w:vAlign w:val="center"/>
            <w:hideMark/>
          </w:tcPr>
          <w:p w14:paraId="278F599E" w14:textId="77777777" w:rsidR="0012009A" w:rsidRPr="00C61E0B" w:rsidRDefault="0012009A" w:rsidP="00B4434E">
            <w:pPr>
              <w:spacing w:line="480" w:lineRule="auto"/>
              <w:rPr>
                <w:rFonts w:ascii="Arial" w:hAnsi="Arial" w:cs="Arial"/>
                <w:color w:val="000000"/>
                <w:sz w:val="20"/>
                <w:szCs w:val="20"/>
              </w:rPr>
            </w:pPr>
          </w:p>
        </w:tc>
        <w:tc>
          <w:tcPr>
            <w:tcW w:w="1785" w:type="dxa"/>
            <w:vMerge w:val="restart"/>
            <w:shd w:val="clear" w:color="auto" w:fill="auto"/>
            <w:noWrap/>
            <w:vAlign w:val="center"/>
            <w:hideMark/>
          </w:tcPr>
          <w:p w14:paraId="416DDCD6"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w/o age &amp; sex</w:t>
            </w:r>
          </w:p>
        </w:tc>
        <w:tc>
          <w:tcPr>
            <w:tcW w:w="1228" w:type="dxa"/>
            <w:shd w:val="clear" w:color="auto" w:fill="auto"/>
            <w:noWrap/>
            <w:vAlign w:val="center"/>
            <w:hideMark/>
          </w:tcPr>
          <w:p w14:paraId="2EBDE0CC"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ABD380"/>
            <w:noWrap/>
            <w:vAlign w:val="center"/>
            <w:hideMark/>
          </w:tcPr>
          <w:p w14:paraId="4565D0E5"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0.7215</w:t>
            </w:r>
          </w:p>
        </w:tc>
        <w:tc>
          <w:tcPr>
            <w:tcW w:w="1804" w:type="dxa"/>
            <w:shd w:val="clear" w:color="000000" w:fill="FA8C72"/>
            <w:noWrap/>
            <w:vAlign w:val="center"/>
            <w:hideMark/>
          </w:tcPr>
          <w:p w14:paraId="6E0BB26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0.7077</w:t>
            </w:r>
          </w:p>
        </w:tc>
        <w:tc>
          <w:tcPr>
            <w:tcW w:w="1660" w:type="dxa"/>
            <w:shd w:val="clear" w:color="000000" w:fill="DFE283"/>
            <w:noWrap/>
            <w:vAlign w:val="center"/>
            <w:hideMark/>
          </w:tcPr>
          <w:p w14:paraId="51C8627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0.6265</w:t>
            </w:r>
          </w:p>
        </w:tc>
      </w:tr>
      <w:tr w:rsidR="0012009A" w:rsidRPr="00C61E0B" w14:paraId="29B82101" w14:textId="77777777" w:rsidTr="00B4434E">
        <w:trPr>
          <w:trHeight w:val="320"/>
        </w:trPr>
        <w:tc>
          <w:tcPr>
            <w:tcW w:w="1345" w:type="dxa"/>
            <w:vMerge/>
            <w:vAlign w:val="center"/>
            <w:hideMark/>
          </w:tcPr>
          <w:p w14:paraId="32D8FB4F"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492DE2AF"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005E3D61"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3A6551A2"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0.0149</w:t>
            </w:r>
          </w:p>
        </w:tc>
        <w:tc>
          <w:tcPr>
            <w:tcW w:w="1804" w:type="dxa"/>
            <w:shd w:val="clear" w:color="auto" w:fill="auto"/>
            <w:noWrap/>
            <w:vAlign w:val="center"/>
            <w:hideMark/>
          </w:tcPr>
          <w:p w14:paraId="5BF991D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0.0279</w:t>
            </w:r>
          </w:p>
        </w:tc>
        <w:tc>
          <w:tcPr>
            <w:tcW w:w="1660" w:type="dxa"/>
            <w:shd w:val="clear" w:color="auto" w:fill="auto"/>
            <w:noWrap/>
            <w:vAlign w:val="center"/>
            <w:hideMark/>
          </w:tcPr>
          <w:p w14:paraId="105BB84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0.0156</w:t>
            </w:r>
          </w:p>
        </w:tc>
      </w:tr>
      <w:tr w:rsidR="0012009A" w:rsidRPr="00C61E0B" w14:paraId="0159E370" w14:textId="77777777" w:rsidTr="00B4434E">
        <w:trPr>
          <w:trHeight w:val="320"/>
        </w:trPr>
        <w:tc>
          <w:tcPr>
            <w:tcW w:w="1345" w:type="dxa"/>
            <w:vMerge/>
            <w:vAlign w:val="center"/>
            <w:hideMark/>
          </w:tcPr>
          <w:p w14:paraId="17D6EE38" w14:textId="77777777" w:rsidR="0012009A" w:rsidRPr="00C61E0B" w:rsidRDefault="0012009A" w:rsidP="00B4434E">
            <w:pPr>
              <w:spacing w:line="480" w:lineRule="auto"/>
              <w:rPr>
                <w:rFonts w:ascii="Arial" w:hAnsi="Arial" w:cs="Arial"/>
                <w:color w:val="000000"/>
                <w:sz w:val="20"/>
                <w:szCs w:val="20"/>
              </w:rPr>
            </w:pPr>
          </w:p>
        </w:tc>
        <w:tc>
          <w:tcPr>
            <w:tcW w:w="1785" w:type="dxa"/>
            <w:vMerge w:val="restart"/>
            <w:shd w:val="clear" w:color="auto" w:fill="auto"/>
            <w:noWrap/>
            <w:vAlign w:val="center"/>
            <w:hideMark/>
          </w:tcPr>
          <w:p w14:paraId="2B7D9F6E"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w/o age &amp; sex &amp; race</w:t>
            </w:r>
          </w:p>
        </w:tc>
        <w:tc>
          <w:tcPr>
            <w:tcW w:w="1228" w:type="dxa"/>
            <w:shd w:val="clear" w:color="auto" w:fill="auto"/>
            <w:noWrap/>
            <w:vAlign w:val="center"/>
            <w:hideMark/>
          </w:tcPr>
          <w:p w14:paraId="0D5A0493"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mean</w:t>
            </w:r>
          </w:p>
        </w:tc>
        <w:tc>
          <w:tcPr>
            <w:tcW w:w="1528" w:type="dxa"/>
            <w:shd w:val="clear" w:color="000000" w:fill="ADD480"/>
            <w:noWrap/>
            <w:vAlign w:val="center"/>
            <w:hideMark/>
          </w:tcPr>
          <w:p w14:paraId="516E251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0.7213</w:t>
            </w:r>
          </w:p>
        </w:tc>
        <w:tc>
          <w:tcPr>
            <w:tcW w:w="1804" w:type="dxa"/>
            <w:shd w:val="clear" w:color="000000" w:fill="FA8D72"/>
            <w:noWrap/>
            <w:vAlign w:val="center"/>
            <w:hideMark/>
          </w:tcPr>
          <w:p w14:paraId="0990B05B"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0.7076</w:t>
            </w:r>
          </w:p>
        </w:tc>
        <w:tc>
          <w:tcPr>
            <w:tcW w:w="1660" w:type="dxa"/>
            <w:shd w:val="clear" w:color="000000" w:fill="D8E082"/>
            <w:noWrap/>
            <w:vAlign w:val="center"/>
            <w:hideMark/>
          </w:tcPr>
          <w:p w14:paraId="0ECA48DC"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0.6276</w:t>
            </w:r>
          </w:p>
        </w:tc>
      </w:tr>
      <w:tr w:rsidR="0012009A" w:rsidRPr="00C61E0B" w14:paraId="6CC643C5" w14:textId="77777777" w:rsidTr="00B4434E">
        <w:trPr>
          <w:trHeight w:val="320"/>
        </w:trPr>
        <w:tc>
          <w:tcPr>
            <w:tcW w:w="1345" w:type="dxa"/>
            <w:vMerge/>
            <w:vAlign w:val="center"/>
            <w:hideMark/>
          </w:tcPr>
          <w:p w14:paraId="7076E60C" w14:textId="77777777" w:rsidR="0012009A" w:rsidRPr="00C61E0B" w:rsidRDefault="0012009A" w:rsidP="00B4434E">
            <w:pPr>
              <w:spacing w:line="480" w:lineRule="auto"/>
              <w:rPr>
                <w:rFonts w:ascii="Arial" w:hAnsi="Arial" w:cs="Arial"/>
                <w:color w:val="000000"/>
                <w:sz w:val="20"/>
                <w:szCs w:val="20"/>
              </w:rPr>
            </w:pPr>
          </w:p>
        </w:tc>
        <w:tc>
          <w:tcPr>
            <w:tcW w:w="1785" w:type="dxa"/>
            <w:vMerge/>
            <w:shd w:val="clear" w:color="auto" w:fill="auto"/>
            <w:noWrap/>
            <w:vAlign w:val="center"/>
            <w:hideMark/>
          </w:tcPr>
          <w:p w14:paraId="1C645A91" w14:textId="77777777" w:rsidR="0012009A" w:rsidRPr="00C61E0B" w:rsidRDefault="0012009A" w:rsidP="00B4434E">
            <w:pPr>
              <w:spacing w:line="480" w:lineRule="auto"/>
              <w:jc w:val="center"/>
              <w:rPr>
                <w:rFonts w:ascii="Arial" w:hAnsi="Arial" w:cs="Arial"/>
                <w:color w:val="000000"/>
                <w:sz w:val="20"/>
                <w:szCs w:val="20"/>
              </w:rPr>
            </w:pPr>
          </w:p>
        </w:tc>
        <w:tc>
          <w:tcPr>
            <w:tcW w:w="1228" w:type="dxa"/>
            <w:shd w:val="clear" w:color="auto" w:fill="auto"/>
            <w:noWrap/>
            <w:vAlign w:val="center"/>
            <w:hideMark/>
          </w:tcPr>
          <w:p w14:paraId="50F32373" w14:textId="77777777" w:rsidR="0012009A" w:rsidRPr="00C61E0B" w:rsidRDefault="0012009A" w:rsidP="00B4434E">
            <w:pPr>
              <w:spacing w:line="480" w:lineRule="auto"/>
              <w:jc w:val="center"/>
              <w:rPr>
                <w:rFonts w:ascii="Arial" w:hAnsi="Arial" w:cs="Arial"/>
                <w:color w:val="000000"/>
                <w:sz w:val="20"/>
                <w:szCs w:val="20"/>
              </w:rPr>
            </w:pPr>
            <w:proofErr w:type="spellStart"/>
            <w:r w:rsidRPr="00C61E0B">
              <w:rPr>
                <w:rFonts w:ascii="Arial" w:hAnsi="Arial" w:cs="Arial"/>
                <w:color w:val="000000"/>
                <w:sz w:val="20"/>
                <w:szCs w:val="20"/>
              </w:rPr>
              <w:t>std.dev</w:t>
            </w:r>
            <w:proofErr w:type="spellEnd"/>
          </w:p>
        </w:tc>
        <w:tc>
          <w:tcPr>
            <w:tcW w:w="1528" w:type="dxa"/>
            <w:shd w:val="clear" w:color="auto" w:fill="auto"/>
            <w:noWrap/>
            <w:vAlign w:val="center"/>
            <w:hideMark/>
          </w:tcPr>
          <w:p w14:paraId="1AA3C427"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0.0147</w:t>
            </w:r>
          </w:p>
        </w:tc>
        <w:tc>
          <w:tcPr>
            <w:tcW w:w="1804" w:type="dxa"/>
            <w:shd w:val="clear" w:color="auto" w:fill="auto"/>
            <w:noWrap/>
            <w:vAlign w:val="center"/>
            <w:hideMark/>
          </w:tcPr>
          <w:p w14:paraId="17A8C9B0"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0.0293</w:t>
            </w:r>
          </w:p>
        </w:tc>
        <w:tc>
          <w:tcPr>
            <w:tcW w:w="1660" w:type="dxa"/>
            <w:shd w:val="clear" w:color="auto" w:fill="auto"/>
            <w:noWrap/>
            <w:vAlign w:val="center"/>
            <w:hideMark/>
          </w:tcPr>
          <w:p w14:paraId="414E1D49" w14:textId="77777777" w:rsidR="0012009A" w:rsidRPr="00C61E0B" w:rsidRDefault="0012009A" w:rsidP="00B4434E">
            <w:pPr>
              <w:spacing w:line="480" w:lineRule="auto"/>
              <w:jc w:val="center"/>
              <w:rPr>
                <w:rFonts w:ascii="Arial" w:hAnsi="Arial" w:cs="Arial"/>
                <w:color w:val="000000"/>
                <w:sz w:val="20"/>
                <w:szCs w:val="20"/>
              </w:rPr>
            </w:pPr>
            <w:r w:rsidRPr="00C61E0B">
              <w:rPr>
                <w:rFonts w:ascii="Arial" w:hAnsi="Arial" w:cs="Arial"/>
                <w:color w:val="000000"/>
                <w:sz w:val="20"/>
                <w:szCs w:val="20"/>
              </w:rPr>
              <w:t>0.0153</w:t>
            </w:r>
          </w:p>
        </w:tc>
      </w:tr>
    </w:tbl>
    <w:p w14:paraId="0D22DCFF" w14:textId="77777777" w:rsidR="0012009A" w:rsidRPr="00C61E0B" w:rsidRDefault="0012009A" w:rsidP="0012009A">
      <w:pPr>
        <w:spacing w:line="480" w:lineRule="auto"/>
        <w:rPr>
          <w:rFonts w:ascii="Arial" w:hAnsi="Arial" w:cs="Arial"/>
        </w:rPr>
      </w:pPr>
    </w:p>
    <w:p w14:paraId="0D84E2DB" w14:textId="77777777" w:rsidR="0012009A" w:rsidRDefault="0012009A" w:rsidP="0012009A">
      <w:pPr>
        <w:spacing w:line="480" w:lineRule="auto"/>
        <w:rPr>
          <w:rFonts w:ascii="Arial" w:hAnsi="Arial" w:cs="Arial"/>
        </w:rPr>
        <w:sectPr w:rsidR="0012009A">
          <w:pgSz w:w="12240" w:h="15840"/>
          <w:pgMar w:top="1440" w:right="1440" w:bottom="1440" w:left="1440" w:header="720" w:footer="720" w:gutter="0"/>
          <w:cols w:space="720"/>
          <w:docGrid w:linePitch="360"/>
        </w:sectPr>
      </w:pPr>
    </w:p>
    <w:p w14:paraId="3DFF9239" w14:textId="77777777" w:rsidR="0012009A" w:rsidRPr="00DA754F" w:rsidRDefault="0012009A" w:rsidP="0012009A">
      <w:pPr>
        <w:spacing w:line="480" w:lineRule="auto"/>
        <w:rPr>
          <w:rFonts w:ascii="Arial" w:hAnsi="Arial" w:cs="Arial"/>
          <w:highlight w:val="yellow"/>
        </w:rPr>
      </w:pPr>
      <w:r w:rsidRPr="00DA754F">
        <w:rPr>
          <w:rFonts w:ascii="Arial" w:hAnsi="Arial" w:cs="Arial"/>
          <w:noProof/>
        </w:rPr>
        <w:lastRenderedPageBreak/>
        <w:drawing>
          <wp:inline distT="0" distB="0" distL="0" distR="0" wp14:anchorId="51358607" wp14:editId="007D7077">
            <wp:extent cx="8105275" cy="2730198"/>
            <wp:effectExtent l="0" t="0" r="0" b="635"/>
            <wp:docPr id="264715210" name="Picture 264715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715210" name="Picture 264715210"/>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05275" cy="2730198"/>
                    </a:xfrm>
                    <a:prstGeom prst="rect">
                      <a:avLst/>
                    </a:prstGeom>
                  </pic:spPr>
                </pic:pic>
              </a:graphicData>
            </a:graphic>
          </wp:inline>
        </w:drawing>
      </w:r>
    </w:p>
    <w:p w14:paraId="1099640F" w14:textId="03FED74E" w:rsidR="0012009A" w:rsidRPr="00DA754F" w:rsidRDefault="0012009A" w:rsidP="0012009A">
      <w:pPr>
        <w:rPr>
          <w:rFonts w:ascii="Arial" w:hAnsi="Arial" w:cs="Arial"/>
          <w:b/>
          <w:bCs/>
          <w:sz w:val="20"/>
          <w:szCs w:val="20"/>
        </w:rPr>
      </w:pPr>
      <w:r w:rsidRPr="00DA754F">
        <w:rPr>
          <w:rFonts w:ascii="Arial" w:hAnsi="Arial" w:cs="Arial"/>
          <w:b/>
          <w:bCs/>
          <w:sz w:val="20"/>
          <w:szCs w:val="20"/>
        </w:rPr>
        <w:t xml:space="preserve">Figure </w:t>
      </w:r>
      <w:r>
        <w:rPr>
          <w:rFonts w:ascii="Arial" w:hAnsi="Arial" w:cs="Arial"/>
          <w:b/>
          <w:bCs/>
          <w:sz w:val="20"/>
          <w:szCs w:val="20"/>
        </w:rPr>
        <w:t>S1</w:t>
      </w:r>
      <w:r w:rsidRPr="00DA754F">
        <w:rPr>
          <w:rFonts w:ascii="Arial" w:hAnsi="Arial" w:cs="Arial"/>
          <w:b/>
          <w:bCs/>
          <w:sz w:val="20"/>
          <w:szCs w:val="20"/>
        </w:rPr>
        <w:t xml:space="preserve"> </w:t>
      </w:r>
      <w:r w:rsidRPr="00DA754F">
        <w:rPr>
          <w:rFonts w:ascii="Arial" w:hAnsi="Arial" w:cs="Arial"/>
          <w:sz w:val="20"/>
          <w:szCs w:val="20"/>
        </w:rPr>
        <w:t>SHAP values from the ridge regression.</w:t>
      </w:r>
      <w:r w:rsidR="004F55D5">
        <w:rPr>
          <w:rFonts w:ascii="Arial" w:hAnsi="Arial" w:cs="Arial"/>
          <w:sz w:val="20"/>
          <w:szCs w:val="20"/>
        </w:rPr>
        <w:t xml:space="preserve"> </w:t>
      </w:r>
      <w:r w:rsidR="002D46FA">
        <w:rPr>
          <w:rFonts w:ascii="Arial" w:hAnsi="Arial" w:cs="Arial"/>
          <w:sz w:val="20"/>
          <w:szCs w:val="20"/>
        </w:rPr>
        <w:t xml:space="preserve"> </w:t>
      </w:r>
      <w:r w:rsidR="004F55D5">
        <w:rPr>
          <w:rFonts w:ascii="Arial" w:hAnsi="Arial" w:cs="Arial"/>
          <w:sz w:val="20"/>
          <w:szCs w:val="20"/>
        </w:rPr>
        <w:t>We removed the features</w:t>
      </w:r>
      <w:r w:rsidR="002D46FA">
        <w:rPr>
          <w:rFonts w:ascii="Arial" w:hAnsi="Arial" w:cs="Arial"/>
          <w:sz w:val="20"/>
          <w:szCs w:val="20"/>
        </w:rPr>
        <w:t xml:space="preserve"> with an “unknown” category.</w:t>
      </w:r>
    </w:p>
    <w:p w14:paraId="67A054A2" w14:textId="1F84C260" w:rsidR="0012009A" w:rsidRDefault="0012009A" w:rsidP="0012009A">
      <w:pPr>
        <w:spacing w:line="480" w:lineRule="auto"/>
        <w:rPr>
          <w:rFonts w:ascii="Arial" w:hAnsi="Arial" w:cs="Arial"/>
        </w:rPr>
        <w:sectPr w:rsidR="0012009A" w:rsidSect="00B4434E">
          <w:pgSz w:w="15840" w:h="12240" w:orient="landscape"/>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6473"/>
        <w:gridCol w:w="6477"/>
      </w:tblGrid>
      <w:tr w:rsidR="00A8188B" w14:paraId="4DCCFA0C" w14:textId="77777777" w:rsidTr="003029E9">
        <w:tc>
          <w:tcPr>
            <w:tcW w:w="6473" w:type="dxa"/>
          </w:tcPr>
          <w:p w14:paraId="48A3D5E1" w14:textId="067C735C" w:rsidR="000C3CF3" w:rsidRDefault="000C3CF3" w:rsidP="0012009A">
            <w:pPr>
              <w:spacing w:line="480" w:lineRule="auto"/>
              <w:jc w:val="both"/>
              <w:rPr>
                <w:rFonts w:ascii="Arial" w:hAnsi="Arial" w:cs="Arial"/>
                <w:b/>
                <w:lang w:eastAsia="zh-TW"/>
              </w:rPr>
            </w:pPr>
            <w:r>
              <w:rPr>
                <w:rFonts w:ascii="Arial" w:hAnsi="Arial" w:cs="Arial"/>
                <w:b/>
                <w:noProof/>
                <w:lang w:eastAsia="zh-TW"/>
              </w:rPr>
              <w:lastRenderedPageBreak/>
              <w:drawing>
                <wp:inline distT="0" distB="0" distL="0" distR="0" wp14:anchorId="6F624ACA" wp14:editId="0FC759B3">
                  <wp:extent cx="4023360" cy="1792195"/>
                  <wp:effectExtent l="0" t="0" r="0" b="0"/>
                  <wp:docPr id="1558368939"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368939" name="Picture 1"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23360" cy="1792195"/>
                          </a:xfrm>
                          <a:prstGeom prst="rect">
                            <a:avLst/>
                          </a:prstGeom>
                        </pic:spPr>
                      </pic:pic>
                    </a:graphicData>
                  </a:graphic>
                </wp:inline>
              </w:drawing>
            </w:r>
          </w:p>
        </w:tc>
        <w:tc>
          <w:tcPr>
            <w:tcW w:w="6477" w:type="dxa"/>
          </w:tcPr>
          <w:p w14:paraId="5050FB7E" w14:textId="11119C4D" w:rsidR="000C3CF3" w:rsidRDefault="00A8188B" w:rsidP="0012009A">
            <w:pPr>
              <w:spacing w:line="480" w:lineRule="auto"/>
              <w:jc w:val="both"/>
              <w:rPr>
                <w:rFonts w:ascii="Arial" w:hAnsi="Arial" w:cs="Arial"/>
                <w:b/>
                <w:lang w:eastAsia="zh-TW"/>
              </w:rPr>
            </w:pPr>
            <w:r>
              <w:rPr>
                <w:rFonts w:ascii="Arial" w:hAnsi="Arial" w:cs="Arial"/>
                <w:b/>
                <w:noProof/>
                <w:lang w:eastAsia="zh-TW"/>
              </w:rPr>
              <w:drawing>
                <wp:inline distT="0" distB="0" distL="0" distR="0" wp14:anchorId="6BA5E134" wp14:editId="37F30F7B">
                  <wp:extent cx="4023360" cy="1043704"/>
                  <wp:effectExtent l="0" t="0" r="2540" b="0"/>
                  <wp:docPr id="2086592029" name="Picture 2" descr="A screenshot of a vide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592029" name="Picture 2" descr="A screenshot of a vide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23360" cy="1043704"/>
                          </a:xfrm>
                          <a:prstGeom prst="rect">
                            <a:avLst/>
                          </a:prstGeom>
                        </pic:spPr>
                      </pic:pic>
                    </a:graphicData>
                  </a:graphic>
                </wp:inline>
              </w:drawing>
            </w:r>
          </w:p>
        </w:tc>
      </w:tr>
      <w:tr w:rsidR="00A8188B" w14:paraId="5548026F" w14:textId="77777777" w:rsidTr="003029E9">
        <w:tc>
          <w:tcPr>
            <w:tcW w:w="6473" w:type="dxa"/>
          </w:tcPr>
          <w:p w14:paraId="4BA18011" w14:textId="34580D5D" w:rsidR="000C3CF3" w:rsidRDefault="003029E9" w:rsidP="0012009A">
            <w:pPr>
              <w:spacing w:line="480" w:lineRule="auto"/>
              <w:jc w:val="both"/>
              <w:rPr>
                <w:rFonts w:ascii="Arial" w:hAnsi="Arial" w:cs="Arial"/>
                <w:b/>
                <w:lang w:eastAsia="zh-TW"/>
              </w:rPr>
            </w:pPr>
            <w:r>
              <w:rPr>
                <w:rFonts w:ascii="Arial" w:hAnsi="Arial" w:cs="Arial"/>
                <w:b/>
                <w:noProof/>
                <w:lang w:eastAsia="zh-TW"/>
              </w:rPr>
              <w:drawing>
                <wp:inline distT="0" distB="0" distL="0" distR="0" wp14:anchorId="3105718B" wp14:editId="2BF212BF">
                  <wp:extent cx="4023360" cy="2229922"/>
                  <wp:effectExtent l="0" t="0" r="0" b="0"/>
                  <wp:docPr id="586992103"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992103" name="Picture 3" descr="A screenshot of a computer scree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23360" cy="2229922"/>
                          </a:xfrm>
                          <a:prstGeom prst="rect">
                            <a:avLst/>
                          </a:prstGeom>
                        </pic:spPr>
                      </pic:pic>
                    </a:graphicData>
                  </a:graphic>
                </wp:inline>
              </w:drawing>
            </w:r>
          </w:p>
        </w:tc>
        <w:tc>
          <w:tcPr>
            <w:tcW w:w="6477" w:type="dxa"/>
          </w:tcPr>
          <w:p w14:paraId="0DBAE0A0" w14:textId="5FE39FCE" w:rsidR="000C3CF3" w:rsidRDefault="003029E9" w:rsidP="0012009A">
            <w:pPr>
              <w:spacing w:line="480" w:lineRule="auto"/>
              <w:jc w:val="both"/>
              <w:rPr>
                <w:rFonts w:ascii="Arial" w:hAnsi="Arial" w:cs="Arial"/>
                <w:b/>
                <w:lang w:eastAsia="zh-TW"/>
              </w:rPr>
            </w:pPr>
            <w:r>
              <w:rPr>
                <w:rFonts w:ascii="Arial" w:hAnsi="Arial" w:cs="Arial"/>
                <w:b/>
                <w:noProof/>
                <w:lang w:eastAsia="zh-TW"/>
              </w:rPr>
              <w:drawing>
                <wp:inline distT="0" distB="0" distL="0" distR="0" wp14:anchorId="3A767B3A" wp14:editId="3856589F">
                  <wp:extent cx="4023360" cy="1850870"/>
                  <wp:effectExtent l="0" t="0" r="0" b="0"/>
                  <wp:docPr id="1108063174"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63174" name="Picture 4" descr="A screenshot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023360" cy="1850870"/>
                          </a:xfrm>
                          <a:prstGeom prst="rect">
                            <a:avLst/>
                          </a:prstGeom>
                        </pic:spPr>
                      </pic:pic>
                    </a:graphicData>
                  </a:graphic>
                </wp:inline>
              </w:drawing>
            </w:r>
          </w:p>
        </w:tc>
      </w:tr>
    </w:tbl>
    <w:p w14:paraId="0BA06B7F" w14:textId="6643000E" w:rsidR="000C3CF3" w:rsidRPr="00DA754F" w:rsidRDefault="000C3CF3" w:rsidP="000C3CF3">
      <w:pPr>
        <w:rPr>
          <w:rFonts w:ascii="Arial" w:hAnsi="Arial" w:cs="Arial"/>
          <w:b/>
          <w:bCs/>
          <w:sz w:val="20"/>
          <w:szCs w:val="20"/>
        </w:rPr>
      </w:pPr>
      <w:r w:rsidRPr="00DA754F">
        <w:rPr>
          <w:rFonts w:ascii="Arial" w:hAnsi="Arial" w:cs="Arial"/>
          <w:b/>
          <w:bCs/>
          <w:sz w:val="20"/>
          <w:szCs w:val="20"/>
        </w:rPr>
        <w:t xml:space="preserve">Figure </w:t>
      </w:r>
      <w:r>
        <w:rPr>
          <w:rFonts w:ascii="Arial" w:hAnsi="Arial" w:cs="Arial"/>
          <w:b/>
          <w:bCs/>
          <w:sz w:val="20"/>
          <w:szCs w:val="20"/>
        </w:rPr>
        <w:t>S2</w:t>
      </w:r>
      <w:r w:rsidRPr="00DA754F">
        <w:rPr>
          <w:rFonts w:ascii="Arial" w:hAnsi="Arial" w:cs="Arial"/>
          <w:b/>
          <w:bCs/>
          <w:sz w:val="20"/>
          <w:szCs w:val="20"/>
        </w:rPr>
        <w:t xml:space="preserve"> </w:t>
      </w:r>
      <w:r>
        <w:rPr>
          <w:rFonts w:ascii="Arial" w:hAnsi="Arial" w:cs="Arial"/>
          <w:sz w:val="20"/>
          <w:szCs w:val="20"/>
        </w:rPr>
        <w:t>Combinational S</w:t>
      </w:r>
      <w:r w:rsidRPr="00DA754F">
        <w:rPr>
          <w:rFonts w:ascii="Arial" w:hAnsi="Arial" w:cs="Arial"/>
          <w:sz w:val="20"/>
          <w:szCs w:val="20"/>
        </w:rPr>
        <w:t>HAP</w:t>
      </w:r>
      <w:r>
        <w:rPr>
          <w:rFonts w:ascii="Arial" w:hAnsi="Arial" w:cs="Arial"/>
          <w:sz w:val="20"/>
          <w:szCs w:val="20"/>
        </w:rPr>
        <w:t xml:space="preserve"> (combined 2 features)</w:t>
      </w:r>
      <w:r w:rsidRPr="00DA754F">
        <w:rPr>
          <w:rFonts w:ascii="Arial" w:hAnsi="Arial" w:cs="Arial"/>
          <w:sz w:val="20"/>
          <w:szCs w:val="20"/>
        </w:rPr>
        <w:t xml:space="preserve"> values from </w:t>
      </w:r>
      <w:r>
        <w:rPr>
          <w:rFonts w:ascii="Arial" w:hAnsi="Arial" w:cs="Arial"/>
          <w:sz w:val="20"/>
          <w:szCs w:val="20"/>
        </w:rPr>
        <w:t>sensitivity analysis</w:t>
      </w:r>
      <w:r w:rsidR="008A437B">
        <w:rPr>
          <w:rFonts w:ascii="Arial" w:hAnsi="Arial" w:cs="Arial"/>
          <w:sz w:val="20"/>
          <w:szCs w:val="20"/>
        </w:rPr>
        <w:t xml:space="preserve"> </w:t>
      </w:r>
      <w:r w:rsidR="008A437B" w:rsidRPr="00CD714F">
        <w:rPr>
          <w:rFonts w:ascii="Arial" w:hAnsi="Arial" w:cs="Arial"/>
          <w:sz w:val="20"/>
          <w:szCs w:val="20"/>
        </w:rPr>
        <w:t xml:space="preserve">(Using the top 15 features from the original </w:t>
      </w:r>
      <w:proofErr w:type="spellStart"/>
      <w:r w:rsidR="008A437B" w:rsidRPr="00CD714F">
        <w:rPr>
          <w:rFonts w:ascii="Arial" w:hAnsi="Arial" w:cs="Arial"/>
          <w:sz w:val="20"/>
          <w:szCs w:val="20"/>
        </w:rPr>
        <w:t>XGBoost</w:t>
      </w:r>
      <w:proofErr w:type="spellEnd"/>
      <w:r w:rsidR="008A437B" w:rsidRPr="00CD714F">
        <w:rPr>
          <w:rFonts w:ascii="Arial" w:hAnsi="Arial" w:cs="Arial"/>
          <w:sz w:val="20"/>
          <w:szCs w:val="20"/>
        </w:rPr>
        <w:t xml:space="preserve"> to build a prediction model).  We dichotomized the continuous contextual-</w:t>
      </w:r>
      <w:r w:rsidR="008A437B">
        <w:rPr>
          <w:rFonts w:ascii="Arial" w:hAnsi="Arial" w:cs="Arial"/>
          <w:sz w:val="20"/>
          <w:szCs w:val="20"/>
        </w:rPr>
        <w:t xml:space="preserve">level </w:t>
      </w:r>
      <w:proofErr w:type="spellStart"/>
      <w:r w:rsidR="008A437B" w:rsidRPr="00CD714F">
        <w:rPr>
          <w:rFonts w:ascii="Arial" w:hAnsi="Arial" w:cs="Arial"/>
          <w:sz w:val="20"/>
          <w:szCs w:val="20"/>
        </w:rPr>
        <w:t>SDoH</w:t>
      </w:r>
      <w:proofErr w:type="spellEnd"/>
      <w:r w:rsidR="008A437B" w:rsidRPr="00CD714F">
        <w:rPr>
          <w:rFonts w:ascii="Arial" w:hAnsi="Arial" w:cs="Arial"/>
          <w:sz w:val="20"/>
          <w:szCs w:val="20"/>
        </w:rPr>
        <w:t xml:space="preserve">, such as the murder </w:t>
      </w:r>
      <w:r w:rsidR="008A437B">
        <w:rPr>
          <w:rFonts w:ascii="Arial" w:hAnsi="Arial" w:cs="Arial"/>
          <w:sz w:val="20"/>
          <w:szCs w:val="20"/>
        </w:rPr>
        <w:t xml:space="preserve">and motor theft rates, based on the online crime data explorer provided by </w:t>
      </w:r>
      <w:r w:rsidR="008A437B" w:rsidRPr="00CD714F">
        <w:rPr>
          <w:rFonts w:ascii="Arial" w:hAnsi="Arial" w:cs="Arial"/>
          <w:sz w:val="20"/>
          <w:szCs w:val="20"/>
        </w:rPr>
        <w:t>Federal Bureau of Investigation</w:t>
      </w:r>
      <w:r w:rsidR="008A437B" w:rsidRPr="00CD714F">
        <w:rPr>
          <w:rFonts w:ascii="Arial" w:hAnsi="Arial" w:cs="Arial"/>
          <w:sz w:val="20"/>
          <w:szCs w:val="20"/>
        </w:rPr>
        <w:fldChar w:fldCharType="begin" w:fldLock="1"/>
      </w:r>
      <w:r w:rsidR="008A437B" w:rsidRPr="00CD714F">
        <w:rPr>
          <w:rFonts w:ascii="Arial" w:hAnsi="Arial" w:cs="Arial"/>
          <w:sz w:val="20"/>
          <w:szCs w:val="20"/>
        </w:rPr>
        <w:instrText>ADDIN paperpile_citation &lt;clusterId&gt;J527W874L265Q988&lt;/clusterId&gt;&lt;metadata&gt;&lt;citation&gt;&lt;id&gt;da2088e7-e901-4e90-83f7-24a28647c81c&lt;/id&gt;&lt;/citation&gt;&lt;/metadata&gt;&lt;data&gt;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&lt;/data&gt; \* MERGEFORMAT</w:instrText>
      </w:r>
      <w:r w:rsidR="008A437B" w:rsidRPr="00CD714F">
        <w:rPr>
          <w:rFonts w:ascii="Arial" w:hAnsi="Arial" w:cs="Arial"/>
          <w:sz w:val="20"/>
          <w:szCs w:val="20"/>
        </w:rPr>
        <w:fldChar w:fldCharType="separate"/>
      </w:r>
      <w:r w:rsidR="008A437B" w:rsidRPr="00CD714F">
        <w:rPr>
          <w:rFonts w:ascii="Arial" w:hAnsi="Arial" w:cs="Arial"/>
          <w:noProof/>
          <w:sz w:val="20"/>
          <w:szCs w:val="20"/>
          <w:vertAlign w:val="superscript"/>
        </w:rPr>
        <w:t>1</w:t>
      </w:r>
      <w:r w:rsidR="008A437B" w:rsidRPr="00CD714F">
        <w:rPr>
          <w:rFonts w:ascii="Arial" w:hAnsi="Arial" w:cs="Arial"/>
          <w:sz w:val="20"/>
          <w:szCs w:val="20"/>
        </w:rPr>
        <w:fldChar w:fldCharType="end"/>
      </w:r>
      <w:r w:rsidR="008A437B" w:rsidRPr="00CD714F">
        <w:rPr>
          <w:rFonts w:ascii="Arial" w:hAnsi="Arial" w:cs="Arial"/>
          <w:sz w:val="20"/>
          <w:szCs w:val="20"/>
        </w:rPr>
        <w:t>.</w:t>
      </w:r>
    </w:p>
    <w:p w14:paraId="58F6B78B" w14:textId="1694612E" w:rsidR="00304F7A" w:rsidRDefault="00304F7A" w:rsidP="0012009A">
      <w:pPr>
        <w:spacing w:line="480" w:lineRule="auto"/>
        <w:jc w:val="both"/>
        <w:rPr>
          <w:rFonts w:ascii="Arial" w:hAnsi="Arial" w:cs="Arial"/>
          <w:b/>
          <w:lang w:eastAsia="zh-TW"/>
        </w:rPr>
      </w:pPr>
    </w:p>
    <w:p w14:paraId="00257488" w14:textId="77777777" w:rsidR="003029E9" w:rsidRDefault="003029E9" w:rsidP="003029E9">
      <w:pPr>
        <w:spacing w:line="480" w:lineRule="auto"/>
        <w:rPr>
          <w:rFonts w:ascii="Arial" w:hAnsi="Arial" w:cs="Arial"/>
        </w:rPr>
        <w:sectPr w:rsidR="003029E9" w:rsidSect="00B4434E">
          <w:pgSz w:w="15840" w:h="12240" w:orient="landscape"/>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6475"/>
        <w:gridCol w:w="6475"/>
      </w:tblGrid>
      <w:tr w:rsidR="00DA6A38" w14:paraId="0A5E1BCA" w14:textId="77777777" w:rsidTr="00C01725">
        <w:tc>
          <w:tcPr>
            <w:tcW w:w="6475" w:type="dxa"/>
          </w:tcPr>
          <w:p w14:paraId="50254001" w14:textId="21C2F034" w:rsidR="00DA6A38" w:rsidRDefault="00DA6A38" w:rsidP="00B4434E">
            <w:pPr>
              <w:spacing w:line="480" w:lineRule="auto"/>
              <w:jc w:val="both"/>
              <w:rPr>
                <w:rFonts w:ascii="Arial" w:hAnsi="Arial" w:cs="Arial"/>
                <w:b/>
                <w:lang w:eastAsia="zh-TW"/>
              </w:rPr>
            </w:pPr>
            <w:r>
              <w:rPr>
                <w:rFonts w:ascii="Arial" w:hAnsi="Arial" w:cs="Arial"/>
                <w:b/>
                <w:noProof/>
                <w:lang w:eastAsia="zh-TW"/>
              </w:rPr>
              <w:lastRenderedPageBreak/>
              <w:drawing>
                <wp:inline distT="0" distB="0" distL="0" distR="0" wp14:anchorId="4E85B988" wp14:editId="49FC7D6B">
                  <wp:extent cx="4023360" cy="1977221"/>
                  <wp:effectExtent l="0" t="0" r="2540" b="4445"/>
                  <wp:docPr id="442595225" name="Picture 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595225" name="Picture 5" descr="A screenshot of a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23360" cy="1977221"/>
                          </a:xfrm>
                          <a:prstGeom prst="rect">
                            <a:avLst/>
                          </a:prstGeom>
                        </pic:spPr>
                      </pic:pic>
                    </a:graphicData>
                  </a:graphic>
                </wp:inline>
              </w:drawing>
            </w:r>
          </w:p>
        </w:tc>
        <w:tc>
          <w:tcPr>
            <w:tcW w:w="6475" w:type="dxa"/>
          </w:tcPr>
          <w:p w14:paraId="401540A7" w14:textId="49AE25B6" w:rsidR="00DA6A38" w:rsidRDefault="00DA6A38" w:rsidP="00B4434E">
            <w:pPr>
              <w:spacing w:line="480" w:lineRule="auto"/>
              <w:jc w:val="both"/>
              <w:rPr>
                <w:rFonts w:ascii="Arial" w:hAnsi="Arial" w:cs="Arial"/>
                <w:b/>
                <w:lang w:eastAsia="zh-TW"/>
              </w:rPr>
            </w:pPr>
            <w:r>
              <w:rPr>
                <w:rFonts w:ascii="Arial" w:hAnsi="Arial" w:cs="Arial"/>
                <w:b/>
                <w:noProof/>
                <w:lang w:eastAsia="zh-TW"/>
              </w:rPr>
              <w:drawing>
                <wp:inline distT="0" distB="0" distL="0" distR="0" wp14:anchorId="38E9A5F0" wp14:editId="3120540D">
                  <wp:extent cx="4023360" cy="1560604"/>
                  <wp:effectExtent l="0" t="0" r="2540" b="0"/>
                  <wp:docPr id="27088932" name="Picture 6"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8932" name="Picture 6" descr="A screen shot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23360" cy="1560604"/>
                          </a:xfrm>
                          <a:prstGeom prst="rect">
                            <a:avLst/>
                          </a:prstGeom>
                        </pic:spPr>
                      </pic:pic>
                    </a:graphicData>
                  </a:graphic>
                </wp:inline>
              </w:drawing>
            </w:r>
          </w:p>
        </w:tc>
      </w:tr>
    </w:tbl>
    <w:p w14:paraId="154D438D" w14:textId="77777777" w:rsidR="00DA6A38" w:rsidRDefault="00DA6A38" w:rsidP="003029E9">
      <w:pPr>
        <w:rPr>
          <w:rFonts w:ascii="Arial" w:hAnsi="Arial" w:cs="Arial"/>
          <w:b/>
          <w:bCs/>
          <w:sz w:val="20"/>
          <w:szCs w:val="20"/>
        </w:rPr>
      </w:pPr>
    </w:p>
    <w:p w14:paraId="2D655CBA" w14:textId="05B0AF55" w:rsidR="003029E9" w:rsidRPr="00DA754F" w:rsidRDefault="003029E9" w:rsidP="003029E9">
      <w:pPr>
        <w:rPr>
          <w:rFonts w:ascii="Arial" w:hAnsi="Arial" w:cs="Arial"/>
          <w:b/>
          <w:bCs/>
          <w:sz w:val="20"/>
          <w:szCs w:val="20"/>
        </w:rPr>
      </w:pPr>
      <w:r w:rsidRPr="00DA754F">
        <w:rPr>
          <w:rFonts w:ascii="Arial" w:hAnsi="Arial" w:cs="Arial"/>
          <w:b/>
          <w:bCs/>
          <w:sz w:val="20"/>
          <w:szCs w:val="20"/>
        </w:rPr>
        <w:t xml:space="preserve">Figure </w:t>
      </w:r>
      <w:r>
        <w:rPr>
          <w:rFonts w:ascii="Arial" w:hAnsi="Arial" w:cs="Arial"/>
          <w:b/>
          <w:bCs/>
          <w:sz w:val="20"/>
          <w:szCs w:val="20"/>
        </w:rPr>
        <w:t>S3</w:t>
      </w:r>
      <w:r w:rsidRPr="00DA754F">
        <w:rPr>
          <w:rFonts w:ascii="Arial" w:hAnsi="Arial" w:cs="Arial"/>
          <w:b/>
          <w:bCs/>
          <w:sz w:val="20"/>
          <w:szCs w:val="20"/>
        </w:rPr>
        <w:t xml:space="preserve"> </w:t>
      </w:r>
      <w:r>
        <w:rPr>
          <w:rFonts w:ascii="Arial" w:hAnsi="Arial" w:cs="Arial"/>
          <w:sz w:val="20"/>
          <w:szCs w:val="20"/>
        </w:rPr>
        <w:t>Combinational S</w:t>
      </w:r>
      <w:r w:rsidRPr="00DA754F">
        <w:rPr>
          <w:rFonts w:ascii="Arial" w:hAnsi="Arial" w:cs="Arial"/>
          <w:sz w:val="20"/>
          <w:szCs w:val="20"/>
        </w:rPr>
        <w:t>HAP</w:t>
      </w:r>
      <w:r>
        <w:rPr>
          <w:rFonts w:ascii="Arial" w:hAnsi="Arial" w:cs="Arial"/>
          <w:sz w:val="20"/>
          <w:szCs w:val="20"/>
        </w:rPr>
        <w:t xml:space="preserve"> (combined 3 features)</w:t>
      </w:r>
      <w:r w:rsidRPr="00DA754F">
        <w:rPr>
          <w:rFonts w:ascii="Arial" w:hAnsi="Arial" w:cs="Arial"/>
          <w:sz w:val="20"/>
          <w:szCs w:val="20"/>
        </w:rPr>
        <w:t xml:space="preserve"> values from </w:t>
      </w:r>
      <w:r>
        <w:rPr>
          <w:rFonts w:ascii="Arial" w:hAnsi="Arial" w:cs="Arial"/>
          <w:sz w:val="20"/>
          <w:szCs w:val="20"/>
        </w:rPr>
        <w:t>sensitivity analysis</w:t>
      </w:r>
      <w:r w:rsidR="00F56941">
        <w:rPr>
          <w:rFonts w:ascii="Arial" w:hAnsi="Arial" w:cs="Arial"/>
          <w:sz w:val="20"/>
          <w:szCs w:val="20"/>
        </w:rPr>
        <w:t xml:space="preserve"> </w:t>
      </w:r>
      <w:r w:rsidR="00F56941" w:rsidRPr="00CD714F">
        <w:rPr>
          <w:rFonts w:ascii="Arial" w:hAnsi="Arial" w:cs="Arial"/>
          <w:sz w:val="20"/>
          <w:szCs w:val="20"/>
        </w:rPr>
        <w:t xml:space="preserve">(Using the top 15 features from the original </w:t>
      </w:r>
      <w:proofErr w:type="spellStart"/>
      <w:r w:rsidR="00F56941" w:rsidRPr="00CD714F">
        <w:rPr>
          <w:rFonts w:ascii="Arial" w:hAnsi="Arial" w:cs="Arial"/>
          <w:sz w:val="20"/>
          <w:szCs w:val="20"/>
        </w:rPr>
        <w:t>XGBoost</w:t>
      </w:r>
      <w:proofErr w:type="spellEnd"/>
      <w:r w:rsidR="00F56941" w:rsidRPr="00CD714F">
        <w:rPr>
          <w:rFonts w:ascii="Arial" w:hAnsi="Arial" w:cs="Arial"/>
          <w:sz w:val="20"/>
          <w:szCs w:val="20"/>
        </w:rPr>
        <w:t xml:space="preserve"> to build a prediction model).  We dichotomized the continuous contextual-</w:t>
      </w:r>
      <w:r w:rsidR="00F56941">
        <w:rPr>
          <w:rFonts w:ascii="Arial" w:hAnsi="Arial" w:cs="Arial"/>
          <w:sz w:val="20"/>
          <w:szCs w:val="20"/>
        </w:rPr>
        <w:t xml:space="preserve">level </w:t>
      </w:r>
      <w:proofErr w:type="spellStart"/>
      <w:r w:rsidR="00F56941" w:rsidRPr="00CD714F">
        <w:rPr>
          <w:rFonts w:ascii="Arial" w:hAnsi="Arial" w:cs="Arial"/>
          <w:sz w:val="20"/>
          <w:szCs w:val="20"/>
        </w:rPr>
        <w:t>SDoH</w:t>
      </w:r>
      <w:proofErr w:type="spellEnd"/>
      <w:r w:rsidR="00F56941" w:rsidRPr="00CD714F">
        <w:rPr>
          <w:rFonts w:ascii="Arial" w:hAnsi="Arial" w:cs="Arial"/>
          <w:sz w:val="20"/>
          <w:szCs w:val="20"/>
        </w:rPr>
        <w:t xml:space="preserve">, such as the murder </w:t>
      </w:r>
      <w:r w:rsidR="00F56941">
        <w:rPr>
          <w:rFonts w:ascii="Arial" w:hAnsi="Arial" w:cs="Arial"/>
          <w:sz w:val="20"/>
          <w:szCs w:val="20"/>
        </w:rPr>
        <w:t xml:space="preserve">and motor theft rates, based on the online crime data explorer provided by </w:t>
      </w:r>
      <w:r w:rsidR="00F56941" w:rsidRPr="00CD714F">
        <w:rPr>
          <w:rFonts w:ascii="Arial" w:hAnsi="Arial" w:cs="Arial"/>
          <w:sz w:val="20"/>
          <w:szCs w:val="20"/>
        </w:rPr>
        <w:t>Federal Bureau of Investigation</w:t>
      </w:r>
      <w:r w:rsidR="00F56941" w:rsidRPr="00CD714F">
        <w:rPr>
          <w:rFonts w:ascii="Arial" w:hAnsi="Arial" w:cs="Arial"/>
          <w:sz w:val="20"/>
          <w:szCs w:val="20"/>
        </w:rPr>
        <w:fldChar w:fldCharType="begin" w:fldLock="1"/>
      </w:r>
      <w:r w:rsidR="00F56941" w:rsidRPr="00CD714F">
        <w:rPr>
          <w:rFonts w:ascii="Arial" w:hAnsi="Arial" w:cs="Arial"/>
          <w:sz w:val="20"/>
          <w:szCs w:val="20"/>
        </w:rPr>
        <w:instrText>ADDIN paperpile_citation &lt;clusterId&gt;J527W874L265Q988&lt;/clusterId&gt;&lt;metadata&gt;&lt;citation&gt;&lt;id&gt;da2088e7-e901-4e90-83f7-24a28647c81c&lt;/id&gt;&lt;/citation&gt;&lt;/metadata&gt;&lt;data&gt;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&lt;/data&gt; \* MERGEFORMAT</w:instrText>
      </w:r>
      <w:r w:rsidR="00F56941" w:rsidRPr="00CD714F">
        <w:rPr>
          <w:rFonts w:ascii="Arial" w:hAnsi="Arial" w:cs="Arial"/>
          <w:sz w:val="20"/>
          <w:szCs w:val="20"/>
        </w:rPr>
        <w:fldChar w:fldCharType="separate"/>
      </w:r>
      <w:r w:rsidR="00F56941" w:rsidRPr="00CD714F">
        <w:rPr>
          <w:rFonts w:ascii="Arial" w:hAnsi="Arial" w:cs="Arial"/>
          <w:noProof/>
          <w:sz w:val="20"/>
          <w:szCs w:val="20"/>
          <w:vertAlign w:val="superscript"/>
        </w:rPr>
        <w:t>1</w:t>
      </w:r>
      <w:r w:rsidR="00F56941" w:rsidRPr="00CD714F">
        <w:rPr>
          <w:rFonts w:ascii="Arial" w:hAnsi="Arial" w:cs="Arial"/>
          <w:sz w:val="20"/>
          <w:szCs w:val="20"/>
        </w:rPr>
        <w:fldChar w:fldCharType="end"/>
      </w:r>
      <w:r w:rsidR="00F56941" w:rsidRPr="00CD714F">
        <w:rPr>
          <w:rFonts w:ascii="Arial" w:hAnsi="Arial" w:cs="Arial"/>
          <w:sz w:val="20"/>
          <w:szCs w:val="20"/>
        </w:rPr>
        <w:t>.</w:t>
      </w:r>
    </w:p>
    <w:p w14:paraId="2F318B00" w14:textId="77777777" w:rsidR="00304F7A" w:rsidRDefault="00304F7A" w:rsidP="00304F7A">
      <w:pPr>
        <w:spacing w:line="480" w:lineRule="auto"/>
        <w:rPr>
          <w:rFonts w:ascii="Arial" w:hAnsi="Arial" w:cs="Arial"/>
        </w:rPr>
      </w:pPr>
    </w:p>
    <w:p w14:paraId="3B1718F6" w14:textId="77777777" w:rsidR="00304F7A" w:rsidRDefault="00304F7A" w:rsidP="00304F7A">
      <w:pPr>
        <w:spacing w:line="480" w:lineRule="auto"/>
        <w:rPr>
          <w:rFonts w:ascii="Arial" w:hAnsi="Arial" w:cs="Arial"/>
        </w:rPr>
      </w:pPr>
    </w:p>
    <w:p w14:paraId="0BEC3494" w14:textId="77777777" w:rsidR="003029E9" w:rsidRDefault="003029E9" w:rsidP="00304F7A">
      <w:pPr>
        <w:spacing w:line="480" w:lineRule="auto"/>
        <w:rPr>
          <w:rFonts w:ascii="Arial" w:hAnsi="Arial" w:cs="Arial"/>
        </w:rPr>
        <w:sectPr w:rsidR="003029E9" w:rsidSect="00B4434E">
          <w:pgSz w:w="15840" w:h="12240" w:orient="landscape"/>
          <w:pgMar w:top="1440" w:right="1440" w:bottom="1440" w:left="1440" w:header="720" w:footer="720" w:gutter="0"/>
          <w:cols w:space="720"/>
          <w:docGrid w:linePitch="360"/>
        </w:sectPr>
      </w:pPr>
    </w:p>
    <w:p w14:paraId="0CDBCC1B" w14:textId="6FD8530B" w:rsidR="0012009A" w:rsidRPr="00C61E0B" w:rsidRDefault="0012009A" w:rsidP="0012009A">
      <w:pPr>
        <w:spacing w:line="480" w:lineRule="auto"/>
        <w:jc w:val="both"/>
        <w:rPr>
          <w:rFonts w:ascii="Arial" w:hAnsi="Arial" w:cs="Arial"/>
          <w:lang w:eastAsia="zh-TW"/>
        </w:rPr>
      </w:pPr>
      <w:r>
        <w:rPr>
          <w:rFonts w:ascii="Arial" w:hAnsi="Arial" w:cs="Arial"/>
          <w:b/>
          <w:lang w:eastAsia="zh-TW"/>
        </w:rPr>
        <w:lastRenderedPageBreak/>
        <w:t>Causal graph by different subgroups</w:t>
      </w:r>
    </w:p>
    <w:p w14:paraId="6731E7F2" w14:textId="77777777" w:rsidR="0012009A" w:rsidRPr="00C61E0B" w:rsidRDefault="0012009A" w:rsidP="0012009A">
      <w:pPr>
        <w:spacing w:line="480" w:lineRule="auto"/>
        <w:jc w:val="center"/>
        <w:rPr>
          <w:rFonts w:ascii="Arial" w:hAnsi="Arial" w:cs="Arial"/>
        </w:rPr>
      </w:pPr>
      <w:r w:rsidRPr="00C61E0B">
        <w:rPr>
          <w:rFonts w:ascii="Arial" w:hAnsi="Arial" w:cs="Arial"/>
          <w:noProof/>
        </w:rPr>
        <w:drawing>
          <wp:inline distT="0" distB="0" distL="0" distR="0" wp14:anchorId="435101F8" wp14:editId="2295AE36">
            <wp:extent cx="3884627" cy="2714602"/>
            <wp:effectExtent l="0" t="0" r="1905" b="3810"/>
            <wp:docPr id="821610339" name="Picture 821610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610339" name="Picture 82161033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884627" cy="2714602"/>
                    </a:xfrm>
                    <a:prstGeom prst="rect">
                      <a:avLst/>
                    </a:prstGeom>
                  </pic:spPr>
                </pic:pic>
              </a:graphicData>
            </a:graphic>
          </wp:inline>
        </w:drawing>
      </w:r>
    </w:p>
    <w:p w14:paraId="009C1B57" w14:textId="410C64C6" w:rsidR="0012009A" w:rsidRPr="00C61E0B" w:rsidRDefault="0012009A" w:rsidP="0012009A">
      <w:pPr>
        <w:pStyle w:val="Caption"/>
        <w:spacing w:line="480" w:lineRule="auto"/>
        <w:jc w:val="center"/>
        <w:rPr>
          <w:rFonts w:ascii="Arial" w:hAnsi="Arial" w:cs="Arial"/>
          <w:b/>
          <w:bCs/>
          <w:i w:val="0"/>
          <w:iCs w:val="0"/>
          <w:color w:val="000000" w:themeColor="text1"/>
          <w:sz w:val="24"/>
          <w:szCs w:val="24"/>
        </w:rPr>
      </w:pPr>
      <w:r w:rsidRPr="00C61E0B">
        <w:rPr>
          <w:rFonts w:ascii="Arial" w:hAnsi="Arial" w:cs="Arial"/>
          <w:b/>
          <w:bCs/>
          <w:i w:val="0"/>
          <w:iCs w:val="0"/>
          <w:color w:val="000000" w:themeColor="text1"/>
          <w:sz w:val="24"/>
          <w:szCs w:val="24"/>
        </w:rPr>
        <w:t>Figure S</w:t>
      </w:r>
      <w:r w:rsidR="003029E9">
        <w:rPr>
          <w:rFonts w:ascii="Arial" w:hAnsi="Arial" w:cs="Arial"/>
          <w:b/>
          <w:bCs/>
          <w:i w:val="0"/>
          <w:iCs w:val="0"/>
          <w:color w:val="000000" w:themeColor="text1"/>
          <w:sz w:val="24"/>
          <w:szCs w:val="24"/>
        </w:rPr>
        <w:t>4</w:t>
      </w:r>
      <w:r w:rsidRPr="00C61E0B">
        <w:rPr>
          <w:rFonts w:ascii="Arial" w:hAnsi="Arial" w:cs="Arial"/>
          <w:b/>
          <w:bCs/>
          <w:i w:val="0"/>
          <w:iCs w:val="0"/>
          <w:color w:val="000000" w:themeColor="text1"/>
          <w:sz w:val="24"/>
          <w:szCs w:val="24"/>
        </w:rPr>
        <w:t xml:space="preserve"> </w:t>
      </w:r>
      <w:r w:rsidRPr="00C61E0B">
        <w:rPr>
          <w:rFonts w:ascii="Arial" w:hAnsi="Arial" w:cs="Arial"/>
          <w:i w:val="0"/>
          <w:iCs w:val="0"/>
          <w:color w:val="000000" w:themeColor="text1"/>
          <w:sz w:val="24"/>
          <w:szCs w:val="24"/>
        </w:rPr>
        <w:t xml:space="preserve">Causal graph generated by </w:t>
      </w:r>
      <w:r w:rsidR="00B36276">
        <w:rPr>
          <w:rFonts w:ascii="Arial" w:hAnsi="Arial" w:cs="Arial"/>
          <w:i w:val="0"/>
          <w:iCs w:val="0"/>
          <w:color w:val="000000" w:themeColor="text1"/>
          <w:sz w:val="24"/>
          <w:szCs w:val="24"/>
        </w:rPr>
        <w:t>MGM-PC-Stable</w:t>
      </w:r>
      <w:r w:rsidRPr="00C61E0B">
        <w:rPr>
          <w:rFonts w:ascii="Arial" w:hAnsi="Arial" w:cs="Arial"/>
          <w:i w:val="0"/>
          <w:iCs w:val="0"/>
          <w:color w:val="000000" w:themeColor="text1"/>
          <w:sz w:val="24"/>
          <w:szCs w:val="24"/>
        </w:rPr>
        <w:t xml:space="preserve"> on the NHW group in the independent testing set.</w:t>
      </w:r>
    </w:p>
    <w:p w14:paraId="7FD185B5" w14:textId="77777777" w:rsidR="0012009A" w:rsidRPr="00C61E0B" w:rsidRDefault="0012009A" w:rsidP="0012009A">
      <w:pPr>
        <w:spacing w:line="480" w:lineRule="auto"/>
        <w:jc w:val="center"/>
        <w:rPr>
          <w:rFonts w:ascii="Arial" w:hAnsi="Arial" w:cs="Arial"/>
        </w:rPr>
      </w:pPr>
      <w:r w:rsidRPr="00C61E0B">
        <w:rPr>
          <w:rFonts w:ascii="Arial" w:hAnsi="Arial" w:cs="Arial"/>
          <w:noProof/>
        </w:rPr>
        <w:drawing>
          <wp:inline distT="0" distB="0" distL="0" distR="0" wp14:anchorId="4E3338DE" wp14:editId="5B3DBDCC">
            <wp:extent cx="4114800" cy="2074157"/>
            <wp:effectExtent l="0" t="0" r="0" b="0"/>
            <wp:docPr id="326202288" name="Picture 326202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202288" name="Picture 32620228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114800" cy="2074157"/>
                    </a:xfrm>
                    <a:prstGeom prst="rect">
                      <a:avLst/>
                    </a:prstGeom>
                  </pic:spPr>
                </pic:pic>
              </a:graphicData>
            </a:graphic>
          </wp:inline>
        </w:drawing>
      </w:r>
    </w:p>
    <w:p w14:paraId="24037E4C" w14:textId="33727854" w:rsidR="0012009A" w:rsidRPr="00C61E0B" w:rsidRDefault="0012009A" w:rsidP="0012009A">
      <w:pPr>
        <w:pStyle w:val="Caption"/>
        <w:spacing w:line="480" w:lineRule="auto"/>
        <w:jc w:val="center"/>
        <w:rPr>
          <w:rFonts w:ascii="Arial" w:hAnsi="Arial" w:cs="Arial"/>
          <w:b/>
          <w:bCs/>
          <w:i w:val="0"/>
          <w:iCs w:val="0"/>
          <w:color w:val="000000" w:themeColor="text1"/>
          <w:sz w:val="24"/>
          <w:szCs w:val="24"/>
        </w:rPr>
      </w:pPr>
      <w:r w:rsidRPr="00C61E0B">
        <w:rPr>
          <w:rFonts w:ascii="Arial" w:hAnsi="Arial" w:cs="Arial"/>
          <w:b/>
          <w:bCs/>
          <w:i w:val="0"/>
          <w:iCs w:val="0"/>
          <w:color w:val="000000" w:themeColor="text1"/>
          <w:sz w:val="24"/>
          <w:szCs w:val="24"/>
        </w:rPr>
        <w:t>Figure S</w:t>
      </w:r>
      <w:r w:rsidR="003029E9">
        <w:rPr>
          <w:rFonts w:ascii="Arial" w:hAnsi="Arial" w:cs="Arial"/>
          <w:b/>
          <w:bCs/>
          <w:i w:val="0"/>
          <w:iCs w:val="0"/>
          <w:color w:val="000000" w:themeColor="text1"/>
          <w:sz w:val="24"/>
          <w:szCs w:val="24"/>
        </w:rPr>
        <w:t>5</w:t>
      </w:r>
      <w:r w:rsidRPr="00C61E0B">
        <w:rPr>
          <w:rFonts w:ascii="Arial" w:hAnsi="Arial" w:cs="Arial"/>
          <w:b/>
          <w:bCs/>
          <w:i w:val="0"/>
          <w:iCs w:val="0"/>
          <w:color w:val="000000" w:themeColor="text1"/>
          <w:sz w:val="24"/>
          <w:szCs w:val="24"/>
        </w:rPr>
        <w:t xml:space="preserve"> </w:t>
      </w:r>
      <w:r w:rsidRPr="00C61E0B">
        <w:rPr>
          <w:rFonts w:ascii="Arial" w:hAnsi="Arial" w:cs="Arial"/>
          <w:i w:val="0"/>
          <w:iCs w:val="0"/>
          <w:color w:val="000000" w:themeColor="text1"/>
          <w:sz w:val="24"/>
          <w:szCs w:val="24"/>
        </w:rPr>
        <w:t xml:space="preserve">Causal graph generated by </w:t>
      </w:r>
      <w:r w:rsidR="00B36276">
        <w:rPr>
          <w:rFonts w:ascii="Arial" w:hAnsi="Arial" w:cs="Arial"/>
          <w:i w:val="0"/>
          <w:iCs w:val="0"/>
          <w:color w:val="000000" w:themeColor="text1"/>
          <w:sz w:val="24"/>
          <w:szCs w:val="24"/>
        </w:rPr>
        <w:t>MGM-PC-Stable</w:t>
      </w:r>
      <w:r w:rsidRPr="00C61E0B">
        <w:rPr>
          <w:rFonts w:ascii="Arial" w:hAnsi="Arial" w:cs="Arial"/>
          <w:i w:val="0"/>
          <w:iCs w:val="0"/>
          <w:color w:val="000000" w:themeColor="text1"/>
          <w:sz w:val="24"/>
          <w:szCs w:val="24"/>
        </w:rPr>
        <w:t xml:space="preserve"> on the NHB group in the independent testing set.</w:t>
      </w:r>
    </w:p>
    <w:p w14:paraId="3510ED1F" w14:textId="77777777" w:rsidR="0012009A" w:rsidRPr="00C61E0B" w:rsidRDefault="0012009A" w:rsidP="0012009A">
      <w:pPr>
        <w:spacing w:line="480" w:lineRule="auto"/>
        <w:jc w:val="center"/>
        <w:rPr>
          <w:rFonts w:ascii="Arial" w:hAnsi="Arial" w:cs="Arial"/>
        </w:rPr>
      </w:pPr>
      <w:r w:rsidRPr="00C61E0B">
        <w:rPr>
          <w:rFonts w:ascii="Arial" w:hAnsi="Arial" w:cs="Arial"/>
          <w:noProof/>
        </w:rPr>
        <w:lastRenderedPageBreak/>
        <w:drawing>
          <wp:inline distT="0" distB="0" distL="0" distR="0" wp14:anchorId="552DA530" wp14:editId="2662DB64">
            <wp:extent cx="4114800" cy="2539397"/>
            <wp:effectExtent l="0" t="0" r="0" b="635"/>
            <wp:docPr id="1818565207" name="Picture 1818565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565207" name="Picture 181856520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114800" cy="2539397"/>
                    </a:xfrm>
                    <a:prstGeom prst="rect">
                      <a:avLst/>
                    </a:prstGeom>
                  </pic:spPr>
                </pic:pic>
              </a:graphicData>
            </a:graphic>
          </wp:inline>
        </w:drawing>
      </w:r>
    </w:p>
    <w:p w14:paraId="65658AFD" w14:textId="48FF0A2C" w:rsidR="0012009A" w:rsidRPr="00C61E0B" w:rsidRDefault="0012009A" w:rsidP="0012009A">
      <w:pPr>
        <w:pStyle w:val="Caption"/>
        <w:spacing w:line="480" w:lineRule="auto"/>
        <w:jc w:val="center"/>
        <w:rPr>
          <w:rFonts w:ascii="Arial" w:hAnsi="Arial" w:cs="Arial"/>
          <w:b/>
          <w:bCs/>
          <w:i w:val="0"/>
          <w:iCs w:val="0"/>
          <w:color w:val="000000" w:themeColor="text1"/>
          <w:sz w:val="24"/>
          <w:szCs w:val="24"/>
        </w:rPr>
      </w:pPr>
      <w:r w:rsidRPr="00C61E0B">
        <w:rPr>
          <w:rFonts w:ascii="Arial" w:hAnsi="Arial" w:cs="Arial"/>
          <w:b/>
          <w:bCs/>
          <w:i w:val="0"/>
          <w:iCs w:val="0"/>
          <w:color w:val="000000" w:themeColor="text1"/>
          <w:sz w:val="24"/>
          <w:szCs w:val="24"/>
        </w:rPr>
        <w:t>Figure S</w:t>
      </w:r>
      <w:r w:rsidR="003029E9">
        <w:rPr>
          <w:rFonts w:ascii="Arial" w:hAnsi="Arial" w:cs="Arial"/>
          <w:b/>
          <w:bCs/>
          <w:i w:val="0"/>
          <w:iCs w:val="0"/>
          <w:color w:val="000000" w:themeColor="text1"/>
          <w:sz w:val="24"/>
          <w:szCs w:val="24"/>
        </w:rPr>
        <w:t>6</w:t>
      </w:r>
      <w:r w:rsidRPr="00C61E0B">
        <w:rPr>
          <w:rFonts w:ascii="Arial" w:hAnsi="Arial" w:cs="Arial"/>
          <w:b/>
          <w:bCs/>
          <w:i w:val="0"/>
          <w:iCs w:val="0"/>
          <w:color w:val="000000" w:themeColor="text1"/>
          <w:sz w:val="24"/>
          <w:szCs w:val="24"/>
        </w:rPr>
        <w:t xml:space="preserve"> </w:t>
      </w:r>
      <w:r w:rsidRPr="00C61E0B">
        <w:rPr>
          <w:rFonts w:ascii="Arial" w:hAnsi="Arial" w:cs="Arial"/>
          <w:i w:val="0"/>
          <w:iCs w:val="0"/>
          <w:color w:val="000000" w:themeColor="text1"/>
          <w:sz w:val="24"/>
          <w:szCs w:val="24"/>
        </w:rPr>
        <w:t xml:space="preserve">Causal graph generated by </w:t>
      </w:r>
      <w:r w:rsidR="00B36276">
        <w:rPr>
          <w:rFonts w:ascii="Arial" w:hAnsi="Arial" w:cs="Arial"/>
          <w:i w:val="0"/>
          <w:iCs w:val="0"/>
          <w:color w:val="000000" w:themeColor="text1"/>
          <w:sz w:val="24"/>
          <w:szCs w:val="24"/>
        </w:rPr>
        <w:t>MGM-PC-Stable</w:t>
      </w:r>
      <w:r w:rsidRPr="00C61E0B">
        <w:rPr>
          <w:rFonts w:ascii="Arial" w:hAnsi="Arial" w:cs="Arial"/>
          <w:i w:val="0"/>
          <w:iCs w:val="0"/>
          <w:color w:val="000000" w:themeColor="text1"/>
          <w:sz w:val="24"/>
          <w:szCs w:val="24"/>
        </w:rPr>
        <w:t xml:space="preserve"> on the </w:t>
      </w:r>
      <w:r>
        <w:rPr>
          <w:rFonts w:ascii="Arial" w:hAnsi="Arial" w:cs="Arial"/>
          <w:i w:val="0"/>
          <w:iCs w:val="0"/>
          <w:color w:val="000000" w:themeColor="text1"/>
          <w:sz w:val="24"/>
          <w:szCs w:val="24"/>
        </w:rPr>
        <w:t>Hispanic</w:t>
      </w:r>
      <w:r w:rsidRPr="00C61E0B">
        <w:rPr>
          <w:rFonts w:ascii="Arial" w:hAnsi="Arial" w:cs="Arial"/>
          <w:i w:val="0"/>
          <w:iCs w:val="0"/>
          <w:color w:val="000000" w:themeColor="text1"/>
          <w:sz w:val="24"/>
          <w:szCs w:val="24"/>
        </w:rPr>
        <w:t xml:space="preserve"> group in the independent testing set.</w:t>
      </w:r>
    </w:p>
    <w:p w14:paraId="0391E5C1" w14:textId="77777777" w:rsidR="0012009A" w:rsidRPr="00C61E0B" w:rsidRDefault="0012009A" w:rsidP="0012009A">
      <w:pPr>
        <w:spacing w:line="480" w:lineRule="auto"/>
        <w:rPr>
          <w:rFonts w:ascii="Arial" w:hAnsi="Arial" w:cs="Arial"/>
        </w:rPr>
      </w:pPr>
    </w:p>
    <w:p w14:paraId="741F352C" w14:textId="68139701" w:rsidR="009B18CF" w:rsidRDefault="0012009A" w:rsidP="0012009A">
      <w:pPr>
        <w:spacing w:line="480" w:lineRule="auto"/>
        <w:jc w:val="both"/>
        <w:rPr>
          <w:rFonts w:ascii="Arial" w:hAnsi="Arial" w:cs="Arial"/>
        </w:rPr>
      </w:pPr>
      <w:r w:rsidRPr="00901F66">
        <w:rPr>
          <w:rFonts w:ascii="Arial" w:hAnsi="Arial" w:cs="Arial"/>
          <w:b/>
          <w:bCs/>
        </w:rPr>
        <w:t>Figure S</w:t>
      </w:r>
      <w:r w:rsidR="003029E9">
        <w:rPr>
          <w:rFonts w:ascii="Arial" w:hAnsi="Arial" w:cs="Arial"/>
          <w:b/>
          <w:bCs/>
        </w:rPr>
        <w:t>4</w:t>
      </w:r>
      <w:r w:rsidRPr="00901F66">
        <w:rPr>
          <w:rFonts w:ascii="Arial" w:hAnsi="Arial" w:cs="Arial"/>
          <w:b/>
          <w:bCs/>
        </w:rPr>
        <w:t xml:space="preserve"> – S</w:t>
      </w:r>
      <w:r w:rsidR="003029E9">
        <w:rPr>
          <w:rFonts w:ascii="Arial" w:hAnsi="Arial" w:cs="Arial"/>
          <w:b/>
          <w:bCs/>
        </w:rPr>
        <w:t>6</w:t>
      </w:r>
      <w:r>
        <w:rPr>
          <w:rFonts w:ascii="Arial" w:hAnsi="Arial" w:cs="Arial"/>
        </w:rPr>
        <w:t xml:space="preserve"> shows the causal graphs generated by </w:t>
      </w:r>
      <w:r w:rsidR="00FC6962">
        <w:rPr>
          <w:rFonts w:ascii="Arial" w:hAnsi="Arial" w:cs="Arial"/>
        </w:rPr>
        <w:t>MGM-PC-Stable</w:t>
      </w:r>
      <w:r>
        <w:rPr>
          <w:rFonts w:ascii="Arial" w:hAnsi="Arial" w:cs="Arial"/>
        </w:rPr>
        <w:t xml:space="preserve"> on different subgroups, </w:t>
      </w:r>
      <w:r w:rsidR="00730E97" w:rsidRPr="00730E97">
        <w:rPr>
          <w:rFonts w:ascii="Arial" w:hAnsi="Arial" w:cs="Arial"/>
        </w:rPr>
        <w:t>with nodes lacking connections removed from each graph</w:t>
      </w:r>
      <w:r>
        <w:rPr>
          <w:rFonts w:ascii="Arial" w:hAnsi="Arial" w:cs="Arial"/>
        </w:rPr>
        <w:t xml:space="preserve">.  </w:t>
      </w:r>
      <w:r w:rsidRPr="00C61E0B">
        <w:rPr>
          <w:rFonts w:ascii="Arial" w:hAnsi="Arial" w:cs="Arial"/>
        </w:rPr>
        <w:t xml:space="preserve">In </w:t>
      </w:r>
      <w:r w:rsidRPr="00C61E0B">
        <w:rPr>
          <w:rFonts w:ascii="Arial" w:hAnsi="Arial" w:cs="Arial"/>
          <w:b/>
          <w:bCs/>
        </w:rPr>
        <w:t>Figure S</w:t>
      </w:r>
      <w:r w:rsidR="003029E9">
        <w:rPr>
          <w:rFonts w:ascii="Arial" w:hAnsi="Arial" w:cs="Arial"/>
          <w:b/>
          <w:bCs/>
        </w:rPr>
        <w:t>4</w:t>
      </w:r>
      <w:r w:rsidRPr="00C61E0B">
        <w:rPr>
          <w:rFonts w:ascii="Arial" w:hAnsi="Arial" w:cs="Arial"/>
        </w:rPr>
        <w:t xml:space="preserve">, the </w:t>
      </w:r>
      <w:r w:rsidR="00C61852" w:rsidRPr="00C61852">
        <w:rPr>
          <w:rFonts w:ascii="Arial" w:hAnsi="Arial" w:cs="Arial"/>
        </w:rPr>
        <w:t>causal graph for the NHW group indicates that insurance type is a factor influencing hospitalization</w:t>
      </w:r>
      <w:r w:rsidR="003730F5">
        <w:rPr>
          <w:rFonts w:ascii="Arial" w:hAnsi="Arial" w:cs="Arial"/>
        </w:rPr>
        <w:t xml:space="preserve">.  However, </w:t>
      </w:r>
      <w:r w:rsidRPr="00C61E0B">
        <w:rPr>
          <w:rFonts w:ascii="Arial" w:hAnsi="Arial" w:cs="Arial"/>
        </w:rPr>
        <w:t xml:space="preserve">in </w:t>
      </w:r>
      <w:r>
        <w:rPr>
          <w:rFonts w:ascii="Arial" w:hAnsi="Arial" w:cs="Arial"/>
        </w:rPr>
        <w:t>Figures</w:t>
      </w:r>
      <w:r w:rsidRPr="00C61E0B">
        <w:rPr>
          <w:rFonts w:ascii="Arial" w:hAnsi="Arial" w:cs="Arial"/>
          <w:b/>
          <w:bCs/>
        </w:rPr>
        <w:t xml:space="preserve"> S</w:t>
      </w:r>
      <w:r w:rsidR="003029E9">
        <w:rPr>
          <w:rFonts w:ascii="Arial" w:hAnsi="Arial" w:cs="Arial"/>
          <w:b/>
          <w:bCs/>
        </w:rPr>
        <w:t>5</w:t>
      </w:r>
      <w:r>
        <w:rPr>
          <w:rFonts w:ascii="Arial" w:hAnsi="Arial" w:cs="Arial"/>
          <w:b/>
          <w:bCs/>
        </w:rPr>
        <w:t xml:space="preserve"> and S</w:t>
      </w:r>
      <w:r w:rsidR="003029E9">
        <w:rPr>
          <w:rFonts w:ascii="Arial" w:hAnsi="Arial" w:cs="Arial"/>
          <w:b/>
          <w:bCs/>
        </w:rPr>
        <w:t>6</w:t>
      </w:r>
      <w:r w:rsidRPr="00C61E0B">
        <w:rPr>
          <w:rFonts w:ascii="Arial" w:hAnsi="Arial" w:cs="Arial"/>
        </w:rPr>
        <w:t xml:space="preserve">, </w:t>
      </w:r>
      <w:r w:rsidR="00DD7838">
        <w:rPr>
          <w:rFonts w:ascii="Arial" w:hAnsi="Arial" w:cs="Arial"/>
        </w:rPr>
        <w:t xml:space="preserve">there are no causal links found between the hospitalization to any other features in both </w:t>
      </w:r>
      <w:r w:rsidR="003236E3" w:rsidRPr="003236E3">
        <w:rPr>
          <w:rFonts w:ascii="Arial" w:hAnsi="Arial" w:cs="Arial"/>
        </w:rPr>
        <w:t>the NHB and Hispanic groups</w:t>
      </w:r>
      <w:r w:rsidR="005234EE">
        <w:rPr>
          <w:rFonts w:ascii="Arial" w:hAnsi="Arial" w:cs="Arial"/>
        </w:rPr>
        <w:t>.</w:t>
      </w:r>
      <w:r w:rsidR="003236E3">
        <w:rPr>
          <w:rFonts w:ascii="Arial" w:hAnsi="Arial" w:cs="Arial"/>
        </w:rPr>
        <w:t xml:space="preserve">  </w:t>
      </w:r>
      <w:r w:rsidRPr="00C61E0B">
        <w:rPr>
          <w:rFonts w:ascii="Arial" w:hAnsi="Arial" w:cs="Arial"/>
        </w:rPr>
        <w:t xml:space="preserve">This </w:t>
      </w:r>
      <w:r>
        <w:rPr>
          <w:rFonts w:ascii="Arial" w:hAnsi="Arial" w:cs="Arial"/>
        </w:rPr>
        <w:t xml:space="preserve">observation suggests </w:t>
      </w:r>
      <w:r w:rsidR="002A321C">
        <w:rPr>
          <w:rFonts w:ascii="Arial" w:hAnsi="Arial" w:cs="Arial"/>
        </w:rPr>
        <w:t>that t</w:t>
      </w:r>
      <w:r w:rsidR="002A321C" w:rsidRPr="002A321C">
        <w:rPr>
          <w:rFonts w:ascii="Arial" w:hAnsi="Arial" w:cs="Arial"/>
        </w:rPr>
        <w:t xml:space="preserve">he NHW group is primarily affected by individual-level </w:t>
      </w:r>
      <w:proofErr w:type="spellStart"/>
      <w:r w:rsidR="00210DF7">
        <w:rPr>
          <w:rFonts w:ascii="Arial" w:hAnsi="Arial" w:cs="Arial"/>
        </w:rPr>
        <w:t>SDoH</w:t>
      </w:r>
      <w:proofErr w:type="spellEnd"/>
      <w:r w:rsidR="002A321C" w:rsidRPr="002A321C">
        <w:rPr>
          <w:rFonts w:ascii="Arial" w:hAnsi="Arial" w:cs="Arial"/>
        </w:rPr>
        <w:t xml:space="preserve"> (e.g., insurance type)</w:t>
      </w:r>
      <w:r w:rsidR="009B18CF">
        <w:rPr>
          <w:rFonts w:ascii="Arial" w:hAnsi="Arial" w:cs="Arial"/>
        </w:rPr>
        <w:t>.</w:t>
      </w:r>
      <w:r w:rsidR="00155734">
        <w:rPr>
          <w:rFonts w:ascii="Arial" w:hAnsi="Arial" w:cs="Arial"/>
        </w:rPr>
        <w:t xml:space="preserve">  </w:t>
      </w:r>
      <w:r w:rsidR="00155734" w:rsidRPr="00155734">
        <w:rPr>
          <w:rFonts w:ascii="Arial" w:hAnsi="Arial" w:cs="Arial"/>
        </w:rPr>
        <w:t>Furthermore, it is important to note that the causal links in the Hispanic group are less pronounced compared to the other two groups, primarily due to the significantly smaller sample size of the Hispanic group.</w:t>
      </w:r>
    </w:p>
    <w:p w14:paraId="0440B0A1" w14:textId="77777777" w:rsidR="0012009A" w:rsidRPr="00C61E0B" w:rsidRDefault="0012009A" w:rsidP="0012009A">
      <w:pPr>
        <w:spacing w:line="480" w:lineRule="auto"/>
        <w:rPr>
          <w:rFonts w:ascii="Arial" w:hAnsi="Arial" w:cs="Arial"/>
        </w:rPr>
      </w:pPr>
      <w:r w:rsidRPr="00C61E0B">
        <w:rPr>
          <w:rFonts w:ascii="Arial" w:hAnsi="Arial" w:cs="Arial"/>
        </w:rPr>
        <w:br w:type="page"/>
      </w:r>
    </w:p>
    <w:p w14:paraId="40C4B85A" w14:textId="77777777" w:rsidR="0012009A" w:rsidRPr="00C61E0B" w:rsidRDefault="0012009A" w:rsidP="0012009A">
      <w:pPr>
        <w:spacing w:line="480" w:lineRule="auto"/>
        <w:rPr>
          <w:rFonts w:ascii="Arial" w:hAnsi="Arial" w:cs="Arial"/>
          <w:b/>
        </w:rPr>
      </w:pPr>
      <w:r w:rsidRPr="00C61E0B">
        <w:rPr>
          <w:rFonts w:ascii="Arial" w:hAnsi="Arial" w:cs="Arial"/>
          <w:b/>
        </w:rPr>
        <w:lastRenderedPageBreak/>
        <w:t>References</w:t>
      </w:r>
    </w:p>
    <w:p w14:paraId="55E12072" w14:textId="77777777" w:rsidR="0012009A" w:rsidRPr="00C61E0B" w:rsidRDefault="0012009A" w:rsidP="0012009A">
      <w:pPr>
        <w:spacing w:line="480" w:lineRule="auto"/>
        <w:rPr>
          <w:rFonts w:ascii="Arial" w:hAnsi="Arial" w:cs="Arial"/>
        </w:rPr>
      </w:pPr>
    </w:p>
    <w:p w14:paraId="2FB43333" w14:textId="2701AE67" w:rsidR="005C493B" w:rsidRDefault="0012009A" w:rsidP="005C493B">
      <w:pPr>
        <w:tabs>
          <w:tab w:val="left" w:pos="480"/>
        </w:tabs>
        <w:spacing w:after="240"/>
        <w:ind w:left="480" w:hanging="480"/>
        <w:rPr>
          <w:rFonts w:ascii="Arial" w:hAnsi="Arial" w:cs="Arial"/>
          <w:noProof/>
        </w:rPr>
      </w:pPr>
      <w:r w:rsidRPr="00C61E0B">
        <w:rPr>
          <w:rFonts w:ascii="Arial" w:hAnsi="Arial" w:cs="Arial"/>
        </w:rPr>
        <w:fldChar w:fldCharType="begin" w:fldLock="1"/>
      </w:r>
      <w:r w:rsidR="005C493B">
        <w:rPr>
          <w:rFonts w:ascii="Arial" w:hAnsi="Arial" w:cs="Arial"/>
        </w:rPr>
        <w:instrText>ADDIN paperpile_bibliography &lt;pp-bibliography&gt;&lt;first-reference-indices&gt;&lt;formatting&gt;1&lt;/formatting&gt;&lt;space-after&gt;1&lt;/space-after&gt;&lt;/first-reference-indices&gt;&lt;/pp-bibliography&gt; \* MERGEFORMAT</w:instrText>
      </w:r>
      <w:r w:rsidRPr="00C61E0B">
        <w:rPr>
          <w:rFonts w:ascii="Arial" w:hAnsi="Arial" w:cs="Arial"/>
        </w:rPr>
        <w:fldChar w:fldCharType="separate"/>
      </w:r>
      <w:r w:rsidR="005C493B">
        <w:rPr>
          <w:rFonts w:ascii="Arial" w:hAnsi="Arial" w:cs="Arial"/>
          <w:noProof/>
        </w:rPr>
        <w:t>1.</w:t>
      </w:r>
      <w:r w:rsidR="005C493B">
        <w:rPr>
          <w:rFonts w:ascii="Arial" w:hAnsi="Arial" w:cs="Arial"/>
          <w:noProof/>
        </w:rPr>
        <w:tab/>
        <w:t>Federal Bureau of Investigation. Crime Data Explorer. Federal Bureau of Investigation - Crime Data Explorer. Accessed August 5, 2023. https://cde.ucr.cjis.gov/LATEST/webapp/</w:t>
      </w:r>
    </w:p>
    <w:p w14:paraId="41B7CDD6"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2.</w:t>
      </w:r>
      <w:r>
        <w:rPr>
          <w:rFonts w:ascii="Arial" w:hAnsi="Arial" w:cs="Arial"/>
          <w:noProof/>
        </w:rPr>
        <w:tab/>
        <w:t xml:space="preserve">Castelnovo A, Crupi R, Greco G, Regoli D, Penco IG, Cosentini AC. A clarification of the nuances in the fairness metrics landscape. </w:t>
      </w:r>
      <w:r w:rsidRPr="005C493B">
        <w:rPr>
          <w:rFonts w:ascii="Arial" w:hAnsi="Arial" w:cs="Arial"/>
          <w:i/>
          <w:noProof/>
        </w:rPr>
        <w:t>Sci Rep</w:t>
      </w:r>
      <w:r>
        <w:rPr>
          <w:rFonts w:ascii="Arial" w:hAnsi="Arial" w:cs="Arial"/>
          <w:noProof/>
        </w:rPr>
        <w:t>. 2022;12(1):1-21.</w:t>
      </w:r>
    </w:p>
    <w:p w14:paraId="1BA5BEAF"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3.</w:t>
      </w:r>
      <w:r>
        <w:rPr>
          <w:rFonts w:ascii="Arial" w:hAnsi="Arial" w:cs="Arial"/>
          <w:noProof/>
        </w:rPr>
        <w:tab/>
        <w:t xml:space="preserve">Yu Z, Yang X, Dang C, et al. SODA: A Natural Language Processing Package to Extract Social Determinants of Health for Cancer Studies. </w:t>
      </w:r>
      <w:r w:rsidRPr="005C493B">
        <w:rPr>
          <w:rFonts w:ascii="Arial" w:hAnsi="Arial" w:cs="Arial"/>
          <w:i/>
          <w:noProof/>
        </w:rPr>
        <w:t>arXiv [csCL]</w:t>
      </w:r>
      <w:r>
        <w:rPr>
          <w:rFonts w:ascii="Arial" w:hAnsi="Arial" w:cs="Arial"/>
          <w:noProof/>
        </w:rPr>
        <w:t>. Published online December 6, 2022. http://arxiv.org/abs/2212.03000</w:t>
      </w:r>
    </w:p>
    <w:p w14:paraId="149AE1F5"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4.</w:t>
      </w:r>
      <w:r>
        <w:rPr>
          <w:rFonts w:ascii="Arial" w:hAnsi="Arial" w:cs="Arial"/>
          <w:noProof/>
        </w:rPr>
        <w:tab/>
        <w:t>Rhone A. Food Access Research Atlas. Accessed March 9, 2023. https://www.ers.usda.gov/data-products/food-access-research-atlas/</w:t>
      </w:r>
    </w:p>
    <w:p w14:paraId="2C726140"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5.</w:t>
      </w:r>
      <w:r>
        <w:rPr>
          <w:rFonts w:ascii="Arial" w:hAnsi="Arial" w:cs="Arial"/>
          <w:noProof/>
        </w:rPr>
        <w:tab/>
        <w:t xml:space="preserve">Thomas J, Zeller L. National walkability index user guide and methodology. </w:t>
      </w:r>
      <w:r w:rsidRPr="005C493B">
        <w:rPr>
          <w:rFonts w:ascii="Arial" w:hAnsi="Arial" w:cs="Arial"/>
          <w:i/>
          <w:noProof/>
        </w:rPr>
        <w:t>Environ Prot Agency: Washington, DC, USA</w:t>
      </w:r>
      <w:r>
        <w:rPr>
          <w:rFonts w:ascii="Arial" w:hAnsi="Arial" w:cs="Arial"/>
          <w:noProof/>
        </w:rPr>
        <w:t>. Published online 2017.</w:t>
      </w:r>
    </w:p>
    <w:p w14:paraId="7A211FCA"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6.</w:t>
      </w:r>
      <w:r>
        <w:rPr>
          <w:rFonts w:ascii="Arial" w:hAnsi="Arial" w:cs="Arial"/>
          <w:noProof/>
        </w:rPr>
        <w:tab/>
        <w:t xml:space="preserve">Garvin E, Branas C, Keddem S, Sellman J, Cannuscio C. More than just an eyesore: local insights and solutions on vacant land and urban health. </w:t>
      </w:r>
      <w:r w:rsidRPr="005C493B">
        <w:rPr>
          <w:rFonts w:ascii="Arial" w:hAnsi="Arial" w:cs="Arial"/>
          <w:i/>
          <w:noProof/>
        </w:rPr>
        <w:t>J Urban Health</w:t>
      </w:r>
      <w:r>
        <w:rPr>
          <w:rFonts w:ascii="Arial" w:hAnsi="Arial" w:cs="Arial"/>
          <w:noProof/>
        </w:rPr>
        <w:t>. 2013;90(3):412-426.</w:t>
      </w:r>
    </w:p>
    <w:p w14:paraId="1F33E89A"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7.</w:t>
      </w:r>
      <w:r>
        <w:rPr>
          <w:rFonts w:ascii="Arial" w:hAnsi="Arial" w:cs="Arial"/>
          <w:noProof/>
        </w:rPr>
        <w:tab/>
        <w:t xml:space="preserve">Messer LC, Laraia BA, Kaufman JS, et al. The development of a standardized neighborhood deprivation index. </w:t>
      </w:r>
      <w:r w:rsidRPr="005C493B">
        <w:rPr>
          <w:rFonts w:ascii="Arial" w:hAnsi="Arial" w:cs="Arial"/>
          <w:i/>
          <w:noProof/>
        </w:rPr>
        <w:t>J Urban Health</w:t>
      </w:r>
      <w:r>
        <w:rPr>
          <w:rFonts w:ascii="Arial" w:hAnsi="Arial" w:cs="Arial"/>
          <w:noProof/>
        </w:rPr>
        <w:t>. 2006;83(6):1041-1062.</w:t>
      </w:r>
    </w:p>
    <w:p w14:paraId="51B4281D" w14:textId="77777777" w:rsidR="005C493B" w:rsidRDefault="005C493B" w:rsidP="005C493B">
      <w:pPr>
        <w:tabs>
          <w:tab w:val="left" w:pos="480"/>
        </w:tabs>
        <w:spacing w:after="240"/>
        <w:ind w:left="480" w:hanging="480"/>
        <w:rPr>
          <w:rFonts w:ascii="Arial" w:hAnsi="Arial" w:cs="Arial"/>
          <w:noProof/>
        </w:rPr>
      </w:pPr>
      <w:r>
        <w:rPr>
          <w:rFonts w:ascii="Arial" w:hAnsi="Arial" w:cs="Arial"/>
          <w:noProof/>
        </w:rPr>
        <w:t>8.</w:t>
      </w:r>
      <w:r>
        <w:rPr>
          <w:rFonts w:ascii="Arial" w:hAnsi="Arial" w:cs="Arial"/>
          <w:noProof/>
        </w:rPr>
        <w:tab/>
        <w:t xml:space="preserve">Rupasingha A, Goetz SJ, Freshwater D. The production of social capital in US counties. </w:t>
      </w:r>
      <w:r w:rsidRPr="005C493B">
        <w:rPr>
          <w:rFonts w:ascii="Arial" w:hAnsi="Arial" w:cs="Arial"/>
          <w:i/>
          <w:noProof/>
        </w:rPr>
        <w:t>J Socio Econ</w:t>
      </w:r>
      <w:r>
        <w:rPr>
          <w:rFonts w:ascii="Arial" w:hAnsi="Arial" w:cs="Arial"/>
          <w:noProof/>
        </w:rPr>
        <w:t>. 2006;35(1):83-101.</w:t>
      </w:r>
    </w:p>
    <w:p w14:paraId="5057BE8A" w14:textId="0773CED5" w:rsidR="0012009A" w:rsidRPr="00B17018" w:rsidRDefault="005C493B" w:rsidP="005C493B">
      <w:pPr>
        <w:tabs>
          <w:tab w:val="left" w:pos="480"/>
        </w:tabs>
        <w:spacing w:after="240"/>
        <w:ind w:left="480" w:hanging="480"/>
        <w:rPr>
          <w:rFonts w:ascii="Arial" w:hAnsi="Arial" w:cs="Arial"/>
        </w:rPr>
      </w:pPr>
      <w:r>
        <w:rPr>
          <w:rFonts w:ascii="Arial" w:hAnsi="Arial" w:cs="Arial"/>
          <w:noProof/>
        </w:rPr>
        <w:t>9.</w:t>
      </w:r>
      <w:r>
        <w:rPr>
          <w:rFonts w:ascii="Arial" w:hAnsi="Arial" w:cs="Arial"/>
          <w:noProof/>
        </w:rPr>
        <w:tab/>
        <w:t xml:space="preserve">Barnett-Ryan C. Introduction to the uniform crime reporting program. </w:t>
      </w:r>
      <w:r w:rsidRPr="005C493B">
        <w:rPr>
          <w:rFonts w:ascii="Arial" w:hAnsi="Arial" w:cs="Arial"/>
          <w:i/>
          <w:noProof/>
        </w:rPr>
        <w:t>Understanding crime statistics</w:t>
      </w:r>
      <w:r>
        <w:rPr>
          <w:rFonts w:ascii="Arial" w:hAnsi="Arial" w:cs="Arial"/>
          <w:noProof/>
        </w:rPr>
        <w:t>.</w:t>
      </w:r>
      <w:r w:rsidR="0012009A" w:rsidRPr="00C61E0B">
        <w:rPr>
          <w:rFonts w:ascii="Arial" w:hAnsi="Arial" w:cs="Arial"/>
        </w:rPr>
        <w:fldChar w:fldCharType="end"/>
      </w:r>
    </w:p>
    <w:p w14:paraId="12B77D33" w14:textId="77777777" w:rsidR="0012009A" w:rsidRPr="00DA754F" w:rsidRDefault="0012009A">
      <w:pPr>
        <w:rPr>
          <w:rFonts w:ascii="Arial" w:hAnsi="Arial" w:cs="Arial"/>
        </w:rPr>
      </w:pPr>
    </w:p>
    <w:sectPr w:rsidR="0012009A" w:rsidRPr="00DA754F" w:rsidSect="000631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CF733" w14:textId="77777777" w:rsidR="00221C4B" w:rsidRDefault="00221C4B" w:rsidP="00DC17B0">
      <w:r>
        <w:separator/>
      </w:r>
    </w:p>
  </w:endnote>
  <w:endnote w:type="continuationSeparator" w:id="0">
    <w:p w14:paraId="033FF827" w14:textId="77777777" w:rsidR="00221C4B" w:rsidRDefault="00221C4B" w:rsidP="00DC1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3640B" w14:textId="77777777" w:rsidR="00221C4B" w:rsidRDefault="00221C4B" w:rsidP="00DC17B0">
      <w:r>
        <w:separator/>
      </w:r>
    </w:p>
  </w:footnote>
  <w:footnote w:type="continuationSeparator" w:id="0">
    <w:p w14:paraId="6661D810" w14:textId="77777777" w:rsidR="00221C4B" w:rsidRDefault="00221C4B" w:rsidP="00DC17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E23D6"/>
    <w:multiLevelType w:val="hybridMultilevel"/>
    <w:tmpl w:val="5334754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CBB05E5"/>
    <w:multiLevelType w:val="hybridMultilevel"/>
    <w:tmpl w:val="BC3600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672983"/>
    <w:multiLevelType w:val="hybridMultilevel"/>
    <w:tmpl w:val="53347540"/>
    <w:lvl w:ilvl="0" w:tplc="303CF5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464BFA"/>
    <w:multiLevelType w:val="hybridMultilevel"/>
    <w:tmpl w:val="6CB82A86"/>
    <w:lvl w:ilvl="0" w:tplc="AE94D9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C2B01"/>
    <w:multiLevelType w:val="hybridMultilevel"/>
    <w:tmpl w:val="6CB82A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F266CFA"/>
    <w:multiLevelType w:val="hybridMultilevel"/>
    <w:tmpl w:val="6CB82A8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207764C"/>
    <w:multiLevelType w:val="hybridMultilevel"/>
    <w:tmpl w:val="2020E436"/>
    <w:lvl w:ilvl="0" w:tplc="1C5EB02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737925">
    <w:abstractNumId w:val="2"/>
  </w:num>
  <w:num w:numId="2" w16cid:durableId="2066759605">
    <w:abstractNumId w:val="0"/>
  </w:num>
  <w:num w:numId="3" w16cid:durableId="2133397964">
    <w:abstractNumId w:val="1"/>
  </w:num>
  <w:num w:numId="4" w16cid:durableId="2016573999">
    <w:abstractNumId w:val="6"/>
  </w:num>
  <w:num w:numId="5" w16cid:durableId="1043867326">
    <w:abstractNumId w:val="3"/>
  </w:num>
  <w:num w:numId="6" w16cid:durableId="1900549230">
    <w:abstractNumId w:val="4"/>
  </w:num>
  <w:num w:numId="7" w16cid:durableId="1439384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V613J963Y453C164"/>
    <w:docVar w:name="paperpile-doc-name" w:val="Figure &amp; Table &amp; Supplements V1.docx"/>
    <w:docVar w:name="paperpile-includeDoi" w:val="false"/>
    <w:docVar w:name="paperpile-styleFile" w:val="american-medical-association.csl"/>
    <w:docVar w:name="paperpile-styleId" w:val="jama"/>
    <w:docVar w:name="paperpile-styleLabel" w:val="JAMA (The Journal of the American Medical Association)"/>
    <w:docVar w:name="paperpile-styleLocale" w:val="en-US"/>
  </w:docVars>
  <w:rsids>
    <w:rsidRoot w:val="00BA3F95"/>
    <w:rsid w:val="00045B9B"/>
    <w:rsid w:val="000515DF"/>
    <w:rsid w:val="00062070"/>
    <w:rsid w:val="00063195"/>
    <w:rsid w:val="00070B83"/>
    <w:rsid w:val="00075752"/>
    <w:rsid w:val="0009440A"/>
    <w:rsid w:val="000A293E"/>
    <w:rsid w:val="000C3CF3"/>
    <w:rsid w:val="000D6747"/>
    <w:rsid w:val="0011041D"/>
    <w:rsid w:val="00116B01"/>
    <w:rsid w:val="0012009A"/>
    <w:rsid w:val="00122204"/>
    <w:rsid w:val="00125BBE"/>
    <w:rsid w:val="00132DDA"/>
    <w:rsid w:val="00155734"/>
    <w:rsid w:val="00177221"/>
    <w:rsid w:val="001874D7"/>
    <w:rsid w:val="001943C0"/>
    <w:rsid w:val="001C0F74"/>
    <w:rsid w:val="001C2D88"/>
    <w:rsid w:val="001D23A5"/>
    <w:rsid w:val="001F7944"/>
    <w:rsid w:val="00210DF7"/>
    <w:rsid w:val="00216138"/>
    <w:rsid w:val="00221279"/>
    <w:rsid w:val="00221C4B"/>
    <w:rsid w:val="00226C75"/>
    <w:rsid w:val="00247D80"/>
    <w:rsid w:val="00287D13"/>
    <w:rsid w:val="002A321C"/>
    <w:rsid w:val="002B1A91"/>
    <w:rsid w:val="002C2189"/>
    <w:rsid w:val="002D46FA"/>
    <w:rsid w:val="002D5D4D"/>
    <w:rsid w:val="002D60B9"/>
    <w:rsid w:val="002E3ABA"/>
    <w:rsid w:val="002E6D4A"/>
    <w:rsid w:val="003029E9"/>
    <w:rsid w:val="00304F7A"/>
    <w:rsid w:val="003222D4"/>
    <w:rsid w:val="003236E3"/>
    <w:rsid w:val="0034404A"/>
    <w:rsid w:val="00346556"/>
    <w:rsid w:val="003679D5"/>
    <w:rsid w:val="003730F5"/>
    <w:rsid w:val="003737EF"/>
    <w:rsid w:val="00382B90"/>
    <w:rsid w:val="00393DE9"/>
    <w:rsid w:val="003C74F4"/>
    <w:rsid w:val="003D4101"/>
    <w:rsid w:val="003D6329"/>
    <w:rsid w:val="003E1531"/>
    <w:rsid w:val="003F0544"/>
    <w:rsid w:val="004271D2"/>
    <w:rsid w:val="00443AA3"/>
    <w:rsid w:val="00457883"/>
    <w:rsid w:val="004A2FE7"/>
    <w:rsid w:val="004B2DC0"/>
    <w:rsid w:val="004C27FD"/>
    <w:rsid w:val="004F55D5"/>
    <w:rsid w:val="005234EE"/>
    <w:rsid w:val="00533BF4"/>
    <w:rsid w:val="00547C07"/>
    <w:rsid w:val="00595074"/>
    <w:rsid w:val="00595B59"/>
    <w:rsid w:val="005A4FD1"/>
    <w:rsid w:val="005A5FEF"/>
    <w:rsid w:val="005A6CC8"/>
    <w:rsid w:val="005C13A4"/>
    <w:rsid w:val="005C3318"/>
    <w:rsid w:val="005C493B"/>
    <w:rsid w:val="005D7BAF"/>
    <w:rsid w:val="005E06FD"/>
    <w:rsid w:val="00602E84"/>
    <w:rsid w:val="00607B23"/>
    <w:rsid w:val="00665E28"/>
    <w:rsid w:val="00686844"/>
    <w:rsid w:val="006C4DC1"/>
    <w:rsid w:val="006F284C"/>
    <w:rsid w:val="007022D8"/>
    <w:rsid w:val="00730E97"/>
    <w:rsid w:val="00734650"/>
    <w:rsid w:val="007832C2"/>
    <w:rsid w:val="007C0CF1"/>
    <w:rsid w:val="007C6CD5"/>
    <w:rsid w:val="007E3797"/>
    <w:rsid w:val="00804D51"/>
    <w:rsid w:val="0082484A"/>
    <w:rsid w:val="00834594"/>
    <w:rsid w:val="00842DDC"/>
    <w:rsid w:val="00843F73"/>
    <w:rsid w:val="00844E7E"/>
    <w:rsid w:val="0084757E"/>
    <w:rsid w:val="00850C4B"/>
    <w:rsid w:val="00860708"/>
    <w:rsid w:val="008619B9"/>
    <w:rsid w:val="00871795"/>
    <w:rsid w:val="00881946"/>
    <w:rsid w:val="008A437B"/>
    <w:rsid w:val="008B3A29"/>
    <w:rsid w:val="008C4AD8"/>
    <w:rsid w:val="00923E80"/>
    <w:rsid w:val="00941947"/>
    <w:rsid w:val="00944441"/>
    <w:rsid w:val="00952379"/>
    <w:rsid w:val="00970072"/>
    <w:rsid w:val="009812DE"/>
    <w:rsid w:val="009846F3"/>
    <w:rsid w:val="00992A58"/>
    <w:rsid w:val="009B18CF"/>
    <w:rsid w:val="009B2A17"/>
    <w:rsid w:val="009D4FF1"/>
    <w:rsid w:val="00A077AE"/>
    <w:rsid w:val="00A139B6"/>
    <w:rsid w:val="00A31F76"/>
    <w:rsid w:val="00A8188B"/>
    <w:rsid w:val="00AA7B85"/>
    <w:rsid w:val="00AC2975"/>
    <w:rsid w:val="00B00152"/>
    <w:rsid w:val="00B01E05"/>
    <w:rsid w:val="00B046FC"/>
    <w:rsid w:val="00B11CC7"/>
    <w:rsid w:val="00B22B67"/>
    <w:rsid w:val="00B36276"/>
    <w:rsid w:val="00B4434E"/>
    <w:rsid w:val="00B502AC"/>
    <w:rsid w:val="00B5625B"/>
    <w:rsid w:val="00B716D6"/>
    <w:rsid w:val="00B94766"/>
    <w:rsid w:val="00BA3F95"/>
    <w:rsid w:val="00BD3FA9"/>
    <w:rsid w:val="00C00CEE"/>
    <w:rsid w:val="00C0159B"/>
    <w:rsid w:val="00C01725"/>
    <w:rsid w:val="00C24CD6"/>
    <w:rsid w:val="00C27CB5"/>
    <w:rsid w:val="00C34AA4"/>
    <w:rsid w:val="00C61852"/>
    <w:rsid w:val="00C626DA"/>
    <w:rsid w:val="00C66805"/>
    <w:rsid w:val="00C66EF9"/>
    <w:rsid w:val="00C719E1"/>
    <w:rsid w:val="00C754B3"/>
    <w:rsid w:val="00C8666B"/>
    <w:rsid w:val="00C97862"/>
    <w:rsid w:val="00CA3A5B"/>
    <w:rsid w:val="00CB0803"/>
    <w:rsid w:val="00CD70B3"/>
    <w:rsid w:val="00CD714F"/>
    <w:rsid w:val="00CE3FAA"/>
    <w:rsid w:val="00CE48D7"/>
    <w:rsid w:val="00D24649"/>
    <w:rsid w:val="00D32D32"/>
    <w:rsid w:val="00D53D94"/>
    <w:rsid w:val="00D7324B"/>
    <w:rsid w:val="00D84001"/>
    <w:rsid w:val="00DA6A38"/>
    <w:rsid w:val="00DA754F"/>
    <w:rsid w:val="00DC17B0"/>
    <w:rsid w:val="00DC693F"/>
    <w:rsid w:val="00DC6B42"/>
    <w:rsid w:val="00DD2835"/>
    <w:rsid w:val="00DD7838"/>
    <w:rsid w:val="00DE0306"/>
    <w:rsid w:val="00DF7EA1"/>
    <w:rsid w:val="00E15641"/>
    <w:rsid w:val="00E25EC5"/>
    <w:rsid w:val="00E33146"/>
    <w:rsid w:val="00E84CF4"/>
    <w:rsid w:val="00EC60B6"/>
    <w:rsid w:val="00EF1669"/>
    <w:rsid w:val="00F26507"/>
    <w:rsid w:val="00F339B0"/>
    <w:rsid w:val="00F56941"/>
    <w:rsid w:val="00F61A6B"/>
    <w:rsid w:val="00FC2134"/>
    <w:rsid w:val="00FC5D56"/>
    <w:rsid w:val="00FC6962"/>
    <w:rsid w:val="00FE2D64"/>
    <w:rsid w:val="00FF1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96CBA"/>
  <w15:docId w15:val="{642FD59B-644D-CF45-A20F-CF1C1B549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0B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EC60B6"/>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EC60B6"/>
    <w:rPr>
      <w:sz w:val="16"/>
      <w:szCs w:val="16"/>
    </w:rPr>
  </w:style>
  <w:style w:type="paragraph" w:styleId="ListParagraph">
    <w:name w:val="List Paragraph"/>
    <w:basedOn w:val="Normal"/>
    <w:uiPriority w:val="34"/>
    <w:qFormat/>
    <w:rsid w:val="00EC60B6"/>
    <w:pPr>
      <w:ind w:left="720"/>
      <w:contextualSpacing/>
    </w:pPr>
  </w:style>
  <w:style w:type="table" w:styleId="TableGrid">
    <w:name w:val="Table Grid"/>
    <w:basedOn w:val="TableNormal"/>
    <w:uiPriority w:val="39"/>
    <w:rsid w:val="00EC60B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C17B0"/>
    <w:pPr>
      <w:tabs>
        <w:tab w:val="center" w:pos="4680"/>
        <w:tab w:val="right" w:pos="9360"/>
      </w:tabs>
    </w:pPr>
  </w:style>
  <w:style w:type="character" w:customStyle="1" w:styleId="HeaderChar">
    <w:name w:val="Header Char"/>
    <w:basedOn w:val="DefaultParagraphFont"/>
    <w:link w:val="Header"/>
    <w:uiPriority w:val="99"/>
    <w:rsid w:val="00DC17B0"/>
    <w:rPr>
      <w:rFonts w:ascii="Times New Roman" w:eastAsia="Times New Roman" w:hAnsi="Times New Roman" w:cs="Times New Roman"/>
    </w:rPr>
  </w:style>
  <w:style w:type="paragraph" w:styleId="Footer">
    <w:name w:val="footer"/>
    <w:basedOn w:val="Normal"/>
    <w:link w:val="FooterChar"/>
    <w:uiPriority w:val="99"/>
    <w:unhideWhenUsed/>
    <w:rsid w:val="00DC17B0"/>
    <w:pPr>
      <w:tabs>
        <w:tab w:val="center" w:pos="4680"/>
        <w:tab w:val="right" w:pos="9360"/>
      </w:tabs>
    </w:pPr>
  </w:style>
  <w:style w:type="character" w:customStyle="1" w:styleId="FooterChar">
    <w:name w:val="Footer Char"/>
    <w:basedOn w:val="DefaultParagraphFont"/>
    <w:link w:val="Footer"/>
    <w:uiPriority w:val="99"/>
    <w:rsid w:val="00DC17B0"/>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B046FC"/>
    <w:rPr>
      <w:b/>
      <w:bCs/>
    </w:rPr>
  </w:style>
  <w:style w:type="character" w:customStyle="1" w:styleId="CommentSubjectChar">
    <w:name w:val="Comment Subject Char"/>
    <w:basedOn w:val="CommentTextChar"/>
    <w:link w:val="CommentSubject"/>
    <w:uiPriority w:val="99"/>
    <w:semiHidden/>
    <w:rsid w:val="00B046F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CE48D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48D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22247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15</Pages>
  <Words>4567</Words>
  <Characters>27271</Characters>
  <Application>Microsoft Office Word</Application>
  <DocSecurity>0</DocSecurity>
  <Lines>454</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 Yu</dc:creator>
  <cp:keywords/>
  <dc:description/>
  <cp:lastModifiedBy>Huang, Yu</cp:lastModifiedBy>
  <cp:revision>11</cp:revision>
  <dcterms:created xsi:type="dcterms:W3CDTF">2023-09-26T18:24:00Z</dcterms:created>
  <dcterms:modified xsi:type="dcterms:W3CDTF">2023-10-12T23:56:00Z</dcterms:modified>
</cp:coreProperties>
</file>