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B19C30" w14:textId="73F2D421" w:rsidR="00A14EF9" w:rsidRDefault="009C4E48" w:rsidP="00B469BA">
      <w:pPr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Supplementary Information</w:t>
      </w:r>
    </w:p>
    <w:p w14:paraId="45C0FB83" w14:textId="1F1D1811" w:rsidR="009C4E48" w:rsidRDefault="009C4E48" w:rsidP="00B469BA">
      <w:pPr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Manuscript: </w:t>
      </w:r>
      <w:r w:rsidRPr="009C4E48">
        <w:rPr>
          <w:rFonts w:ascii="Arial" w:hAnsi="Arial" w:cs="Arial"/>
          <w:b/>
          <w:lang w:val="en-US"/>
        </w:rPr>
        <w:t>Inside the Matrix: A pancreas-derived hydrogel for the culture of hiPSC-derived pancreatic endocrine cells</w:t>
      </w:r>
    </w:p>
    <w:p w14:paraId="3A310570" w14:textId="77777777" w:rsidR="009C4E48" w:rsidRDefault="009C4E48" w:rsidP="00B469BA">
      <w:pPr>
        <w:jc w:val="center"/>
        <w:rPr>
          <w:rFonts w:ascii="Arial" w:hAnsi="Arial" w:cs="Arial"/>
          <w:b/>
          <w:lang w:val="en-US"/>
        </w:rPr>
      </w:pPr>
    </w:p>
    <w:p w14:paraId="1E7D8194" w14:textId="5060C974" w:rsidR="00B469BA" w:rsidRPr="00B469BA" w:rsidRDefault="00B469BA" w:rsidP="00B469BA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Supplementary Figure 1</w:t>
      </w:r>
    </w:p>
    <w:p w14:paraId="07C19DF4" w14:textId="77777777" w:rsidR="00A66A57" w:rsidRPr="00283539" w:rsidRDefault="00A66A57">
      <w:pPr>
        <w:rPr>
          <w:b/>
          <w:lang w:val="en-US"/>
        </w:rPr>
      </w:pPr>
      <w:r w:rsidRPr="00283539">
        <w:rPr>
          <w:b/>
          <w:noProof/>
          <w:lang w:eastAsia="de-DE"/>
        </w:rPr>
        <w:drawing>
          <wp:inline distT="0" distB="0" distL="0" distR="0" wp14:anchorId="74CC3725" wp14:editId="596C8777">
            <wp:extent cx="5760732" cy="6870815"/>
            <wp:effectExtent l="0" t="0" r="0" b="635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_org model Decell new PanMa_500 dpi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687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55C2E" w14:textId="5D4F62B8" w:rsidR="00A66A57" w:rsidRPr="009C4E48" w:rsidRDefault="00A66A57" w:rsidP="0075767F">
      <w:pPr>
        <w:spacing w:line="240" w:lineRule="auto"/>
        <w:jc w:val="both"/>
        <w:rPr>
          <w:rFonts w:ascii="Arial" w:hAnsi="Arial" w:cs="Arial"/>
          <w:sz w:val="20"/>
          <w:lang w:val="en-US"/>
        </w:rPr>
      </w:pPr>
      <w:r w:rsidRPr="009C4E48">
        <w:rPr>
          <w:rFonts w:ascii="Arial" w:hAnsi="Arial" w:cs="Arial"/>
          <w:b/>
          <w:sz w:val="20"/>
          <w:lang w:val="en-US"/>
        </w:rPr>
        <w:t xml:space="preserve">Supplementary Figure 1 Step-wise deconstruction of porcine pancreas decellularization using the shortened protocol. a </w:t>
      </w:r>
      <w:r w:rsidRPr="009C4E48">
        <w:rPr>
          <w:rFonts w:ascii="Arial" w:hAnsi="Arial" w:cs="Arial"/>
          <w:sz w:val="20"/>
          <w:lang w:val="en-US"/>
        </w:rPr>
        <w:t xml:space="preserve">Illustration of the shortened decellularization process used for the production of the PanMa. Encircled numbers correlate to the process step at which samples were taken and </w:t>
      </w:r>
      <w:r w:rsidR="00283539" w:rsidRPr="009C4E48">
        <w:rPr>
          <w:rFonts w:ascii="Arial" w:hAnsi="Arial" w:cs="Arial"/>
          <w:sz w:val="20"/>
          <w:lang w:val="en-US"/>
        </w:rPr>
        <w:t>analyzed</w:t>
      </w:r>
      <w:r w:rsidRPr="009C4E48">
        <w:rPr>
          <w:rFonts w:ascii="Arial" w:hAnsi="Arial" w:cs="Arial"/>
          <w:sz w:val="20"/>
          <w:lang w:val="en-US"/>
        </w:rPr>
        <w:t xml:space="preserve">. </w:t>
      </w:r>
      <w:r w:rsidRPr="009C4E48">
        <w:rPr>
          <w:rFonts w:ascii="Arial" w:hAnsi="Arial" w:cs="Arial"/>
          <w:b/>
          <w:sz w:val="20"/>
          <w:lang w:val="en-US"/>
        </w:rPr>
        <w:t>b</w:t>
      </w:r>
      <w:r w:rsidRPr="009C4E48">
        <w:rPr>
          <w:rFonts w:ascii="Arial" w:hAnsi="Arial" w:cs="Arial"/>
          <w:sz w:val="20"/>
          <w:lang w:val="en-US"/>
        </w:rPr>
        <w:t xml:space="preserve"> Tissue sections taken at different time points of decellularization and stained with Haematoxylin and Eosin (H&amp;E) (upper panel), Feulgen (middle panel) and an antibody against laminin (red), counterstained with DAPI (grey) (lower panel). </w:t>
      </w:r>
      <w:r w:rsidRPr="009C4E48">
        <w:rPr>
          <w:rFonts w:ascii="Arial" w:hAnsi="Arial" w:cs="Arial"/>
          <w:b/>
          <w:sz w:val="20"/>
          <w:lang w:val="en-US"/>
        </w:rPr>
        <w:t>c</w:t>
      </w:r>
      <w:r w:rsidRPr="009C4E48">
        <w:rPr>
          <w:rFonts w:ascii="Arial" w:hAnsi="Arial" w:cs="Arial"/>
          <w:sz w:val="20"/>
          <w:lang w:val="en-US"/>
        </w:rPr>
        <w:t xml:space="preserve"> Bar graph showing the amount of DNA per mg dry weight at different time points of pancreas decellularization. Data are shown as mean ± SD (n=4). ****P &lt; 0.0001, one-way Anova with Tukey’s multiple comparisons test. </w:t>
      </w:r>
      <w:r w:rsidRPr="009C4E48">
        <w:rPr>
          <w:rFonts w:ascii="Arial" w:hAnsi="Arial" w:cs="Arial"/>
          <w:b/>
          <w:sz w:val="20"/>
          <w:lang w:val="en-US"/>
        </w:rPr>
        <w:t>d</w:t>
      </w:r>
      <w:r w:rsidRPr="009C4E48">
        <w:rPr>
          <w:rFonts w:ascii="Arial" w:hAnsi="Arial" w:cs="Arial"/>
          <w:sz w:val="20"/>
          <w:lang w:val="en-US"/>
        </w:rPr>
        <w:t xml:space="preserve"> Samples of isolated DNA of the respective differentiation time points</w:t>
      </w:r>
      <w:r w:rsidR="0075767F" w:rsidRPr="009C4E48">
        <w:rPr>
          <w:rFonts w:ascii="Arial" w:hAnsi="Arial" w:cs="Arial"/>
          <w:sz w:val="20"/>
          <w:lang w:val="en-US"/>
        </w:rPr>
        <w:t xml:space="preserve"> separated on an agarose gel. The presented images present only parts of the original gels. The uncropped images can be found in Supplementary figure 4.</w:t>
      </w:r>
    </w:p>
    <w:p w14:paraId="498B2447" w14:textId="3BB4E510" w:rsidR="00B469BA" w:rsidRPr="00283539" w:rsidRDefault="00B469BA" w:rsidP="00B469BA">
      <w:pPr>
        <w:rPr>
          <w:lang w:val="en-US"/>
        </w:rPr>
      </w:pPr>
      <w:r>
        <w:rPr>
          <w:rFonts w:ascii="Arial" w:hAnsi="Arial" w:cs="Arial"/>
          <w:b/>
          <w:lang w:val="en-US"/>
        </w:rPr>
        <w:lastRenderedPageBreak/>
        <w:t>Supplementary Figure 2</w:t>
      </w:r>
    </w:p>
    <w:p w14:paraId="793E0F93" w14:textId="77777777" w:rsidR="00A66A57" w:rsidRPr="00283539" w:rsidRDefault="00A66A57">
      <w:pPr>
        <w:rPr>
          <w:b/>
          <w:lang w:val="en-US"/>
        </w:rPr>
      </w:pPr>
      <w:r w:rsidRPr="00283539">
        <w:rPr>
          <w:b/>
          <w:noProof/>
          <w:lang w:eastAsia="de-DE"/>
        </w:rPr>
        <w:drawing>
          <wp:inline distT="0" distB="0" distL="0" distR="0" wp14:anchorId="3395D857" wp14:editId="169961F7">
            <wp:extent cx="5760732" cy="7207315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2_org model Decell new LungMa_500 dpi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720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86373" w14:textId="25C45C59" w:rsidR="00A66A57" w:rsidRPr="009C4E48" w:rsidRDefault="00A66A57" w:rsidP="0075767F">
      <w:pPr>
        <w:spacing w:line="240" w:lineRule="auto"/>
        <w:jc w:val="both"/>
        <w:rPr>
          <w:rFonts w:ascii="Arial" w:hAnsi="Arial" w:cs="Arial"/>
          <w:sz w:val="20"/>
          <w:lang w:val="en-US"/>
        </w:rPr>
      </w:pPr>
      <w:r w:rsidRPr="009C4E48">
        <w:rPr>
          <w:rFonts w:ascii="Arial" w:hAnsi="Arial" w:cs="Arial"/>
          <w:b/>
          <w:sz w:val="20"/>
          <w:lang w:val="en-US"/>
        </w:rPr>
        <w:t xml:space="preserve">Supplementary Figure 2 Step-wise deconstruction of porcine lung decellularization. a </w:t>
      </w:r>
      <w:r w:rsidRPr="009C4E48">
        <w:rPr>
          <w:rFonts w:ascii="Arial" w:hAnsi="Arial" w:cs="Arial"/>
          <w:sz w:val="20"/>
          <w:lang w:val="en-US"/>
        </w:rPr>
        <w:t xml:space="preserve">Illustration of the decellularization process used for the production of the LungMa. Encircled numbers correlate to the process step at which samples were taken and </w:t>
      </w:r>
      <w:r w:rsidR="00283539" w:rsidRPr="009C4E48">
        <w:rPr>
          <w:rFonts w:ascii="Arial" w:hAnsi="Arial" w:cs="Arial"/>
          <w:sz w:val="20"/>
          <w:lang w:val="en-US"/>
        </w:rPr>
        <w:t>analyzed</w:t>
      </w:r>
      <w:r w:rsidRPr="009C4E48">
        <w:rPr>
          <w:rFonts w:ascii="Arial" w:hAnsi="Arial" w:cs="Arial"/>
          <w:sz w:val="20"/>
          <w:lang w:val="en-US"/>
        </w:rPr>
        <w:t xml:space="preserve">. </w:t>
      </w:r>
      <w:r w:rsidRPr="009C4E48">
        <w:rPr>
          <w:rFonts w:ascii="Arial" w:hAnsi="Arial" w:cs="Arial"/>
          <w:b/>
          <w:sz w:val="20"/>
          <w:lang w:val="en-US"/>
        </w:rPr>
        <w:t>b</w:t>
      </w:r>
      <w:r w:rsidRPr="009C4E48">
        <w:rPr>
          <w:rFonts w:ascii="Arial" w:hAnsi="Arial" w:cs="Arial"/>
          <w:sz w:val="20"/>
          <w:lang w:val="en-US"/>
        </w:rPr>
        <w:t xml:space="preserve"> Tissue sections taken at different time points of decellularization and stained with Haematoxylin and Eosin (H&amp;E) (upper panel), Feulgen (middle panel) and an antibody against laminin (red), counterstained with DAPI (grey) (lower panel). </w:t>
      </w:r>
      <w:r w:rsidRPr="009C4E48">
        <w:rPr>
          <w:rFonts w:ascii="Arial" w:hAnsi="Arial" w:cs="Arial"/>
          <w:b/>
          <w:sz w:val="20"/>
          <w:lang w:val="en-US"/>
        </w:rPr>
        <w:t>c</w:t>
      </w:r>
      <w:r w:rsidRPr="009C4E48">
        <w:rPr>
          <w:rFonts w:ascii="Arial" w:hAnsi="Arial" w:cs="Arial"/>
          <w:sz w:val="20"/>
          <w:lang w:val="en-US"/>
        </w:rPr>
        <w:t xml:space="preserve"> Bar graph showing the amount of DNA per mg dry weight at different time points of lung decellularization. Data are shown as mean ± SD (n=2). </w:t>
      </w:r>
      <w:r w:rsidRPr="009C4E48">
        <w:rPr>
          <w:rFonts w:ascii="Arial" w:hAnsi="Arial" w:cs="Arial"/>
          <w:b/>
          <w:sz w:val="20"/>
          <w:lang w:val="en-US"/>
        </w:rPr>
        <w:t>d</w:t>
      </w:r>
      <w:r w:rsidRPr="009C4E48">
        <w:rPr>
          <w:rFonts w:ascii="Arial" w:hAnsi="Arial" w:cs="Arial"/>
          <w:sz w:val="20"/>
          <w:lang w:val="en-US"/>
        </w:rPr>
        <w:t xml:space="preserve"> Samples of isolated DNA of the respective differentiation time point</w:t>
      </w:r>
      <w:r w:rsidR="0075767F" w:rsidRPr="009C4E48">
        <w:rPr>
          <w:rFonts w:ascii="Arial" w:hAnsi="Arial" w:cs="Arial"/>
          <w:sz w:val="20"/>
          <w:lang w:val="en-US"/>
        </w:rPr>
        <w:t>s separated on an agarose gel. The presented images present only parts of the original gels. The uncropped images can be found in Supplementary figure 4.</w:t>
      </w:r>
      <w:r w:rsidRPr="009C4E48">
        <w:rPr>
          <w:rFonts w:ascii="Arial" w:hAnsi="Arial" w:cs="Arial"/>
          <w:sz w:val="20"/>
          <w:lang w:val="en-US"/>
        </w:rPr>
        <w:t xml:space="preserve"> </w:t>
      </w:r>
    </w:p>
    <w:p w14:paraId="79178B62" w14:textId="174B32A1" w:rsidR="00B469BA" w:rsidRPr="009C4E48" w:rsidRDefault="00B469BA" w:rsidP="0075767F">
      <w:pPr>
        <w:spacing w:line="240" w:lineRule="auto"/>
        <w:jc w:val="both"/>
        <w:rPr>
          <w:rFonts w:ascii="Arial" w:hAnsi="Arial" w:cs="Arial"/>
          <w:sz w:val="18"/>
          <w:lang w:val="en-US"/>
        </w:rPr>
      </w:pPr>
    </w:p>
    <w:p w14:paraId="5BD7A060" w14:textId="77777777" w:rsidR="009C4E48" w:rsidRDefault="009C4E48">
      <w:pPr>
        <w:rPr>
          <w:rFonts w:ascii="Arial" w:hAnsi="Arial" w:cs="Arial"/>
          <w:b/>
          <w:lang w:val="en-US"/>
        </w:rPr>
      </w:pPr>
    </w:p>
    <w:p w14:paraId="2F588803" w14:textId="77777777" w:rsidR="009C4E48" w:rsidRDefault="009C4E48">
      <w:pPr>
        <w:rPr>
          <w:rFonts w:ascii="Arial" w:hAnsi="Arial" w:cs="Arial"/>
          <w:b/>
          <w:lang w:val="en-US"/>
        </w:rPr>
      </w:pPr>
    </w:p>
    <w:p w14:paraId="5A3C2617" w14:textId="7A30707E" w:rsidR="00A66A57" w:rsidRPr="00283539" w:rsidRDefault="00B469BA">
      <w:pPr>
        <w:rPr>
          <w:b/>
          <w:lang w:val="en-US"/>
        </w:rPr>
      </w:pPr>
      <w:r>
        <w:rPr>
          <w:rFonts w:ascii="Arial" w:hAnsi="Arial" w:cs="Arial"/>
          <w:b/>
          <w:lang w:val="en-US"/>
        </w:rPr>
        <w:lastRenderedPageBreak/>
        <w:t>Supplementary Figure 3</w:t>
      </w:r>
    </w:p>
    <w:p w14:paraId="508E2F19" w14:textId="77777777" w:rsidR="00A66A57" w:rsidRPr="00283539" w:rsidRDefault="00A66A57">
      <w:pPr>
        <w:rPr>
          <w:b/>
          <w:lang w:val="en-US"/>
        </w:rPr>
      </w:pPr>
      <w:r w:rsidRPr="00283539">
        <w:rPr>
          <w:b/>
          <w:noProof/>
          <w:lang w:eastAsia="de-DE"/>
        </w:rPr>
        <w:drawing>
          <wp:inline distT="0" distB="0" distL="0" distR="0" wp14:anchorId="15500AD6" wp14:editId="3ABC7FDF">
            <wp:extent cx="5760732" cy="8322886"/>
            <wp:effectExtent l="0" t="0" r="0" b="254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3_org model Decell new SISser_500 dpi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8322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1BDC0" w14:textId="212C35D6" w:rsidR="00A66A57" w:rsidRPr="009C4E48" w:rsidRDefault="00A66A57" w:rsidP="0075767F">
      <w:pPr>
        <w:spacing w:line="240" w:lineRule="auto"/>
        <w:jc w:val="both"/>
        <w:rPr>
          <w:rFonts w:ascii="Arial" w:hAnsi="Arial" w:cs="Arial"/>
          <w:sz w:val="20"/>
          <w:lang w:val="en-US"/>
        </w:rPr>
      </w:pPr>
      <w:r w:rsidRPr="009C4E48">
        <w:rPr>
          <w:rFonts w:ascii="Arial" w:hAnsi="Arial" w:cs="Arial"/>
          <w:b/>
          <w:sz w:val="20"/>
          <w:lang w:val="en-US"/>
        </w:rPr>
        <w:t xml:space="preserve">Supplementary Figure 3 Step-wise deconstruction of porcine intestine decellularization. a </w:t>
      </w:r>
      <w:r w:rsidRPr="009C4E48">
        <w:rPr>
          <w:rFonts w:ascii="Arial" w:hAnsi="Arial" w:cs="Arial"/>
          <w:sz w:val="20"/>
          <w:lang w:val="en-US"/>
        </w:rPr>
        <w:t xml:space="preserve">Illustration of the decellularization process used for the production of the SISser. Encircled numbers correlate to the process step at which samples were taken and </w:t>
      </w:r>
      <w:r w:rsidR="00283539" w:rsidRPr="009C4E48">
        <w:rPr>
          <w:rFonts w:ascii="Arial" w:hAnsi="Arial" w:cs="Arial"/>
          <w:sz w:val="20"/>
          <w:lang w:val="en-US"/>
        </w:rPr>
        <w:t>analyzed</w:t>
      </w:r>
      <w:r w:rsidRPr="009C4E48">
        <w:rPr>
          <w:rFonts w:ascii="Arial" w:hAnsi="Arial" w:cs="Arial"/>
          <w:sz w:val="20"/>
          <w:lang w:val="en-US"/>
        </w:rPr>
        <w:t xml:space="preserve">. </w:t>
      </w:r>
      <w:r w:rsidRPr="009C4E48">
        <w:rPr>
          <w:rFonts w:ascii="Arial" w:hAnsi="Arial" w:cs="Arial"/>
          <w:b/>
          <w:sz w:val="20"/>
          <w:lang w:val="en-US"/>
        </w:rPr>
        <w:t>b</w:t>
      </w:r>
      <w:r w:rsidRPr="009C4E48">
        <w:rPr>
          <w:rFonts w:ascii="Arial" w:hAnsi="Arial" w:cs="Arial"/>
          <w:sz w:val="20"/>
          <w:lang w:val="en-US"/>
        </w:rPr>
        <w:t xml:space="preserve"> Tissue sections taken at different time points of decellularization and stained with Haematoxylin and Eosin (H&amp;E) (upper panel), Feulgen (middle panel) and an antibody against laminin (red), counterstained with DAPI (grey) (lower panel). </w:t>
      </w:r>
      <w:r w:rsidRPr="009C4E48">
        <w:rPr>
          <w:rFonts w:ascii="Arial" w:hAnsi="Arial" w:cs="Arial"/>
          <w:b/>
          <w:sz w:val="20"/>
          <w:lang w:val="en-US"/>
        </w:rPr>
        <w:t>c</w:t>
      </w:r>
      <w:r w:rsidRPr="009C4E48">
        <w:rPr>
          <w:rFonts w:ascii="Arial" w:hAnsi="Arial" w:cs="Arial"/>
          <w:sz w:val="20"/>
          <w:lang w:val="en-US"/>
        </w:rPr>
        <w:t xml:space="preserve"> Bar graph showing the amount of DNA per mg dry weight at different time points of intestine decellularization. Data are shown as mean ± SD (n=2). </w:t>
      </w:r>
      <w:r w:rsidRPr="009C4E48">
        <w:rPr>
          <w:rFonts w:ascii="Arial" w:hAnsi="Arial" w:cs="Arial"/>
          <w:b/>
          <w:sz w:val="20"/>
          <w:lang w:val="en-US"/>
        </w:rPr>
        <w:t>d</w:t>
      </w:r>
      <w:r w:rsidRPr="009C4E48">
        <w:rPr>
          <w:rFonts w:ascii="Arial" w:hAnsi="Arial" w:cs="Arial"/>
          <w:sz w:val="20"/>
          <w:lang w:val="en-US"/>
        </w:rPr>
        <w:t xml:space="preserve"> Samples of isolated DNA of the respective </w:t>
      </w:r>
      <w:r w:rsidRPr="009C4E48">
        <w:rPr>
          <w:rFonts w:ascii="Arial" w:hAnsi="Arial" w:cs="Arial"/>
          <w:sz w:val="20"/>
          <w:lang w:val="en-US"/>
        </w:rPr>
        <w:lastRenderedPageBreak/>
        <w:t>differentiation time points</w:t>
      </w:r>
      <w:r w:rsidR="0075767F" w:rsidRPr="009C4E48">
        <w:rPr>
          <w:rFonts w:ascii="Arial" w:hAnsi="Arial" w:cs="Arial"/>
          <w:sz w:val="20"/>
          <w:lang w:val="en-US"/>
        </w:rPr>
        <w:t xml:space="preserve"> separated on an agarose gel. The presented images present only parts of the original gels. The uncropped images can be found in Supplementary figure 4.</w:t>
      </w:r>
    </w:p>
    <w:p w14:paraId="027C071B" w14:textId="0F3101E1" w:rsidR="00B469BA" w:rsidRDefault="00B469BA">
      <w:pPr>
        <w:rPr>
          <w:b/>
          <w:lang w:val="en-US"/>
        </w:rPr>
      </w:pPr>
    </w:p>
    <w:p w14:paraId="6621C823" w14:textId="77777777" w:rsidR="00B469BA" w:rsidRDefault="00B469BA">
      <w:pPr>
        <w:rPr>
          <w:b/>
          <w:lang w:val="en-US"/>
        </w:rPr>
      </w:pPr>
    </w:p>
    <w:p w14:paraId="32C96FA1" w14:textId="4FD3B9CA" w:rsidR="00D90FDE" w:rsidRPr="00B469BA" w:rsidRDefault="00B469BA">
      <w:pPr>
        <w:rPr>
          <w:rFonts w:ascii="Arial" w:hAnsi="Arial" w:cs="Arial"/>
          <w:b/>
          <w:lang w:val="en-US"/>
        </w:rPr>
      </w:pPr>
      <w:r>
        <w:rPr>
          <w:b/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049C4955" wp14:editId="18E16BE4">
            <wp:simplePos x="0" y="0"/>
            <wp:positionH relativeFrom="margin">
              <wp:align>left</wp:align>
            </wp:positionH>
            <wp:positionV relativeFrom="paragraph">
              <wp:posOffset>297604</wp:posOffset>
            </wp:positionV>
            <wp:extent cx="5760000" cy="5455304"/>
            <wp:effectExtent l="0" t="0" r="0" b="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lementary Figure 4_agarose gels_500 dpi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8" r="4762"/>
                    <a:stretch/>
                  </pic:blipFill>
                  <pic:spPr bwMode="auto">
                    <a:xfrm>
                      <a:off x="0" y="0"/>
                      <a:ext cx="5760000" cy="54553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lang w:val="en-US"/>
        </w:rPr>
        <w:t>Supplementary Figure 4</w:t>
      </w:r>
    </w:p>
    <w:p w14:paraId="4DC4BA6F" w14:textId="77777777" w:rsidR="00B469BA" w:rsidRDefault="00B469BA" w:rsidP="0075767F">
      <w:pPr>
        <w:spacing w:line="240" w:lineRule="auto"/>
        <w:jc w:val="both"/>
        <w:rPr>
          <w:rFonts w:cstheme="minorHAnsi"/>
          <w:b/>
          <w:lang w:val="en-US"/>
        </w:rPr>
      </w:pPr>
      <w:bookmarkStart w:id="0" w:name="_GoBack"/>
      <w:bookmarkEnd w:id="0"/>
    </w:p>
    <w:p w14:paraId="6EE956D5" w14:textId="66726620" w:rsidR="00A66A57" w:rsidRPr="009C4E48" w:rsidRDefault="00D90FDE" w:rsidP="0075767F">
      <w:pPr>
        <w:spacing w:line="240" w:lineRule="auto"/>
        <w:jc w:val="both"/>
        <w:rPr>
          <w:rFonts w:ascii="Arial" w:hAnsi="Arial" w:cs="Arial"/>
          <w:sz w:val="20"/>
          <w:lang w:val="en-US"/>
        </w:rPr>
      </w:pPr>
      <w:r w:rsidRPr="009C4E48">
        <w:rPr>
          <w:rFonts w:ascii="Arial" w:hAnsi="Arial" w:cs="Arial"/>
          <w:b/>
          <w:sz w:val="20"/>
          <w:lang w:val="en-US"/>
        </w:rPr>
        <w:t>Supplementary Figure 4</w:t>
      </w:r>
      <w:r w:rsidR="00B469BA" w:rsidRPr="009C4E48">
        <w:rPr>
          <w:rFonts w:ascii="Arial" w:hAnsi="Arial" w:cs="Arial"/>
          <w:b/>
          <w:sz w:val="20"/>
          <w:lang w:val="en-US"/>
        </w:rPr>
        <w:t xml:space="preserve"> Full length </w:t>
      </w:r>
      <w:r w:rsidRPr="009C4E48">
        <w:rPr>
          <w:rFonts w:ascii="Arial" w:hAnsi="Arial" w:cs="Arial"/>
          <w:b/>
          <w:sz w:val="20"/>
          <w:lang w:val="en-US"/>
        </w:rPr>
        <w:t xml:space="preserve">agarose gels. </w:t>
      </w:r>
      <w:r w:rsidRPr="009C4E48">
        <w:rPr>
          <w:rFonts w:ascii="Arial" w:hAnsi="Arial" w:cs="Arial"/>
          <w:sz w:val="20"/>
          <w:lang w:val="en-US"/>
        </w:rPr>
        <w:t>Gels loaded with DNA isolated from the re</w:t>
      </w:r>
      <w:r w:rsidR="00B469BA" w:rsidRPr="009C4E48">
        <w:rPr>
          <w:rFonts w:ascii="Arial" w:hAnsi="Arial" w:cs="Arial"/>
          <w:sz w:val="20"/>
          <w:lang w:val="en-US"/>
        </w:rPr>
        <w:t xml:space="preserve">spective samples. # refers to </w:t>
      </w:r>
      <w:r w:rsidRPr="009C4E48">
        <w:rPr>
          <w:rFonts w:ascii="Arial" w:hAnsi="Arial" w:cs="Arial"/>
          <w:sz w:val="20"/>
          <w:lang w:val="en-US"/>
        </w:rPr>
        <w:t>biological replicate</w:t>
      </w:r>
      <w:r w:rsidR="00B469BA" w:rsidRPr="009C4E48">
        <w:rPr>
          <w:rFonts w:ascii="Arial" w:hAnsi="Arial" w:cs="Arial"/>
          <w:sz w:val="20"/>
          <w:lang w:val="en-US"/>
        </w:rPr>
        <w:t>s</w:t>
      </w:r>
      <w:r w:rsidRPr="009C4E48">
        <w:rPr>
          <w:rFonts w:ascii="Arial" w:hAnsi="Arial" w:cs="Arial"/>
          <w:sz w:val="20"/>
          <w:lang w:val="en-US"/>
        </w:rPr>
        <w:t xml:space="preserve">, whereas P1-7, L1-6 and S1-4 refer to different time points during the decellularization experiment. </w:t>
      </w:r>
      <w:r w:rsidR="00B469BA" w:rsidRPr="009C4E48">
        <w:rPr>
          <w:rFonts w:ascii="Arial" w:hAnsi="Arial" w:cs="Arial"/>
          <w:sz w:val="20"/>
          <w:lang w:val="en-US"/>
        </w:rPr>
        <w:t>Color-coded</w:t>
      </w:r>
      <w:r w:rsidRPr="009C4E48">
        <w:rPr>
          <w:rFonts w:ascii="Arial" w:hAnsi="Arial" w:cs="Arial"/>
          <w:sz w:val="20"/>
          <w:lang w:val="en-US"/>
        </w:rPr>
        <w:t xml:space="preserve"> triangles </w:t>
      </w:r>
      <w:r w:rsidR="00B469BA" w:rsidRPr="009C4E48">
        <w:rPr>
          <w:rFonts w:ascii="Arial" w:hAnsi="Arial" w:cs="Arial"/>
          <w:sz w:val="20"/>
          <w:lang w:val="en-US"/>
        </w:rPr>
        <w:t>mark</w:t>
      </w:r>
      <w:r w:rsidRPr="009C4E48">
        <w:rPr>
          <w:rFonts w:ascii="Arial" w:hAnsi="Arial" w:cs="Arial"/>
          <w:sz w:val="20"/>
          <w:lang w:val="en-US"/>
        </w:rPr>
        <w:t xml:space="preserve"> lanes</w:t>
      </w:r>
      <w:r w:rsidR="00B469BA" w:rsidRPr="009C4E48">
        <w:rPr>
          <w:rFonts w:ascii="Arial" w:hAnsi="Arial" w:cs="Arial"/>
          <w:sz w:val="20"/>
          <w:lang w:val="en-US"/>
        </w:rPr>
        <w:t xml:space="preserve"> that are presented</w:t>
      </w:r>
      <w:r w:rsidRPr="009C4E48">
        <w:rPr>
          <w:rFonts w:ascii="Arial" w:hAnsi="Arial" w:cs="Arial"/>
          <w:sz w:val="20"/>
          <w:lang w:val="en-US"/>
        </w:rPr>
        <w:t xml:space="preserve"> in another figure</w:t>
      </w:r>
      <w:r w:rsidR="00B469BA" w:rsidRPr="009C4E48">
        <w:rPr>
          <w:rFonts w:ascii="Arial" w:hAnsi="Arial" w:cs="Arial"/>
          <w:sz w:val="20"/>
          <w:lang w:val="en-US"/>
        </w:rPr>
        <w:t xml:space="preserve"> of this manuscript</w:t>
      </w:r>
      <w:r w:rsidRPr="009C4E48">
        <w:rPr>
          <w:rFonts w:ascii="Arial" w:hAnsi="Arial" w:cs="Arial"/>
          <w:sz w:val="20"/>
          <w:lang w:val="en-US"/>
        </w:rPr>
        <w:t>.</w:t>
      </w:r>
    </w:p>
    <w:sectPr w:rsidR="00A66A57" w:rsidRPr="009C4E48" w:rsidSect="009C4E48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AE073C" w14:textId="77777777" w:rsidR="009B1ED2" w:rsidRDefault="009B1ED2" w:rsidP="00B469BA">
      <w:pPr>
        <w:spacing w:after="0" w:line="240" w:lineRule="auto"/>
      </w:pPr>
      <w:r>
        <w:separator/>
      </w:r>
    </w:p>
  </w:endnote>
  <w:endnote w:type="continuationSeparator" w:id="0">
    <w:p w14:paraId="06C35FCE" w14:textId="77777777" w:rsidR="009B1ED2" w:rsidRDefault="009B1ED2" w:rsidP="00B46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E83B27" w14:textId="77777777" w:rsidR="009B1ED2" w:rsidRDefault="009B1ED2" w:rsidP="00B469BA">
      <w:pPr>
        <w:spacing w:after="0" w:line="240" w:lineRule="auto"/>
      </w:pPr>
      <w:r>
        <w:separator/>
      </w:r>
    </w:p>
  </w:footnote>
  <w:footnote w:type="continuationSeparator" w:id="0">
    <w:p w14:paraId="14188A38" w14:textId="77777777" w:rsidR="009B1ED2" w:rsidRDefault="009B1ED2" w:rsidP="00B469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A57"/>
    <w:rsid w:val="001A7D99"/>
    <w:rsid w:val="00283539"/>
    <w:rsid w:val="0075767F"/>
    <w:rsid w:val="009B1ED2"/>
    <w:rsid w:val="009C4E48"/>
    <w:rsid w:val="009D43C1"/>
    <w:rsid w:val="00A14EF9"/>
    <w:rsid w:val="00A66A57"/>
    <w:rsid w:val="00A85E72"/>
    <w:rsid w:val="00B469BA"/>
    <w:rsid w:val="00D90FDE"/>
    <w:rsid w:val="00F6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51CDB"/>
  <w15:chartTrackingRefBased/>
  <w15:docId w15:val="{94696E94-FBA9-468E-8BC6-58C9A15A3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9D43C1"/>
    <w:pPr>
      <w:tabs>
        <w:tab w:val="left" w:pos="340"/>
      </w:tabs>
      <w:spacing w:after="0" w:line="240" w:lineRule="auto"/>
      <w:ind w:left="340" w:hanging="340"/>
    </w:pPr>
    <w:rPr>
      <w:rFonts w:ascii="Arial" w:hAnsi="Arial" w:cs="Arial"/>
      <w:sz w:val="20"/>
      <w:lang w:val="en-US"/>
    </w:r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9D43C1"/>
    <w:rPr>
      <w:rFonts w:ascii="Arial" w:hAnsi="Arial" w:cs="Arial"/>
      <w:sz w:val="20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66A5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66A57"/>
    <w:pPr>
      <w:spacing w:line="240" w:lineRule="auto"/>
    </w:pPr>
    <w:rPr>
      <w:sz w:val="20"/>
      <w:szCs w:val="20"/>
      <w:lang w:val="en-GB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66A57"/>
    <w:rPr>
      <w:sz w:val="20"/>
      <w:szCs w:val="20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6A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6A57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B469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469BA"/>
  </w:style>
  <w:style w:type="paragraph" w:styleId="Fuzeile">
    <w:name w:val="footer"/>
    <w:basedOn w:val="Standard"/>
    <w:link w:val="FuzeileZchn"/>
    <w:uiPriority w:val="99"/>
    <w:unhideWhenUsed/>
    <w:rsid w:val="00B469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46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453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Universitaet Wuerzburg</Company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 Berger</dc:creator>
  <cp:keywords/>
  <dc:description/>
  <cp:lastModifiedBy>Constantin Berger</cp:lastModifiedBy>
  <cp:revision>7</cp:revision>
  <dcterms:created xsi:type="dcterms:W3CDTF">2023-11-29T15:52:00Z</dcterms:created>
  <dcterms:modified xsi:type="dcterms:W3CDTF">2023-12-01T08:11:00Z</dcterms:modified>
</cp:coreProperties>
</file>