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735C2" w14:textId="77777777" w:rsidR="000861F9" w:rsidRDefault="000861F9" w:rsidP="000861F9">
      <w:pPr>
        <w:spacing w:line="360" w:lineRule="auto"/>
        <w:jc w:val="both"/>
        <w:rPr>
          <w:b/>
          <w:sz w:val="24"/>
          <w:szCs w:val="24"/>
        </w:rPr>
      </w:pPr>
      <w:r>
        <w:rPr>
          <w:b/>
          <w:sz w:val="24"/>
          <w:szCs w:val="24"/>
        </w:rPr>
        <w:t>Supplementary materials</w:t>
      </w:r>
    </w:p>
    <w:p w14:paraId="11860D79" w14:textId="77777777" w:rsidR="000861F9" w:rsidRDefault="000861F9" w:rsidP="000861F9">
      <w:pPr>
        <w:spacing w:line="360" w:lineRule="auto"/>
        <w:jc w:val="both"/>
        <w:rPr>
          <w:b/>
          <w:sz w:val="24"/>
          <w:szCs w:val="24"/>
        </w:rPr>
      </w:pPr>
      <w:r>
        <w:rPr>
          <w:b/>
          <w:sz w:val="24"/>
          <w:szCs w:val="24"/>
        </w:rPr>
        <w:t>Supplementary Results</w:t>
      </w:r>
    </w:p>
    <w:p w14:paraId="1554E286" w14:textId="0B17827B" w:rsidR="00FF6973" w:rsidRDefault="00FF6973" w:rsidP="000861F9">
      <w:pPr>
        <w:spacing w:line="360" w:lineRule="auto"/>
        <w:jc w:val="both"/>
        <w:rPr>
          <w:b/>
          <w:sz w:val="24"/>
          <w:szCs w:val="24"/>
        </w:rPr>
      </w:pPr>
      <w:r>
        <w:rPr>
          <w:b/>
          <w:sz w:val="24"/>
          <w:szCs w:val="24"/>
        </w:rPr>
        <w:t xml:space="preserve">Sample collection and data </w:t>
      </w:r>
      <w:r>
        <w:rPr>
          <w:rFonts w:hint="eastAsia"/>
          <w:b/>
          <w:sz w:val="24"/>
          <w:szCs w:val="24"/>
        </w:rPr>
        <w:t>profile</w:t>
      </w:r>
    </w:p>
    <w:p w14:paraId="55A3B336" w14:textId="6293E424" w:rsidR="00F70F60" w:rsidRDefault="00F70F60" w:rsidP="00FF6973">
      <w:pPr>
        <w:spacing w:after="240" w:line="360" w:lineRule="auto"/>
        <w:jc w:val="both"/>
        <w:rPr>
          <w:sz w:val="24"/>
          <w:szCs w:val="24"/>
        </w:rPr>
      </w:pPr>
      <w:r w:rsidRPr="008C041A">
        <w:rPr>
          <w:sz w:val="24"/>
          <w:szCs w:val="24"/>
        </w:rPr>
        <w:t>During the sampling period, the dietary regimen of the infant macaques underwent systematic modifications. Initially dependent on breast milk, the infants were transitioned to a mixed diet of feed and formula milk. This was followed by the inclusion of additional vitamins and yeast tablets in their feed, before ultimately switching to a diet of feed alone</w:t>
      </w:r>
      <w:r w:rsidRPr="00824C04">
        <w:rPr>
          <w:sz w:val="24"/>
          <w:szCs w:val="24"/>
        </w:rPr>
        <w:t xml:space="preserve">. </w:t>
      </w:r>
      <w:r w:rsidRPr="008C041A">
        <w:rPr>
          <w:sz w:val="24"/>
          <w:szCs w:val="24"/>
        </w:rPr>
        <w:t>Moreover, the housing conditions for the infant macaques underwent sequential modifications: they were in</w:t>
      </w:r>
      <w:bookmarkStart w:id="0" w:name="_GoBack"/>
      <w:bookmarkEnd w:id="0"/>
      <w:r w:rsidRPr="008C041A">
        <w:rPr>
          <w:sz w:val="24"/>
          <w:szCs w:val="24"/>
        </w:rPr>
        <w:t>itially housed with their mothers and adult members, then transitioned to a communal room with all infants, followed by placement in pairs within smaller cages, and ultimately regrouped in a larger room that accommodated 8–12 individuals</w:t>
      </w:r>
      <w:r w:rsidRPr="00824C04">
        <w:rPr>
          <w:sz w:val="24"/>
          <w:szCs w:val="24"/>
        </w:rPr>
        <w:t xml:space="preserve"> (</w:t>
      </w:r>
      <w:r w:rsidRPr="00B31AEB">
        <w:rPr>
          <w:sz w:val="24"/>
          <w:szCs w:val="24"/>
        </w:rPr>
        <w:t>Figure 1A</w:t>
      </w:r>
      <w:r w:rsidRPr="00824C04">
        <w:rPr>
          <w:sz w:val="24"/>
          <w:szCs w:val="24"/>
        </w:rPr>
        <w:t>). To guarantee that the gut microbial development and host gene expression levels of infant macaques were obtained in natural captivity, we did not change the diet, housing conditions, and other natural management, and all these infants were raised precisely the same way as other infants in the captive population.</w:t>
      </w:r>
    </w:p>
    <w:p w14:paraId="2D2350AF" w14:textId="1047063F" w:rsidR="00FF6973" w:rsidRPr="007D60CB" w:rsidRDefault="00FF6973" w:rsidP="007D60CB">
      <w:pPr>
        <w:spacing w:after="240" w:line="360" w:lineRule="auto"/>
        <w:ind w:firstLine="420"/>
        <w:jc w:val="both"/>
        <w:rPr>
          <w:sz w:val="24"/>
          <w:szCs w:val="24"/>
        </w:rPr>
      </w:pPr>
      <w:r w:rsidRPr="00824C04">
        <w:rPr>
          <w:sz w:val="24"/>
          <w:szCs w:val="24"/>
        </w:rPr>
        <w:t xml:space="preserve">To </w:t>
      </w:r>
      <w:r>
        <w:rPr>
          <w:sz w:val="24"/>
          <w:szCs w:val="24"/>
        </w:rPr>
        <w:t>eliminate</w:t>
      </w:r>
      <w:r w:rsidRPr="00824C04">
        <w:rPr>
          <w:sz w:val="24"/>
          <w:szCs w:val="24"/>
        </w:rPr>
        <w:t xml:space="preserve"> </w:t>
      </w:r>
      <w:r>
        <w:rPr>
          <w:sz w:val="24"/>
          <w:szCs w:val="24"/>
        </w:rPr>
        <w:t>errors in</w:t>
      </w:r>
      <w:r w:rsidRPr="00824C04">
        <w:rPr>
          <w:sz w:val="24"/>
          <w:szCs w:val="24"/>
        </w:rPr>
        <w:t xml:space="preserve"> sex </w:t>
      </w:r>
      <w:r>
        <w:rPr>
          <w:sz w:val="24"/>
          <w:szCs w:val="24"/>
        </w:rPr>
        <w:t xml:space="preserve">determination </w:t>
      </w:r>
      <w:r w:rsidRPr="00824C04">
        <w:rPr>
          <w:sz w:val="24"/>
          <w:szCs w:val="24"/>
        </w:rPr>
        <w:t xml:space="preserve">due to hermaphroditism or morphological </w:t>
      </w:r>
      <w:r>
        <w:rPr>
          <w:sz w:val="24"/>
          <w:szCs w:val="24"/>
        </w:rPr>
        <w:t>inaccuracies</w:t>
      </w:r>
      <w:r w:rsidRPr="00824C04">
        <w:rPr>
          <w:sz w:val="24"/>
          <w:szCs w:val="24"/>
        </w:rPr>
        <w:t xml:space="preserve">, </w:t>
      </w:r>
      <w:r>
        <w:rPr>
          <w:sz w:val="24"/>
          <w:szCs w:val="24"/>
        </w:rPr>
        <w:t>sex</w:t>
      </w:r>
      <w:r w:rsidRPr="00824C04">
        <w:rPr>
          <w:sz w:val="24"/>
          <w:szCs w:val="24"/>
        </w:rPr>
        <w:t xml:space="preserve"> incompatibility tes</w:t>
      </w:r>
      <w:r>
        <w:rPr>
          <w:sz w:val="24"/>
          <w:szCs w:val="24"/>
        </w:rPr>
        <w:t xml:space="preserve">ts were performed, confirming that </w:t>
      </w:r>
      <w:r w:rsidRPr="00824C04">
        <w:rPr>
          <w:sz w:val="24"/>
          <w:szCs w:val="24"/>
        </w:rPr>
        <w:t xml:space="preserve">the genetically determined sex </w:t>
      </w:r>
      <w:r>
        <w:rPr>
          <w:sz w:val="24"/>
          <w:szCs w:val="24"/>
        </w:rPr>
        <w:t>for</w:t>
      </w:r>
      <w:r w:rsidRPr="00824C04">
        <w:rPr>
          <w:sz w:val="24"/>
          <w:szCs w:val="24"/>
        </w:rPr>
        <w:t xml:space="preserve"> all individuals </w:t>
      </w:r>
      <w:r>
        <w:rPr>
          <w:sz w:val="24"/>
          <w:szCs w:val="24"/>
        </w:rPr>
        <w:t>aligned</w:t>
      </w:r>
      <w:r w:rsidRPr="00824C04">
        <w:rPr>
          <w:sz w:val="24"/>
          <w:szCs w:val="24"/>
        </w:rPr>
        <w:t xml:space="preserve"> with their morphologically determined </w:t>
      </w:r>
      <w:r>
        <w:rPr>
          <w:sz w:val="24"/>
          <w:szCs w:val="24"/>
        </w:rPr>
        <w:t>sex</w:t>
      </w:r>
      <w:r w:rsidRPr="00824C04">
        <w:rPr>
          <w:sz w:val="24"/>
          <w:szCs w:val="24"/>
        </w:rPr>
        <w:t xml:space="preserve"> </w:t>
      </w:r>
      <w:r w:rsidRPr="00B31AEB">
        <w:rPr>
          <w:sz w:val="24"/>
          <w:szCs w:val="24"/>
        </w:rPr>
        <w:t>(Figure S1A</w:t>
      </w:r>
      <w:r w:rsidRPr="00824C04">
        <w:rPr>
          <w:sz w:val="24"/>
          <w:szCs w:val="24"/>
        </w:rPr>
        <w:t>).</w:t>
      </w:r>
      <w:r>
        <w:rPr>
          <w:sz w:val="24"/>
          <w:szCs w:val="24"/>
        </w:rPr>
        <w:t xml:space="preserve"> </w:t>
      </w:r>
      <w:r w:rsidRPr="004C79B0">
        <w:rPr>
          <w:sz w:val="24"/>
          <w:szCs w:val="24"/>
        </w:rPr>
        <w:t>To quantify the sources of variance, a comprehensive analysis of variance incorporating all covariates was carried out using a mixed linear model at the gene level</w:t>
      </w:r>
      <w:r w:rsidRPr="00824C04">
        <w:rPr>
          <w:sz w:val="24"/>
          <w:szCs w:val="24"/>
        </w:rPr>
        <w:t xml:space="preserve">. </w:t>
      </w:r>
      <w:r>
        <w:rPr>
          <w:sz w:val="24"/>
          <w:szCs w:val="24"/>
        </w:rPr>
        <w:t>R</w:t>
      </w:r>
      <w:r w:rsidRPr="00824C04">
        <w:rPr>
          <w:sz w:val="24"/>
          <w:szCs w:val="24"/>
        </w:rPr>
        <w:t xml:space="preserve">esults showed that </w:t>
      </w:r>
      <w:r>
        <w:rPr>
          <w:sz w:val="24"/>
          <w:szCs w:val="24"/>
        </w:rPr>
        <w:t xml:space="preserve">the </w:t>
      </w:r>
      <w:r w:rsidRPr="00824C04">
        <w:rPr>
          <w:sz w:val="24"/>
          <w:szCs w:val="24"/>
        </w:rPr>
        <w:t xml:space="preserve">“Individual” </w:t>
      </w:r>
      <w:r>
        <w:rPr>
          <w:sz w:val="24"/>
          <w:szCs w:val="24"/>
        </w:rPr>
        <w:t xml:space="preserve">factor </w:t>
      </w:r>
      <w:r w:rsidRPr="00824C04">
        <w:rPr>
          <w:sz w:val="24"/>
          <w:szCs w:val="24"/>
        </w:rPr>
        <w:t>explained the largest proportion of sample variance, followed by “Age” (</w:t>
      </w:r>
      <w:r w:rsidRPr="00B31AEB">
        <w:rPr>
          <w:sz w:val="24"/>
          <w:szCs w:val="24"/>
        </w:rPr>
        <w:t>Figure S1B, Table S2)</w:t>
      </w:r>
      <w:r w:rsidRPr="00824C04">
        <w:rPr>
          <w:sz w:val="24"/>
          <w:szCs w:val="24"/>
        </w:rPr>
        <w:t xml:space="preserve">. </w:t>
      </w:r>
      <w:r w:rsidRPr="00D96197">
        <w:rPr>
          <w:sz w:val="24"/>
          <w:szCs w:val="24"/>
        </w:rPr>
        <w:t>As individual differences are inherent and cannot be eliminated, their effects were minimized by utilizing as many biological replicates as possible at each stage</w:t>
      </w:r>
      <w:r w:rsidRPr="00824C04">
        <w:rPr>
          <w:rFonts w:hint="eastAsia"/>
          <w:sz w:val="24"/>
          <w:szCs w:val="24"/>
        </w:rPr>
        <w:t>.</w:t>
      </w:r>
      <w:r w:rsidRPr="00824C04">
        <w:rPr>
          <w:sz w:val="24"/>
          <w:szCs w:val="24"/>
        </w:rPr>
        <w:t xml:space="preserve"> </w:t>
      </w:r>
      <w:r>
        <w:rPr>
          <w:sz w:val="24"/>
          <w:szCs w:val="24"/>
        </w:rPr>
        <w:t>Consequently</w:t>
      </w:r>
      <w:r w:rsidRPr="00824C04">
        <w:rPr>
          <w:sz w:val="24"/>
          <w:szCs w:val="24"/>
        </w:rPr>
        <w:t xml:space="preserve">, “Age” </w:t>
      </w:r>
      <w:r>
        <w:rPr>
          <w:sz w:val="24"/>
          <w:szCs w:val="24"/>
        </w:rPr>
        <w:t>emerged</w:t>
      </w:r>
      <w:r w:rsidRPr="00824C04">
        <w:rPr>
          <w:sz w:val="24"/>
          <w:szCs w:val="24"/>
        </w:rPr>
        <w:t xml:space="preserve"> as the primary </w:t>
      </w:r>
      <w:r>
        <w:rPr>
          <w:sz w:val="24"/>
          <w:szCs w:val="24"/>
        </w:rPr>
        <w:t xml:space="preserve">determinant of variations </w:t>
      </w:r>
      <w:r w:rsidRPr="00824C04">
        <w:rPr>
          <w:sz w:val="24"/>
          <w:szCs w:val="24"/>
        </w:rPr>
        <w:t xml:space="preserve">in gene expression. Weighted gene </w:t>
      </w:r>
      <w:proofErr w:type="spellStart"/>
      <w:r w:rsidRPr="00824C04">
        <w:rPr>
          <w:sz w:val="24"/>
          <w:szCs w:val="24"/>
        </w:rPr>
        <w:t>coexpression</w:t>
      </w:r>
      <w:proofErr w:type="spellEnd"/>
      <w:r w:rsidRPr="00824C04">
        <w:rPr>
          <w:sz w:val="24"/>
          <w:szCs w:val="24"/>
        </w:rPr>
        <w:t xml:space="preserve"> network analysis (WGCNA) was also performed to construct </w:t>
      </w:r>
      <w:proofErr w:type="spellStart"/>
      <w:r w:rsidRPr="00824C04">
        <w:rPr>
          <w:sz w:val="24"/>
          <w:szCs w:val="24"/>
        </w:rPr>
        <w:t>coexpression</w:t>
      </w:r>
      <w:proofErr w:type="spellEnd"/>
      <w:r w:rsidRPr="00824C04">
        <w:rPr>
          <w:sz w:val="24"/>
          <w:szCs w:val="24"/>
        </w:rPr>
        <w:t xml:space="preserve"> gene </w:t>
      </w:r>
      <w:bookmarkStart w:id="1" w:name="OLE_LINK116"/>
      <w:r w:rsidRPr="00824C04">
        <w:rPr>
          <w:sz w:val="24"/>
          <w:szCs w:val="24"/>
        </w:rPr>
        <w:t>module</w:t>
      </w:r>
      <w:r>
        <w:rPr>
          <w:sz w:val="24"/>
          <w:szCs w:val="24"/>
        </w:rPr>
        <w:t>s</w:t>
      </w:r>
      <w:r w:rsidRPr="00824C04">
        <w:rPr>
          <w:sz w:val="24"/>
          <w:szCs w:val="24"/>
        </w:rPr>
        <w:t xml:space="preserve"> </w:t>
      </w:r>
      <w:bookmarkEnd w:id="1"/>
      <w:r w:rsidRPr="00824C04">
        <w:rPr>
          <w:sz w:val="24"/>
          <w:szCs w:val="24"/>
        </w:rPr>
        <w:t>and identif</w:t>
      </w:r>
      <w:r>
        <w:rPr>
          <w:sz w:val="24"/>
          <w:szCs w:val="24"/>
        </w:rPr>
        <w:t>y</w:t>
      </w:r>
      <w:r w:rsidRPr="00824C04">
        <w:rPr>
          <w:sz w:val="24"/>
          <w:szCs w:val="24"/>
        </w:rPr>
        <w:t xml:space="preserve"> the correlation between </w:t>
      </w:r>
      <w:r>
        <w:rPr>
          <w:sz w:val="24"/>
          <w:szCs w:val="24"/>
        </w:rPr>
        <w:t>these</w:t>
      </w:r>
      <w:r w:rsidRPr="00824C04">
        <w:rPr>
          <w:sz w:val="24"/>
          <w:szCs w:val="24"/>
        </w:rPr>
        <w:t xml:space="preserve"> module</w:t>
      </w:r>
      <w:r>
        <w:rPr>
          <w:sz w:val="24"/>
          <w:szCs w:val="24"/>
        </w:rPr>
        <w:t>s</w:t>
      </w:r>
      <w:r w:rsidRPr="00824C04">
        <w:rPr>
          <w:sz w:val="24"/>
          <w:szCs w:val="24"/>
        </w:rPr>
        <w:t xml:space="preserve"> and age or other covariates </w:t>
      </w:r>
      <w:r w:rsidRPr="00B31AEB">
        <w:rPr>
          <w:sz w:val="24"/>
          <w:szCs w:val="24"/>
        </w:rPr>
        <w:t xml:space="preserve">(see Supplementary </w:t>
      </w:r>
      <w:r>
        <w:rPr>
          <w:sz w:val="24"/>
          <w:szCs w:val="24"/>
        </w:rPr>
        <w:t>R</w:t>
      </w:r>
      <w:r w:rsidRPr="00B31AEB">
        <w:rPr>
          <w:sz w:val="24"/>
          <w:szCs w:val="24"/>
        </w:rPr>
        <w:t>esults, Figure S2)</w:t>
      </w:r>
      <w:r w:rsidRPr="00824C04">
        <w:rPr>
          <w:sz w:val="24"/>
          <w:szCs w:val="24"/>
        </w:rPr>
        <w:t>.</w:t>
      </w:r>
    </w:p>
    <w:p w14:paraId="5EBFA50F" w14:textId="77777777" w:rsidR="000861F9" w:rsidRDefault="000861F9" w:rsidP="000861F9">
      <w:pPr>
        <w:spacing w:line="360" w:lineRule="auto"/>
        <w:jc w:val="both"/>
        <w:rPr>
          <w:b/>
          <w:sz w:val="24"/>
          <w:szCs w:val="24"/>
        </w:rPr>
      </w:pPr>
      <w:r>
        <w:rPr>
          <w:b/>
          <w:sz w:val="24"/>
          <w:szCs w:val="24"/>
        </w:rPr>
        <w:t>Transcriptome processing</w:t>
      </w:r>
    </w:p>
    <w:p w14:paraId="792C22F0" w14:textId="0CFCB521" w:rsidR="000861F9" w:rsidRDefault="000861F9" w:rsidP="000861F9">
      <w:pPr>
        <w:spacing w:line="360" w:lineRule="auto"/>
        <w:jc w:val="both"/>
        <w:rPr>
          <w:sz w:val="24"/>
          <w:szCs w:val="24"/>
        </w:rPr>
      </w:pPr>
      <w:r>
        <w:rPr>
          <w:sz w:val="24"/>
          <w:szCs w:val="24"/>
        </w:rPr>
        <w:t>After quality control, we obtain</w:t>
      </w:r>
      <w:r w:rsidRPr="002A41FF">
        <w:rPr>
          <w:sz w:val="24"/>
          <w:szCs w:val="24"/>
        </w:rPr>
        <w:t xml:space="preserve">ed an average of </w:t>
      </w:r>
      <w:r w:rsidR="002A41FF" w:rsidRPr="002A41FF">
        <w:rPr>
          <w:rFonts w:hint="eastAsia"/>
          <w:sz w:val="24"/>
          <w:szCs w:val="24"/>
        </w:rPr>
        <w:t>30,454,196</w:t>
      </w:r>
      <w:r w:rsidRPr="002A41FF">
        <w:rPr>
          <w:sz w:val="24"/>
          <w:szCs w:val="24"/>
        </w:rPr>
        <w:t xml:space="preserve"> high-quality clean </w:t>
      </w:r>
      <w:r w:rsidR="002A41FF" w:rsidRPr="002A41FF">
        <w:rPr>
          <w:sz w:val="24"/>
          <w:szCs w:val="24"/>
        </w:rPr>
        <w:t>read pairs</w:t>
      </w:r>
      <w:r w:rsidRPr="002A41FF">
        <w:rPr>
          <w:sz w:val="24"/>
          <w:szCs w:val="24"/>
        </w:rPr>
        <w:t xml:space="preserve"> for each blood sample. The clean reads were then mapped to the reference genome </w:t>
      </w:r>
      <w:r w:rsidRPr="002A41FF">
        <w:rPr>
          <w:sz w:val="24"/>
          <w:szCs w:val="24"/>
        </w:rPr>
        <w:lastRenderedPageBreak/>
        <w:t>using HISAT2 (see methods) with an average mapping rate of 97.89%. After filtering out the low-expressed genes, we obtained 17,262 expressed genes in the rhesus macaque’s blood transcriptomes, accounting for 49.48% of the total known genes in the rhesus macaque genome (34,884). We plotted the clustering map of the overall transcript expression levels of the samples using screened expression matrix and found significant separation between different stages in infants, and the clustering distance between adjacent stages was also closer (</w:t>
      </w:r>
      <w:bookmarkStart w:id="2" w:name="OLE_LINK6"/>
      <w:bookmarkStart w:id="3" w:name="OLE_LINK5"/>
      <w:r w:rsidRPr="002A41FF">
        <w:rPr>
          <w:sz w:val="24"/>
          <w:szCs w:val="24"/>
        </w:rPr>
        <w:t xml:space="preserve">Figure </w:t>
      </w:r>
      <w:bookmarkEnd w:id="2"/>
      <w:bookmarkEnd w:id="3"/>
      <w:r w:rsidRPr="002A41FF">
        <w:rPr>
          <w:sz w:val="24"/>
          <w:szCs w:val="24"/>
        </w:rPr>
        <w:t>1A).</w:t>
      </w:r>
      <w:r>
        <w:rPr>
          <w:sz w:val="24"/>
          <w:szCs w:val="24"/>
        </w:rPr>
        <w:t xml:space="preserve"> </w:t>
      </w:r>
    </w:p>
    <w:p w14:paraId="2D454002" w14:textId="77777777" w:rsidR="000861F9" w:rsidRDefault="000861F9" w:rsidP="000861F9">
      <w:pPr>
        <w:spacing w:line="360" w:lineRule="auto"/>
        <w:jc w:val="both"/>
        <w:rPr>
          <w:b/>
          <w:sz w:val="24"/>
          <w:szCs w:val="24"/>
        </w:rPr>
      </w:pPr>
      <w:r>
        <w:rPr>
          <w:b/>
          <w:sz w:val="24"/>
          <w:szCs w:val="24"/>
        </w:rPr>
        <w:t xml:space="preserve">Weighted gene co-expression network analysis </w:t>
      </w:r>
    </w:p>
    <w:p w14:paraId="54B55914" w14:textId="030594F3" w:rsidR="000861F9" w:rsidRPr="002A41FF" w:rsidRDefault="000861F9" w:rsidP="000861F9">
      <w:pPr>
        <w:spacing w:line="360" w:lineRule="auto"/>
        <w:jc w:val="both"/>
        <w:rPr>
          <w:sz w:val="24"/>
          <w:szCs w:val="24"/>
        </w:rPr>
      </w:pPr>
      <w:r>
        <w:rPr>
          <w:sz w:val="24"/>
          <w:szCs w:val="24"/>
        </w:rPr>
        <w:t>To gain further insight into the gene expression patterns of infants, we performed the weighted gene co-expression network analysis (WGCNA). The genes with similar expression patterns were clustered, resulting in 18 modules. Then, we calculated the correlation of module and phenotypic data (Age, Sex, and ConditionC1-C4) and found the hub gene in each mod</w:t>
      </w:r>
      <w:r w:rsidRPr="002A41FF">
        <w:rPr>
          <w:sz w:val="24"/>
          <w:szCs w:val="24"/>
        </w:rPr>
        <w:t xml:space="preserve">ule (Figure S2A). Among them, the number of modules significantly correlated with ConditionC1 and ConditionC2 was the highest, with both 11 modules, however, the absolute values of correlation value were all less than 0.7. In all modules, Module </w:t>
      </w:r>
      <w:proofErr w:type="spellStart"/>
      <w:r w:rsidRPr="002A41FF">
        <w:rPr>
          <w:sz w:val="24"/>
          <w:szCs w:val="24"/>
        </w:rPr>
        <w:t>lightcyan</w:t>
      </w:r>
      <w:proofErr w:type="spellEnd"/>
      <w:r w:rsidRPr="002A41FF">
        <w:rPr>
          <w:sz w:val="24"/>
          <w:szCs w:val="24"/>
        </w:rPr>
        <w:t xml:space="preserve"> had the highest correlation value (0.99) with Sex, 77 hub genes were identified, and nearly half of them were located on the sex Chromosome, including several demethylation-related hub genes, such as </w:t>
      </w:r>
      <w:r w:rsidRPr="002A41FF">
        <w:rPr>
          <w:i/>
          <w:sz w:val="24"/>
          <w:szCs w:val="24"/>
        </w:rPr>
        <w:t>KDM6A</w:t>
      </w:r>
      <w:r w:rsidRPr="002A41FF">
        <w:rPr>
          <w:sz w:val="24"/>
          <w:szCs w:val="24"/>
        </w:rPr>
        <w:t xml:space="preserve">, </w:t>
      </w:r>
      <w:r w:rsidRPr="002A41FF">
        <w:rPr>
          <w:i/>
          <w:sz w:val="24"/>
          <w:szCs w:val="24"/>
        </w:rPr>
        <w:t>KDM5C</w:t>
      </w:r>
      <w:r w:rsidRPr="002A41FF">
        <w:rPr>
          <w:sz w:val="24"/>
          <w:szCs w:val="24"/>
        </w:rPr>
        <w:t xml:space="preserve">, and </w:t>
      </w:r>
      <w:r w:rsidRPr="002A41FF">
        <w:rPr>
          <w:i/>
          <w:sz w:val="24"/>
          <w:szCs w:val="24"/>
        </w:rPr>
        <w:t>KDM5D</w:t>
      </w:r>
      <w:r w:rsidRPr="002A41FF">
        <w:rPr>
          <w:sz w:val="24"/>
          <w:szCs w:val="24"/>
        </w:rPr>
        <w:t xml:space="preserve">. In ConditionC4, the module </w:t>
      </w:r>
      <w:proofErr w:type="spellStart"/>
      <w:r w:rsidRPr="002A41FF">
        <w:rPr>
          <w:sz w:val="24"/>
          <w:szCs w:val="24"/>
        </w:rPr>
        <w:t>midnightblue</w:t>
      </w:r>
      <w:proofErr w:type="spellEnd"/>
      <w:r w:rsidRPr="002A41FF">
        <w:rPr>
          <w:sz w:val="24"/>
          <w:szCs w:val="24"/>
        </w:rPr>
        <w:t xml:space="preserve"> with the highest correlation value (0.8934) had 83 hub genes, which enriched in developmental process-related categories, like anatomical structure morphogenesis (GO:0009653), system development (</w:t>
      </w:r>
      <w:hyperlink r:id="rId6" w:tgtFrame="_blank" w:history="1">
        <w:r w:rsidRPr="002A41FF">
          <w:rPr>
            <w:sz w:val="24"/>
            <w:szCs w:val="24"/>
          </w:rPr>
          <w:t>GO:0048731</w:t>
        </w:r>
      </w:hyperlink>
      <w:r w:rsidRPr="002A41FF">
        <w:rPr>
          <w:sz w:val="24"/>
          <w:szCs w:val="24"/>
        </w:rPr>
        <w:t>), and tissue development (</w:t>
      </w:r>
      <w:hyperlink r:id="rId7" w:tgtFrame="_blank" w:history="1">
        <w:r w:rsidRPr="002A41FF">
          <w:rPr>
            <w:sz w:val="24"/>
            <w:szCs w:val="24"/>
          </w:rPr>
          <w:t>GO:0009888</w:t>
        </w:r>
      </w:hyperlink>
      <w:r w:rsidRPr="002A41FF">
        <w:rPr>
          <w:sz w:val="24"/>
          <w:szCs w:val="24"/>
        </w:rPr>
        <w:t xml:space="preserve">) (Figure S2B, Table </w:t>
      </w:r>
      <w:r w:rsidR="0067324F" w:rsidRPr="002A41FF">
        <w:rPr>
          <w:sz w:val="24"/>
          <w:szCs w:val="24"/>
        </w:rPr>
        <w:t>S1</w:t>
      </w:r>
      <w:r w:rsidR="0067324F">
        <w:rPr>
          <w:sz w:val="24"/>
          <w:szCs w:val="24"/>
        </w:rPr>
        <w:t>4</w:t>
      </w:r>
      <w:r w:rsidRPr="002A41FF">
        <w:rPr>
          <w:sz w:val="24"/>
          <w:szCs w:val="24"/>
        </w:rPr>
        <w:t>). Furthermore, ten modules were significantly correlated with the phenotypic Age. Module red was negatively correlated with Age (correlation value = -0.6124) and had 500 hub genes, which were enriched in the peptide biosynthetic process (GO:0043043), amide biosynthetic process (GO:0043604), peptide metabolic process (GO:0006518), cellular macromolecule biosynthetic process (GO:0034645) and other categories related to biosynthesis and metabolism (</w:t>
      </w:r>
      <w:bookmarkStart w:id="4" w:name="OLE_LINK3"/>
      <w:bookmarkStart w:id="5" w:name="OLE_LINK4"/>
      <w:r w:rsidRPr="002A41FF">
        <w:rPr>
          <w:sz w:val="24"/>
          <w:szCs w:val="24"/>
        </w:rPr>
        <w:t xml:space="preserve">Figure </w:t>
      </w:r>
      <w:bookmarkEnd w:id="4"/>
      <w:bookmarkEnd w:id="5"/>
      <w:r w:rsidRPr="002A41FF">
        <w:rPr>
          <w:sz w:val="24"/>
          <w:szCs w:val="24"/>
        </w:rPr>
        <w:t xml:space="preserve">S2C, Table </w:t>
      </w:r>
      <w:r w:rsidR="0067324F" w:rsidRPr="002A41FF">
        <w:rPr>
          <w:sz w:val="24"/>
          <w:szCs w:val="24"/>
        </w:rPr>
        <w:t>S</w:t>
      </w:r>
      <w:r w:rsidR="0067324F">
        <w:rPr>
          <w:sz w:val="24"/>
          <w:szCs w:val="24"/>
        </w:rPr>
        <w:t>15</w:t>
      </w:r>
      <w:r w:rsidRPr="002A41FF">
        <w:rPr>
          <w:sz w:val="24"/>
          <w:szCs w:val="24"/>
        </w:rPr>
        <w:t>).</w:t>
      </w:r>
    </w:p>
    <w:p w14:paraId="4C2731A0" w14:textId="77777777" w:rsidR="000861F9" w:rsidRPr="002A41FF" w:rsidRDefault="000861F9" w:rsidP="000861F9">
      <w:pPr>
        <w:spacing w:line="360" w:lineRule="auto"/>
        <w:jc w:val="both"/>
        <w:rPr>
          <w:b/>
          <w:sz w:val="24"/>
          <w:szCs w:val="24"/>
        </w:rPr>
      </w:pPr>
      <w:r w:rsidRPr="002A41FF">
        <w:rPr>
          <w:b/>
          <w:sz w:val="24"/>
          <w:szCs w:val="24"/>
        </w:rPr>
        <w:t>Gene expression differences between stages in infant macaques</w:t>
      </w:r>
    </w:p>
    <w:p w14:paraId="16A7AD68" w14:textId="082FD339" w:rsidR="000861F9" w:rsidRPr="002A41FF" w:rsidRDefault="000861F9" w:rsidP="000861F9">
      <w:pPr>
        <w:spacing w:line="360" w:lineRule="auto"/>
        <w:jc w:val="both"/>
        <w:rPr>
          <w:sz w:val="24"/>
          <w:szCs w:val="24"/>
        </w:rPr>
      </w:pPr>
      <w:r w:rsidRPr="002A41FF">
        <w:rPr>
          <w:sz w:val="24"/>
          <w:szCs w:val="24"/>
        </w:rPr>
        <w:t xml:space="preserve">We identified the DEGs between any one stage group and six other stages (e.g. </w:t>
      </w:r>
      <w:proofErr w:type="spellStart"/>
      <w:r w:rsidRPr="002A41FF">
        <w:rPr>
          <w:sz w:val="24"/>
          <w:szCs w:val="24"/>
        </w:rPr>
        <w:t>AvsOthers</w:t>
      </w:r>
      <w:proofErr w:type="spellEnd"/>
      <w:r w:rsidRPr="002A41FF">
        <w:rPr>
          <w:sz w:val="24"/>
          <w:szCs w:val="24"/>
        </w:rPr>
        <w:t xml:space="preserve">, Others mean stage B-G; </w:t>
      </w:r>
      <w:proofErr w:type="spellStart"/>
      <w:r w:rsidRPr="002A41FF">
        <w:rPr>
          <w:sz w:val="24"/>
          <w:szCs w:val="24"/>
        </w:rPr>
        <w:t>BvsOthers</w:t>
      </w:r>
      <w:proofErr w:type="spellEnd"/>
      <w:r w:rsidRPr="002A41FF">
        <w:rPr>
          <w:sz w:val="24"/>
          <w:szCs w:val="24"/>
        </w:rPr>
        <w:t xml:space="preserve">, Others mean stage A and stage C-G) and between any two stages (e.g. </w:t>
      </w:r>
      <w:proofErr w:type="spellStart"/>
      <w:r w:rsidRPr="002A41FF">
        <w:rPr>
          <w:sz w:val="24"/>
          <w:szCs w:val="24"/>
        </w:rPr>
        <w:t>AvsB</w:t>
      </w:r>
      <w:proofErr w:type="spellEnd"/>
      <w:r w:rsidRPr="002A41FF">
        <w:rPr>
          <w:sz w:val="24"/>
          <w:szCs w:val="24"/>
        </w:rPr>
        <w:t xml:space="preserve">, </w:t>
      </w:r>
      <w:proofErr w:type="spellStart"/>
      <w:r w:rsidRPr="002A41FF">
        <w:rPr>
          <w:sz w:val="24"/>
          <w:szCs w:val="24"/>
        </w:rPr>
        <w:t>BvsF</w:t>
      </w:r>
      <w:proofErr w:type="spellEnd"/>
      <w:r w:rsidRPr="002A41FF">
        <w:rPr>
          <w:sz w:val="24"/>
          <w:szCs w:val="24"/>
        </w:rPr>
        <w:t xml:space="preserve">, </w:t>
      </w:r>
      <w:proofErr w:type="spellStart"/>
      <w:r w:rsidRPr="002A41FF">
        <w:rPr>
          <w:sz w:val="24"/>
          <w:szCs w:val="24"/>
        </w:rPr>
        <w:t>CvsF</w:t>
      </w:r>
      <w:proofErr w:type="spellEnd"/>
      <w:r w:rsidRPr="002A41FF">
        <w:rPr>
          <w:sz w:val="24"/>
          <w:szCs w:val="24"/>
        </w:rPr>
        <w:t xml:space="preserve">), with the absolute value of </w:t>
      </w:r>
      <w:proofErr w:type="spellStart"/>
      <w:r w:rsidRPr="002A41FF">
        <w:rPr>
          <w:sz w:val="24"/>
          <w:szCs w:val="24"/>
        </w:rPr>
        <w:t>logFC</w:t>
      </w:r>
      <w:proofErr w:type="spellEnd"/>
      <w:r w:rsidRPr="002A41FF">
        <w:rPr>
          <w:sz w:val="24"/>
          <w:szCs w:val="24"/>
        </w:rPr>
        <w:t xml:space="preserve"> &gt;1 and </w:t>
      </w:r>
      <w:r w:rsidR="009F387E" w:rsidRPr="002A41FF">
        <w:rPr>
          <w:iCs/>
          <w:sz w:val="24"/>
          <w:szCs w:val="24"/>
        </w:rPr>
        <w:t>FDR</w:t>
      </w:r>
      <w:r w:rsidRPr="002A41FF">
        <w:rPr>
          <w:sz w:val="24"/>
          <w:szCs w:val="24"/>
        </w:rPr>
        <w:t xml:space="preserve"> &lt; 0.01, to reveal the gene expression differences between stages. In the results of DEGs between any one stage group and six other stages, group </w:t>
      </w:r>
      <w:proofErr w:type="spellStart"/>
      <w:r w:rsidRPr="002A41FF">
        <w:rPr>
          <w:sz w:val="24"/>
          <w:szCs w:val="24"/>
        </w:rPr>
        <w:t>CvsOthers</w:t>
      </w:r>
      <w:proofErr w:type="spellEnd"/>
      <w:r w:rsidRPr="002A41FF">
        <w:rPr>
          <w:sz w:val="24"/>
          <w:szCs w:val="24"/>
        </w:rPr>
        <w:t xml:space="preserve"> </w:t>
      </w:r>
      <w:r w:rsidRPr="002A41FF">
        <w:rPr>
          <w:sz w:val="24"/>
          <w:szCs w:val="24"/>
        </w:rPr>
        <w:lastRenderedPageBreak/>
        <w:t xml:space="preserve">had the highest number of DEGs (452), while group </w:t>
      </w:r>
      <w:proofErr w:type="spellStart"/>
      <w:r w:rsidRPr="002A41FF">
        <w:rPr>
          <w:sz w:val="24"/>
          <w:szCs w:val="24"/>
        </w:rPr>
        <w:t>FvsOthers</w:t>
      </w:r>
      <w:proofErr w:type="spellEnd"/>
      <w:r w:rsidRPr="002A41FF">
        <w:rPr>
          <w:sz w:val="24"/>
          <w:szCs w:val="24"/>
        </w:rPr>
        <w:t xml:space="preserve"> had the lowest DEGs (184) (Figure 2</w:t>
      </w:r>
      <w:proofErr w:type="gramStart"/>
      <w:r w:rsidRPr="002A41FF">
        <w:rPr>
          <w:sz w:val="24"/>
          <w:szCs w:val="24"/>
        </w:rPr>
        <w:t>C )</w:t>
      </w:r>
      <w:proofErr w:type="gramEnd"/>
      <w:r w:rsidRPr="002A41FF">
        <w:rPr>
          <w:sz w:val="24"/>
          <w:szCs w:val="24"/>
        </w:rPr>
        <w:t xml:space="preserve">. Besides, group </w:t>
      </w:r>
      <w:proofErr w:type="spellStart"/>
      <w:r w:rsidRPr="002A41FF">
        <w:rPr>
          <w:sz w:val="24"/>
          <w:szCs w:val="24"/>
        </w:rPr>
        <w:t>CvsOthers</w:t>
      </w:r>
      <w:proofErr w:type="spellEnd"/>
      <w:r w:rsidRPr="002A41FF">
        <w:rPr>
          <w:sz w:val="24"/>
          <w:szCs w:val="24"/>
        </w:rPr>
        <w:t xml:space="preserve"> had the highest number of 378 up-regulated DEGs (both up- and down-regulated refer to the former stage relative to the latter stage), while group </w:t>
      </w:r>
      <w:proofErr w:type="spellStart"/>
      <w:r w:rsidRPr="002A41FF">
        <w:rPr>
          <w:sz w:val="24"/>
          <w:szCs w:val="24"/>
        </w:rPr>
        <w:t>GvsOthers</w:t>
      </w:r>
      <w:proofErr w:type="spellEnd"/>
      <w:r w:rsidRPr="002A41FF">
        <w:rPr>
          <w:sz w:val="24"/>
          <w:szCs w:val="24"/>
        </w:rPr>
        <w:t xml:space="preserve"> had the highest number of 262 down-regulated DEGs. Specially, we found that the expression level of various DEGs in group </w:t>
      </w:r>
      <w:proofErr w:type="spellStart"/>
      <w:r w:rsidRPr="002A41FF">
        <w:rPr>
          <w:sz w:val="24"/>
          <w:szCs w:val="24"/>
        </w:rPr>
        <w:t>EvsOthers</w:t>
      </w:r>
      <w:proofErr w:type="spellEnd"/>
      <w:r w:rsidRPr="002A41FF">
        <w:rPr>
          <w:sz w:val="24"/>
          <w:szCs w:val="24"/>
        </w:rPr>
        <w:t xml:space="preserve"> was obviously elevated, with highly </w:t>
      </w:r>
      <w:proofErr w:type="spellStart"/>
      <w:r w:rsidRPr="002A41FF">
        <w:rPr>
          <w:sz w:val="24"/>
          <w:szCs w:val="24"/>
        </w:rPr>
        <w:t>logFC</w:t>
      </w:r>
      <w:proofErr w:type="spellEnd"/>
      <w:r w:rsidRPr="002A41FF">
        <w:rPr>
          <w:sz w:val="24"/>
          <w:szCs w:val="24"/>
        </w:rPr>
        <w:t xml:space="preserve"> value (Figure </w:t>
      </w:r>
      <w:r w:rsidR="0067324F" w:rsidRPr="002A41FF">
        <w:rPr>
          <w:sz w:val="24"/>
          <w:szCs w:val="24"/>
        </w:rPr>
        <w:t>S1</w:t>
      </w:r>
      <w:r w:rsidR="0067324F">
        <w:rPr>
          <w:sz w:val="24"/>
          <w:szCs w:val="24"/>
        </w:rPr>
        <w:t>1</w:t>
      </w:r>
      <w:r w:rsidRPr="002A41FF">
        <w:rPr>
          <w:sz w:val="24"/>
          <w:szCs w:val="24"/>
        </w:rPr>
        <w:t xml:space="preserve">). Besides, in the results of DEGs between any two stages, group </w:t>
      </w:r>
      <w:proofErr w:type="spellStart"/>
      <w:r w:rsidRPr="002A41FF">
        <w:rPr>
          <w:sz w:val="24"/>
          <w:szCs w:val="24"/>
        </w:rPr>
        <w:t>AvsC</w:t>
      </w:r>
      <w:proofErr w:type="spellEnd"/>
      <w:r w:rsidRPr="002A41FF">
        <w:rPr>
          <w:sz w:val="24"/>
          <w:szCs w:val="24"/>
        </w:rPr>
        <w:t xml:space="preserve"> had the highest </w:t>
      </w:r>
      <w:bookmarkStart w:id="6" w:name="OLE_LINK32"/>
      <w:bookmarkStart w:id="7" w:name="OLE_LINK31"/>
      <w:r w:rsidRPr="002A41FF">
        <w:rPr>
          <w:sz w:val="24"/>
          <w:szCs w:val="24"/>
        </w:rPr>
        <w:t xml:space="preserve">number of </w:t>
      </w:r>
      <w:bookmarkEnd w:id="6"/>
      <w:bookmarkEnd w:id="7"/>
      <w:r w:rsidRPr="002A41FF">
        <w:rPr>
          <w:sz w:val="24"/>
          <w:szCs w:val="24"/>
        </w:rPr>
        <w:t xml:space="preserve">1117 total and 931 down-regulated DEGs, group </w:t>
      </w:r>
      <w:proofErr w:type="spellStart"/>
      <w:r w:rsidRPr="002A41FF">
        <w:rPr>
          <w:sz w:val="24"/>
          <w:szCs w:val="24"/>
        </w:rPr>
        <w:t>BvsC</w:t>
      </w:r>
      <w:proofErr w:type="spellEnd"/>
      <w:r w:rsidRPr="002A41FF">
        <w:rPr>
          <w:sz w:val="24"/>
          <w:szCs w:val="24"/>
        </w:rPr>
        <w:t xml:space="preserve"> had the lowest number of 34 DEGs, and group </w:t>
      </w:r>
      <w:proofErr w:type="spellStart"/>
      <w:r w:rsidRPr="002A41FF">
        <w:rPr>
          <w:sz w:val="24"/>
          <w:szCs w:val="24"/>
        </w:rPr>
        <w:t>CvsD</w:t>
      </w:r>
      <w:proofErr w:type="spellEnd"/>
      <w:r w:rsidRPr="002A41FF">
        <w:rPr>
          <w:sz w:val="24"/>
          <w:szCs w:val="24"/>
        </w:rPr>
        <w:t xml:space="preserve"> had the highest number of 378 up-regulated DEGs. </w:t>
      </w:r>
    </w:p>
    <w:p w14:paraId="39B41FEF" w14:textId="77777777" w:rsidR="000861F9" w:rsidRPr="002A41FF" w:rsidRDefault="000861F9" w:rsidP="000861F9">
      <w:pPr>
        <w:spacing w:line="360" w:lineRule="auto"/>
        <w:ind w:firstLineChars="200" w:firstLine="480"/>
        <w:jc w:val="both"/>
        <w:rPr>
          <w:sz w:val="24"/>
          <w:szCs w:val="24"/>
        </w:rPr>
      </w:pPr>
      <w:r w:rsidRPr="002A41FF">
        <w:rPr>
          <w:sz w:val="24"/>
          <w:szCs w:val="24"/>
        </w:rPr>
        <w:t xml:space="preserve">Considering the huge number of DEGs, enrichment analyses, like GO, KEGG, and HP, were performed to reveal the function of these DEGs (Table S4). In the pre-weaning Stage A, we obtained 35 up-regulated DEGs and 155 down-regulated DEGs in group </w:t>
      </w:r>
      <w:proofErr w:type="spellStart"/>
      <w:r w:rsidRPr="002A41FF">
        <w:rPr>
          <w:sz w:val="24"/>
          <w:szCs w:val="24"/>
        </w:rPr>
        <w:t>AvsOthers</w:t>
      </w:r>
      <w:proofErr w:type="spellEnd"/>
      <w:r w:rsidRPr="002A41FF">
        <w:rPr>
          <w:sz w:val="24"/>
          <w:szCs w:val="24"/>
        </w:rPr>
        <w:t>. The 35 up-regulated DEGs enriched in structural molecule activity (GO:0005198), kinase activator activity (GO:0019209), endoribonuclease activity (GO:0004521), protein kinase activator activity (GO:0030295) and other items related to enzyme activity. The down-regulated DEGs enriched in various categories related to defense and immune response, like response to external stimulus (GO:0009605),</w:t>
      </w:r>
      <w:r w:rsidRPr="002A41FF">
        <w:t xml:space="preserve"> </w:t>
      </w:r>
      <w:r w:rsidRPr="002A41FF">
        <w:rPr>
          <w:sz w:val="24"/>
          <w:szCs w:val="24"/>
        </w:rPr>
        <w:t xml:space="preserve">response to chemical (GO:0042221), defense response (GO:0006952), inflammatory response (GO:0006954), immune response (GO:0006955) and so on (Table S4). </w:t>
      </w:r>
      <w:bookmarkStart w:id="8" w:name="OLE_LINK25"/>
      <w:bookmarkStart w:id="9" w:name="OLE_LINK26"/>
      <w:r w:rsidRPr="002A41FF">
        <w:rPr>
          <w:sz w:val="24"/>
          <w:szCs w:val="24"/>
        </w:rPr>
        <w:t xml:space="preserve">In Stage B, the first sampling after weaning, we identified 145 up-regulated and 81 down-regulated DEGs in group </w:t>
      </w:r>
      <w:proofErr w:type="spellStart"/>
      <w:r w:rsidRPr="002A41FF">
        <w:rPr>
          <w:sz w:val="24"/>
          <w:szCs w:val="24"/>
        </w:rPr>
        <w:t>BvsOthers</w:t>
      </w:r>
      <w:proofErr w:type="spellEnd"/>
      <w:r w:rsidRPr="002A41FF">
        <w:rPr>
          <w:sz w:val="24"/>
          <w:szCs w:val="24"/>
        </w:rPr>
        <w:t xml:space="preserve">. The up-regulated DEGs were mainly enriched in the substance transport-related categories, like intracellular protein transport (GO:0006886), organic substance transport (GO:0071702), </w:t>
      </w:r>
      <w:bookmarkStart w:id="10" w:name="OLE_LINK28"/>
      <w:bookmarkStart w:id="11" w:name="OLE_LINK27"/>
      <w:r w:rsidRPr="002A41FF">
        <w:rPr>
          <w:sz w:val="24"/>
          <w:szCs w:val="24"/>
        </w:rPr>
        <w:t>protein transport</w:t>
      </w:r>
      <w:bookmarkEnd w:id="10"/>
      <w:bookmarkEnd w:id="11"/>
      <w:r w:rsidRPr="002A41FF">
        <w:rPr>
          <w:sz w:val="24"/>
          <w:szCs w:val="24"/>
        </w:rPr>
        <w:t xml:space="preserve"> (GO:0015031), and macromolecule localization (GO:0033036). The down-regulated DEGs were mainly enriched in multicellular organismal process (GO:0032501), system development (GO:0048731), animal organ development (GO:0048513), and various growth and development-related categories (Table S4). To obtain the influence of weaning on gene expression, we further identified the DEGs between Stage A and Stage B. We identified 96 up-regulated and 409 down-regulated DEGs were identified in </w:t>
      </w:r>
      <w:bookmarkEnd w:id="8"/>
      <w:bookmarkEnd w:id="9"/>
      <w:r w:rsidRPr="002A41FF">
        <w:rPr>
          <w:sz w:val="24"/>
          <w:szCs w:val="24"/>
        </w:rPr>
        <w:t xml:space="preserve">group </w:t>
      </w:r>
      <w:proofErr w:type="spellStart"/>
      <w:r w:rsidRPr="002A41FF">
        <w:rPr>
          <w:sz w:val="24"/>
          <w:szCs w:val="24"/>
        </w:rPr>
        <w:t>AvsB</w:t>
      </w:r>
      <w:proofErr w:type="spellEnd"/>
      <w:r w:rsidRPr="002A41FF">
        <w:rPr>
          <w:sz w:val="24"/>
          <w:szCs w:val="24"/>
        </w:rPr>
        <w:t xml:space="preserve">. The up-regulated DEGs enriched in negative regulation of macrophage chemotaxis (GO:0010760), protein serine/threonine kinase activator activity (GO:0043539), and extracellular matrix binding (GO:0050840), and also enriched in HP terms, like Abdominal symptom (HP:0011458), Diarrhea (HP:0002014), and Otitis media (HP:0000388). The down-regulated DEGs were mainly enriched in defense and </w:t>
      </w:r>
      <w:r w:rsidRPr="002A41FF">
        <w:rPr>
          <w:sz w:val="24"/>
          <w:szCs w:val="24"/>
        </w:rPr>
        <w:lastRenderedPageBreak/>
        <w:t>immune response-related categories, like defense response (GO:0006952), response to external stimulus (GO:0009605), and immune response (GO:0006955), and enriched in Cytokine-cytokine receptor interaction (KEGG:04060), Staphylococcus aureus infection (KEGG:05150), Neutrophil extracellular trap formation (KEGG:04613) and other pathways related to infection (Table S4). The results showed an enhanced immune response in Stage B compared to Stage A.</w:t>
      </w:r>
      <w:r w:rsidRPr="002A41FF">
        <w:rPr>
          <w:rFonts w:hint="eastAsia"/>
          <w:sz w:val="24"/>
          <w:szCs w:val="24"/>
        </w:rPr>
        <w:t xml:space="preserve"> </w:t>
      </w:r>
    </w:p>
    <w:p w14:paraId="4E39F3A8" w14:textId="77777777" w:rsidR="000861F9" w:rsidRPr="002A41FF" w:rsidRDefault="000861F9" w:rsidP="000861F9">
      <w:pPr>
        <w:spacing w:line="360" w:lineRule="auto"/>
        <w:ind w:firstLineChars="200" w:firstLine="480"/>
        <w:jc w:val="both"/>
        <w:rPr>
          <w:sz w:val="24"/>
          <w:szCs w:val="24"/>
        </w:rPr>
      </w:pPr>
      <w:r w:rsidRPr="002A41FF">
        <w:rPr>
          <w:sz w:val="24"/>
          <w:szCs w:val="24"/>
        </w:rPr>
        <w:t xml:space="preserve">The group </w:t>
      </w:r>
      <w:proofErr w:type="spellStart"/>
      <w:r w:rsidRPr="002A41FF">
        <w:rPr>
          <w:sz w:val="24"/>
          <w:szCs w:val="24"/>
        </w:rPr>
        <w:t>CvsOthers</w:t>
      </w:r>
      <w:proofErr w:type="spellEnd"/>
      <w:r w:rsidRPr="002A41FF">
        <w:rPr>
          <w:sz w:val="24"/>
          <w:szCs w:val="24"/>
        </w:rPr>
        <w:t xml:space="preserve"> obtained the highest number of 452 DEGs when compared with the six other groups. The 378 up-regulated DEGs were mainly enriched in defense and immune response-related categories and pathways, like defense response (GO:0006952), response to external stimulus (GO:0009605), immune response (GO:0006955), NOD-like receptor signaling pathway (KEGG:04621), NF-kappa B signaling pathway (KEGG:04064), which suggests that the expression of genes associated with defense and immune responses peaks during Stage C (Figure 2D, Table S4). The 74 down-regulated DEGs were mainly enriched in development process-related, especially kidney-related categories, like multicellular organismal process (GO:0032501), developmental process (GO:0032502), renal tubule development (GO:0061326), and nephron development (GO:0072006) (Table S4). The group </w:t>
      </w:r>
      <w:proofErr w:type="spellStart"/>
      <w:r w:rsidRPr="002A41FF">
        <w:rPr>
          <w:sz w:val="24"/>
          <w:szCs w:val="24"/>
        </w:rPr>
        <w:t>DvsOthers</w:t>
      </w:r>
      <w:proofErr w:type="spellEnd"/>
      <w:r w:rsidRPr="002A41FF">
        <w:rPr>
          <w:sz w:val="24"/>
          <w:szCs w:val="24"/>
        </w:rPr>
        <w:t xml:space="preserve"> had 33 up- and 169 down-regulated DEGs, and the up-regulated DEGs were enriched in positive regulation of DNA-templated transcription (GO:0045893), positive regulation of nucleic acid-templated </w:t>
      </w:r>
      <w:bookmarkStart w:id="12" w:name="OLE_LINK29"/>
      <w:bookmarkStart w:id="13" w:name="OLE_LINK30"/>
      <w:r w:rsidRPr="002A41FF">
        <w:rPr>
          <w:sz w:val="24"/>
          <w:szCs w:val="24"/>
        </w:rPr>
        <w:t xml:space="preserve">transcription </w:t>
      </w:r>
      <w:bookmarkEnd w:id="12"/>
      <w:bookmarkEnd w:id="13"/>
      <w:r w:rsidRPr="002A41FF">
        <w:rPr>
          <w:sz w:val="24"/>
          <w:szCs w:val="24"/>
        </w:rPr>
        <w:t xml:space="preserve">(GO:1903508), regulation of gene expression (GO:0010468) and so on categories related to transcription, while the down-regulated DEGs were enriched in categories related to biosynthetic and metabolic process, antimicrobial humoral response (GO:0019730), pentose biosynthetic process (GO:0019322), carbohydrate biosynthetic process (GO:0016051), cellular carbohydrate metabolic process (GO:0044262) (Table S4). However, the group </w:t>
      </w:r>
      <w:proofErr w:type="spellStart"/>
      <w:r w:rsidRPr="002A41FF">
        <w:rPr>
          <w:sz w:val="24"/>
          <w:szCs w:val="24"/>
        </w:rPr>
        <w:t>CvsD</w:t>
      </w:r>
      <w:proofErr w:type="spellEnd"/>
      <w:r w:rsidRPr="002A41FF">
        <w:rPr>
          <w:sz w:val="24"/>
          <w:szCs w:val="24"/>
        </w:rPr>
        <w:t xml:space="preserve"> obtained the most abundant up-regulated DEGs (856), which were enriched in defense and immune response-related categories and pathways, like response to external stimulus (GO:0009605), defense response (GO:0006952), immune system process (GO:0002376), Abnormality of the lymph nodes (HP:0002733), Inflammatory abnormality of the eye (HP:0100533), NOD-like receptor signaling pathway (KEGG:04621), </w:t>
      </w:r>
      <w:r w:rsidRPr="002A41FF">
        <w:rPr>
          <w:sz w:val="24"/>
          <w:szCs w:val="24"/>
        </w:rPr>
        <w:tab/>
        <w:t>Neutrophil extracellular trap formation (KEGG:04613) (Table S4).</w:t>
      </w:r>
    </w:p>
    <w:p w14:paraId="20455A16" w14:textId="77777777" w:rsidR="000861F9" w:rsidRPr="002A41FF" w:rsidRDefault="000861F9" w:rsidP="000861F9">
      <w:pPr>
        <w:spacing w:line="360" w:lineRule="auto"/>
        <w:ind w:firstLineChars="200" w:firstLine="480"/>
        <w:jc w:val="both"/>
        <w:rPr>
          <w:sz w:val="24"/>
          <w:szCs w:val="24"/>
        </w:rPr>
      </w:pPr>
      <w:r w:rsidRPr="002A41FF">
        <w:rPr>
          <w:sz w:val="24"/>
          <w:szCs w:val="24"/>
        </w:rPr>
        <w:t xml:space="preserve">In the group of </w:t>
      </w:r>
      <w:proofErr w:type="spellStart"/>
      <w:r w:rsidRPr="002A41FF">
        <w:rPr>
          <w:sz w:val="24"/>
          <w:szCs w:val="24"/>
        </w:rPr>
        <w:t>EvsOthers</w:t>
      </w:r>
      <w:proofErr w:type="spellEnd"/>
      <w:r w:rsidRPr="002A41FF">
        <w:rPr>
          <w:sz w:val="24"/>
          <w:szCs w:val="24"/>
        </w:rPr>
        <w:t xml:space="preserve">, we identified 155 up-regulated and 58 down-regulated DEGs. The up-regulated DEGs were mainly enriched in various growth and development, especially tissue and organ development-related categories, including </w:t>
      </w:r>
      <w:r w:rsidRPr="002A41FF">
        <w:rPr>
          <w:sz w:val="24"/>
          <w:szCs w:val="24"/>
        </w:rPr>
        <w:lastRenderedPageBreak/>
        <w:t>tissue development (GO:0009888), kidney development (GO:0001822), renal tubule development (GO:0061326), heart development (</w:t>
      </w:r>
      <w:bookmarkStart w:id="14" w:name="OLE_LINK85"/>
      <w:bookmarkStart w:id="15" w:name="OLE_LINK86"/>
      <w:r w:rsidRPr="002A41FF">
        <w:rPr>
          <w:sz w:val="24"/>
          <w:szCs w:val="24"/>
        </w:rPr>
        <w:t>GO:0007507</w:t>
      </w:r>
      <w:bookmarkEnd w:id="14"/>
      <w:bookmarkEnd w:id="15"/>
      <w:r w:rsidRPr="002A41FF">
        <w:rPr>
          <w:sz w:val="24"/>
          <w:szCs w:val="24"/>
        </w:rPr>
        <w:t xml:space="preserve">), eye development (GO:0001654), neuron development (GO:0048666). KEGG pathways, such as </w:t>
      </w:r>
      <w:bookmarkStart w:id="16" w:name="OLE_LINK87"/>
      <w:bookmarkStart w:id="17" w:name="OLE_LINK88"/>
      <w:r w:rsidRPr="002A41FF">
        <w:rPr>
          <w:sz w:val="24"/>
          <w:szCs w:val="24"/>
        </w:rPr>
        <w:t>ECM-receptor interaction (KEGG:04512), Cell adhesion molecules (KEGG:04514), PI3K-Akt signaling pathway (KEGG:04151), and Regulation of actin cytoskeleton (KEGG:04810)</w:t>
      </w:r>
      <w:bookmarkEnd w:id="16"/>
      <w:bookmarkEnd w:id="17"/>
      <w:r w:rsidRPr="002A41FF">
        <w:rPr>
          <w:sz w:val="24"/>
          <w:szCs w:val="24"/>
        </w:rPr>
        <w:t xml:space="preserve">, were identified as well (Figure 2E, Table S4). Besides, the group </w:t>
      </w:r>
      <w:proofErr w:type="spellStart"/>
      <w:r w:rsidRPr="002A41FF">
        <w:rPr>
          <w:sz w:val="24"/>
          <w:szCs w:val="24"/>
        </w:rPr>
        <w:t>GvsOthers</w:t>
      </w:r>
      <w:proofErr w:type="spellEnd"/>
      <w:r w:rsidRPr="002A41FF">
        <w:rPr>
          <w:sz w:val="24"/>
          <w:szCs w:val="24"/>
        </w:rPr>
        <w:t xml:space="preserve"> obtained the highest number of 262 down-regulated DEGs when compared with the six other groups. They enriched in immune response (GO:0006955), response to external biotic stimulus (GO:0043207), response to other organism (GO:0051707), and other defense and immune response-related categories (Table S4).</w:t>
      </w:r>
    </w:p>
    <w:p w14:paraId="1F9DC09B" w14:textId="77777777" w:rsidR="000861F9" w:rsidRPr="002A41FF" w:rsidRDefault="000861F9" w:rsidP="000861F9">
      <w:pPr>
        <w:spacing w:line="360" w:lineRule="auto"/>
        <w:ind w:firstLineChars="200" w:firstLine="480"/>
        <w:jc w:val="both"/>
        <w:rPr>
          <w:sz w:val="24"/>
          <w:szCs w:val="24"/>
        </w:rPr>
      </w:pPr>
      <w:r w:rsidRPr="002A41FF">
        <w:rPr>
          <w:sz w:val="24"/>
          <w:szCs w:val="24"/>
        </w:rPr>
        <w:t>Summarily, the development of tissues and organs, as well as immunological response and defense mechanisms, accounted for the majority of the largest changes in gene expression during the growth of infant macaques after cessation of breastfeeding.</w:t>
      </w:r>
    </w:p>
    <w:p w14:paraId="01F2C025" w14:textId="77777777" w:rsidR="000861F9" w:rsidRPr="002A41FF" w:rsidRDefault="000861F9" w:rsidP="000861F9">
      <w:pPr>
        <w:spacing w:line="360" w:lineRule="auto"/>
        <w:jc w:val="both"/>
        <w:rPr>
          <w:b/>
          <w:sz w:val="24"/>
          <w:szCs w:val="24"/>
        </w:rPr>
      </w:pPr>
      <w:r w:rsidRPr="002A41FF">
        <w:rPr>
          <w:b/>
          <w:sz w:val="24"/>
          <w:szCs w:val="24"/>
        </w:rPr>
        <w:t>Developmental trajectory of gut microbiota and gene expression in infant macaques</w:t>
      </w:r>
    </w:p>
    <w:p w14:paraId="58C20A01" w14:textId="77777777" w:rsidR="000861F9" w:rsidRPr="002A41FF" w:rsidRDefault="000861F9" w:rsidP="000861F9">
      <w:pPr>
        <w:spacing w:line="360" w:lineRule="auto"/>
        <w:jc w:val="both"/>
        <w:rPr>
          <w:sz w:val="24"/>
          <w:szCs w:val="24"/>
        </w:rPr>
      </w:pPr>
      <w:r w:rsidRPr="002A41FF">
        <w:rPr>
          <w:sz w:val="24"/>
          <w:szCs w:val="24"/>
        </w:rPr>
        <w:t xml:space="preserve">To further characterize the gut microbiota dynamic developmental trajectory patterns and their functions, we clustered the relative abundance of microbial genera and metabolic pathways, respectively, using the FCMA. A total of six gut microbiota dynamic developmental trajectory clusters were obtained, which can be divided into the following three distinct different colonization patterns: (1) the genera with fluctuant relative abundance from stage A to G—Microbiota Cluster 1, 2, and 3; (2) the genera whose relative abundance decreased first and then increased with the lowest relative abundance in stage D—Microbiota Cluster 4 and 5; (3) the genera with peak relative abundance in stage B—Microbiota Cluster 6 (Figure 3A, Table S5). Microbiota Cluster 1, 2, and 3 contained respectively 320, 534, and 367 microbiota genera, including </w:t>
      </w:r>
      <w:proofErr w:type="spellStart"/>
      <w:r w:rsidRPr="002A41FF">
        <w:rPr>
          <w:i/>
          <w:sz w:val="24"/>
          <w:szCs w:val="24"/>
        </w:rPr>
        <w:t>Azospirillum</w:t>
      </w:r>
      <w:proofErr w:type="spellEnd"/>
      <w:r w:rsidRPr="002A41FF">
        <w:rPr>
          <w:sz w:val="24"/>
          <w:szCs w:val="24"/>
        </w:rPr>
        <w:t xml:space="preserve">, </w:t>
      </w:r>
      <w:r w:rsidRPr="002A41FF">
        <w:rPr>
          <w:i/>
          <w:sz w:val="24"/>
          <w:szCs w:val="24"/>
        </w:rPr>
        <w:t>Streptomyces</w:t>
      </w:r>
      <w:r w:rsidRPr="002A41FF">
        <w:rPr>
          <w:sz w:val="24"/>
          <w:szCs w:val="24"/>
        </w:rPr>
        <w:t xml:space="preserve"> </w:t>
      </w:r>
      <w:proofErr w:type="spellStart"/>
      <w:r w:rsidRPr="002A41FF">
        <w:rPr>
          <w:i/>
          <w:sz w:val="24"/>
          <w:szCs w:val="24"/>
        </w:rPr>
        <w:t>Acetobacter</w:t>
      </w:r>
      <w:proofErr w:type="spellEnd"/>
      <w:r w:rsidRPr="002A41FF">
        <w:rPr>
          <w:sz w:val="24"/>
          <w:szCs w:val="24"/>
        </w:rPr>
        <w:t xml:space="preserve">, </w:t>
      </w:r>
      <w:proofErr w:type="spellStart"/>
      <w:r w:rsidRPr="002A41FF">
        <w:rPr>
          <w:i/>
          <w:sz w:val="24"/>
          <w:szCs w:val="24"/>
        </w:rPr>
        <w:t>Nitrobacter</w:t>
      </w:r>
      <w:proofErr w:type="spellEnd"/>
      <w:r w:rsidRPr="002A41FF">
        <w:rPr>
          <w:sz w:val="24"/>
          <w:szCs w:val="24"/>
        </w:rPr>
        <w:t xml:space="preserve">, </w:t>
      </w:r>
      <w:proofErr w:type="spellStart"/>
      <w:r w:rsidRPr="002A41FF">
        <w:rPr>
          <w:i/>
          <w:sz w:val="24"/>
          <w:szCs w:val="24"/>
        </w:rPr>
        <w:t>Bacteroides</w:t>
      </w:r>
      <w:proofErr w:type="spellEnd"/>
      <w:r w:rsidRPr="002A41FF">
        <w:rPr>
          <w:sz w:val="24"/>
          <w:szCs w:val="24"/>
        </w:rPr>
        <w:t xml:space="preserve">, and </w:t>
      </w:r>
      <w:proofErr w:type="spellStart"/>
      <w:r w:rsidRPr="002A41FF">
        <w:rPr>
          <w:i/>
          <w:sz w:val="24"/>
          <w:szCs w:val="24"/>
        </w:rPr>
        <w:t>Prevotella</w:t>
      </w:r>
      <w:proofErr w:type="spellEnd"/>
      <w:r w:rsidRPr="002A41FF">
        <w:rPr>
          <w:i/>
          <w:sz w:val="24"/>
          <w:szCs w:val="24"/>
        </w:rPr>
        <w:t xml:space="preserve"> </w:t>
      </w:r>
      <w:r w:rsidRPr="002A41FF">
        <w:rPr>
          <w:sz w:val="24"/>
          <w:szCs w:val="24"/>
        </w:rPr>
        <w:t>(Figure S7</w:t>
      </w:r>
      <w:r w:rsidRPr="002A41FF">
        <w:rPr>
          <w:rFonts w:hint="eastAsia"/>
          <w:sz w:val="24"/>
          <w:szCs w:val="24"/>
        </w:rPr>
        <w:t>,</w:t>
      </w:r>
      <w:r w:rsidRPr="002A41FF">
        <w:rPr>
          <w:sz w:val="24"/>
          <w:szCs w:val="24"/>
        </w:rPr>
        <w:t xml:space="preserve"> Table S5). Microbiota Cluster 4 and 5 respectively contained 289 and 252 microbiota genera, including </w:t>
      </w:r>
      <w:proofErr w:type="spellStart"/>
      <w:r w:rsidRPr="002A41FF">
        <w:rPr>
          <w:i/>
          <w:sz w:val="24"/>
          <w:szCs w:val="24"/>
        </w:rPr>
        <w:t>Megamonas</w:t>
      </w:r>
      <w:proofErr w:type="spellEnd"/>
      <w:r w:rsidRPr="002A41FF">
        <w:rPr>
          <w:sz w:val="24"/>
          <w:szCs w:val="24"/>
        </w:rPr>
        <w:t xml:space="preserve">, </w:t>
      </w:r>
      <w:r w:rsidRPr="002A41FF">
        <w:rPr>
          <w:i/>
          <w:sz w:val="24"/>
          <w:szCs w:val="24"/>
        </w:rPr>
        <w:t>Listeria</w:t>
      </w:r>
      <w:r w:rsidRPr="002A41FF">
        <w:rPr>
          <w:sz w:val="24"/>
          <w:szCs w:val="24"/>
        </w:rPr>
        <w:t xml:space="preserve">, </w:t>
      </w:r>
      <w:r w:rsidRPr="002A41FF">
        <w:rPr>
          <w:i/>
          <w:sz w:val="24"/>
          <w:szCs w:val="24"/>
        </w:rPr>
        <w:t>Clostridium</w:t>
      </w:r>
      <w:r w:rsidRPr="002A41FF">
        <w:rPr>
          <w:sz w:val="24"/>
          <w:szCs w:val="24"/>
        </w:rPr>
        <w:t xml:space="preserve">, </w:t>
      </w:r>
      <w:proofErr w:type="spellStart"/>
      <w:r w:rsidRPr="002A41FF">
        <w:rPr>
          <w:i/>
          <w:sz w:val="24"/>
          <w:szCs w:val="24"/>
        </w:rPr>
        <w:t>Streptobacillus</w:t>
      </w:r>
      <w:proofErr w:type="spellEnd"/>
      <w:r w:rsidRPr="002A41FF">
        <w:rPr>
          <w:sz w:val="24"/>
          <w:szCs w:val="24"/>
        </w:rPr>
        <w:t xml:space="preserve">, and </w:t>
      </w:r>
      <w:proofErr w:type="spellStart"/>
      <w:r w:rsidRPr="002A41FF">
        <w:rPr>
          <w:i/>
          <w:sz w:val="24"/>
          <w:szCs w:val="24"/>
        </w:rPr>
        <w:t>Acetoanaerobium</w:t>
      </w:r>
      <w:proofErr w:type="spellEnd"/>
      <w:r w:rsidRPr="002A41FF">
        <w:rPr>
          <w:sz w:val="24"/>
          <w:szCs w:val="24"/>
        </w:rPr>
        <w:t xml:space="preserve">, whose relative abundance gradually decreased with cessation of breast-feeding and then increased with the development of their gut microbiota. These genera may be inherited from their mother during breastfeeding and living with their mothers. Microbiota Cluster 6 contained 66 microbiota genera, including </w:t>
      </w:r>
      <w:proofErr w:type="spellStart"/>
      <w:r w:rsidRPr="002A41FF">
        <w:rPr>
          <w:i/>
          <w:sz w:val="24"/>
          <w:szCs w:val="24"/>
        </w:rPr>
        <w:t>Lawsonia</w:t>
      </w:r>
      <w:proofErr w:type="spellEnd"/>
      <w:r w:rsidRPr="002A41FF">
        <w:rPr>
          <w:sz w:val="24"/>
          <w:szCs w:val="24"/>
        </w:rPr>
        <w:t xml:space="preserve">, </w:t>
      </w:r>
      <w:proofErr w:type="spellStart"/>
      <w:r w:rsidRPr="002A41FF">
        <w:rPr>
          <w:i/>
          <w:sz w:val="24"/>
          <w:szCs w:val="24"/>
        </w:rPr>
        <w:t>Citrobacter</w:t>
      </w:r>
      <w:proofErr w:type="spellEnd"/>
      <w:r w:rsidRPr="002A41FF">
        <w:rPr>
          <w:sz w:val="24"/>
          <w:szCs w:val="24"/>
        </w:rPr>
        <w:t xml:space="preserve">, </w:t>
      </w:r>
      <w:proofErr w:type="spellStart"/>
      <w:r w:rsidRPr="002A41FF">
        <w:rPr>
          <w:i/>
          <w:sz w:val="24"/>
          <w:szCs w:val="24"/>
        </w:rPr>
        <w:t>Enterobacter</w:t>
      </w:r>
      <w:proofErr w:type="spellEnd"/>
      <w:r w:rsidRPr="002A41FF">
        <w:rPr>
          <w:sz w:val="24"/>
          <w:szCs w:val="24"/>
        </w:rPr>
        <w:t xml:space="preserve">, </w:t>
      </w:r>
      <w:proofErr w:type="spellStart"/>
      <w:r w:rsidRPr="002A41FF">
        <w:rPr>
          <w:i/>
          <w:sz w:val="24"/>
          <w:szCs w:val="24"/>
        </w:rPr>
        <w:t>Acinetobacter</w:t>
      </w:r>
      <w:proofErr w:type="spellEnd"/>
      <w:r w:rsidRPr="002A41FF">
        <w:rPr>
          <w:rFonts w:hint="eastAsia"/>
          <w:sz w:val="24"/>
          <w:szCs w:val="24"/>
        </w:rPr>
        <w:t>,</w:t>
      </w:r>
      <w:r w:rsidRPr="002A41FF">
        <w:rPr>
          <w:i/>
          <w:sz w:val="24"/>
          <w:szCs w:val="24"/>
        </w:rPr>
        <w:t xml:space="preserve"> </w:t>
      </w:r>
      <w:proofErr w:type="spellStart"/>
      <w:r w:rsidRPr="002A41FF">
        <w:rPr>
          <w:i/>
          <w:sz w:val="24"/>
          <w:szCs w:val="24"/>
        </w:rPr>
        <w:t>Methanobrevibacter</w:t>
      </w:r>
      <w:proofErr w:type="spellEnd"/>
      <w:r w:rsidRPr="002A41FF">
        <w:rPr>
          <w:sz w:val="24"/>
          <w:szCs w:val="24"/>
        </w:rPr>
        <w:t xml:space="preserve">, </w:t>
      </w:r>
      <w:proofErr w:type="spellStart"/>
      <w:r w:rsidRPr="002A41FF">
        <w:rPr>
          <w:i/>
          <w:sz w:val="24"/>
          <w:szCs w:val="24"/>
        </w:rPr>
        <w:t>Lactococcus</w:t>
      </w:r>
      <w:proofErr w:type="spellEnd"/>
      <w:r w:rsidRPr="002A41FF">
        <w:rPr>
          <w:sz w:val="24"/>
          <w:szCs w:val="24"/>
        </w:rPr>
        <w:t xml:space="preserve">, etc. We observed that various genera in Microbiota Cluster 6 had particularly higher relative </w:t>
      </w:r>
      <w:r w:rsidRPr="002A41FF">
        <w:rPr>
          <w:sz w:val="24"/>
          <w:szCs w:val="24"/>
        </w:rPr>
        <w:lastRenderedPageBreak/>
        <w:t xml:space="preserve">abundance in BCR07 than other individuals at Stage B (Figure S7), which may be caused by recurrent diarrhea in BCR07 from Stage B onwards. Thus, we later conducted intensive sampling tracking and analysis of BCR07 with recurrent diarrhea. During this stage of growth, the relative abundance of more bacteria showed more drastic fluctuations, which may be related to the multiple changes in living cages and the gradually enriched diet of the infant macaques. Furthermore, various individual differences were also noticed between individuals in the gut microbiota relative abundance in the same growth stage (Figure S7). </w:t>
      </w:r>
    </w:p>
    <w:p w14:paraId="2706BBE8" w14:textId="77777777" w:rsidR="000861F9" w:rsidRPr="002A41FF" w:rsidRDefault="000861F9" w:rsidP="000861F9">
      <w:pPr>
        <w:spacing w:line="360" w:lineRule="auto"/>
        <w:ind w:firstLineChars="200" w:firstLine="480"/>
        <w:jc w:val="both"/>
        <w:rPr>
          <w:sz w:val="24"/>
          <w:szCs w:val="24"/>
        </w:rPr>
      </w:pPr>
      <w:r w:rsidRPr="002A41FF">
        <w:rPr>
          <w:sz w:val="24"/>
          <w:szCs w:val="24"/>
        </w:rPr>
        <w:t xml:space="preserve">Functional clustering of metabolic pathways was performed using the FCMA as well, and 6 clusters were obtained, including (1) the pathways with peak relative abundance in stage B--Pathway Cluster 1, 2, and 6; (2) the pathways with fluctuant relative abundance from stage A to G—Pathway Cluster 3; (3) the pathways with the lowest relative abundance in stage D—Pathway Cluster 4; (4) the pathways with peak relative abundance in stage E—Pathway Cluster 5 (Figure 3A, Table S6). Similar to the fluctuating abundance of gut microbiotas, the abundance of function fluctuates with the stage (Table S6). Among them, Pathway Cluster 6 had the most abundant 83 metabolic pathways, including several fatty acid and lipid degradation, lipid biosynthesis, secondary metabolite biosynthesis pathways, and other degradation pathways. Furthermore, the function Pathway Cluster 6 had the same trajectory as the Microbiota Cluster 6, both with peak relative abundance in stage B. Pathway Cluster 3 contained 70 pathways with sharp fluctuation of relative abundance, including carbohydrates biosynthesis/degradation, lipid biosynthesis, secondary metabolite biosynthesis, glycolysis variants, etc. The relative abundance trajectory of Pathway Cluster 4 declined primarily, reached the lowest relative abundance in Stage D, and then gradually rose, containing 46 pathways such as pyrimidine deoxyribonucleotide phosphorylation, L-ornithine biosynthesis I, and L-arginine biosynthesis II (acetyl cycle). Pathway Cluster 5 had 56 metabolic pathways, including various biosynthesis-related pathways (e.g. amino acid biosynthesis, cell structure Biosynthesis, carbohydrates Biosynthesis, cofactor Biosynthesis, nucleotide biosynthesis pathways, </w:t>
      </w:r>
      <w:proofErr w:type="spellStart"/>
      <w:r w:rsidRPr="002A41FF">
        <w:rPr>
          <w:sz w:val="24"/>
          <w:szCs w:val="24"/>
        </w:rPr>
        <w:t>etc</w:t>
      </w:r>
      <w:proofErr w:type="spellEnd"/>
      <w:r w:rsidRPr="002A41FF">
        <w:rPr>
          <w:sz w:val="24"/>
          <w:szCs w:val="24"/>
        </w:rPr>
        <w:t>), and several degradation-related pathways. The relative abundance of metabolic pathways in Pathway Cluster 5 was a slight decline from Stage A to S</w:t>
      </w:r>
      <w:r w:rsidRPr="002A41FF">
        <w:rPr>
          <w:rFonts w:hint="eastAsia"/>
          <w:sz w:val="24"/>
          <w:szCs w:val="24"/>
        </w:rPr>
        <w:t>tage</w:t>
      </w:r>
      <w:r w:rsidRPr="002A41FF">
        <w:rPr>
          <w:sz w:val="24"/>
          <w:szCs w:val="24"/>
        </w:rPr>
        <w:t xml:space="preserve"> B, and then a major upward trend, peaking at Stage E.</w:t>
      </w:r>
    </w:p>
    <w:p w14:paraId="48638135" w14:textId="77777777" w:rsidR="000861F9" w:rsidRPr="002A41FF" w:rsidRDefault="000861F9" w:rsidP="000861F9">
      <w:pPr>
        <w:spacing w:line="360" w:lineRule="auto"/>
        <w:ind w:firstLineChars="200" w:firstLine="480"/>
        <w:jc w:val="both"/>
        <w:rPr>
          <w:sz w:val="24"/>
          <w:szCs w:val="24"/>
        </w:rPr>
      </w:pPr>
      <w:r w:rsidRPr="002A41FF">
        <w:rPr>
          <w:sz w:val="24"/>
          <w:szCs w:val="24"/>
        </w:rPr>
        <w:t>We further performed correlation analysis t</w:t>
      </w:r>
      <w:r w:rsidRPr="002A41FF">
        <w:rPr>
          <w:rFonts w:hint="eastAsia"/>
          <w:sz w:val="24"/>
          <w:szCs w:val="24"/>
        </w:rPr>
        <w:t>o</w:t>
      </w:r>
      <w:r w:rsidRPr="002A41FF">
        <w:rPr>
          <w:sz w:val="24"/>
          <w:szCs w:val="24"/>
        </w:rPr>
        <w:t xml:space="preserve"> reveal the correlations between the clusters of microbiota and pathways. We identified the strongest positive correlation </w:t>
      </w:r>
      <w:r w:rsidRPr="002A41FF">
        <w:rPr>
          <w:sz w:val="24"/>
          <w:szCs w:val="24"/>
        </w:rPr>
        <w:lastRenderedPageBreak/>
        <w:t xml:space="preserve">between Microbiota Cluster 1 and Pathway Cluster 5, and the strongest negative correlation between Microbiota Cluster 1 and Pathway Cluster 3. In Microbiota Cluster 1, 320 microbiota genera were clustered, including </w:t>
      </w:r>
      <w:proofErr w:type="spellStart"/>
      <w:r w:rsidRPr="002A41FF">
        <w:rPr>
          <w:i/>
          <w:sz w:val="24"/>
          <w:szCs w:val="24"/>
        </w:rPr>
        <w:t>Glaciecola</w:t>
      </w:r>
      <w:proofErr w:type="spellEnd"/>
      <w:r w:rsidRPr="002A41FF">
        <w:rPr>
          <w:sz w:val="24"/>
          <w:szCs w:val="24"/>
        </w:rPr>
        <w:t xml:space="preserve">, </w:t>
      </w:r>
      <w:proofErr w:type="spellStart"/>
      <w:r w:rsidRPr="002A41FF">
        <w:rPr>
          <w:i/>
          <w:sz w:val="24"/>
          <w:szCs w:val="24"/>
        </w:rPr>
        <w:t>Dokdonia</w:t>
      </w:r>
      <w:proofErr w:type="spellEnd"/>
      <w:r w:rsidRPr="002A41FF">
        <w:rPr>
          <w:sz w:val="24"/>
          <w:szCs w:val="24"/>
        </w:rPr>
        <w:t xml:space="preserve">, </w:t>
      </w:r>
      <w:proofErr w:type="spellStart"/>
      <w:r w:rsidRPr="002A41FF">
        <w:rPr>
          <w:i/>
          <w:sz w:val="24"/>
          <w:szCs w:val="24"/>
        </w:rPr>
        <w:t>Draconibacterium</w:t>
      </w:r>
      <w:proofErr w:type="spellEnd"/>
      <w:r w:rsidRPr="002A41FF">
        <w:rPr>
          <w:sz w:val="24"/>
          <w:szCs w:val="24"/>
        </w:rPr>
        <w:t xml:space="preserve">, </w:t>
      </w:r>
      <w:proofErr w:type="spellStart"/>
      <w:r w:rsidRPr="002A41FF">
        <w:rPr>
          <w:i/>
          <w:sz w:val="24"/>
          <w:szCs w:val="24"/>
        </w:rPr>
        <w:t>Prevotella</w:t>
      </w:r>
      <w:proofErr w:type="spellEnd"/>
      <w:r w:rsidRPr="002A41FF">
        <w:rPr>
          <w:sz w:val="24"/>
          <w:szCs w:val="24"/>
        </w:rPr>
        <w:t xml:space="preserve">, </w:t>
      </w:r>
      <w:r w:rsidRPr="002A41FF">
        <w:rPr>
          <w:i/>
          <w:sz w:val="24"/>
          <w:szCs w:val="24"/>
        </w:rPr>
        <w:t>Bacteroides</w:t>
      </w:r>
      <w:r w:rsidRPr="002A41FF">
        <w:rPr>
          <w:sz w:val="24"/>
          <w:szCs w:val="24"/>
        </w:rPr>
        <w:t xml:space="preserve">, etc. Correspondingly, Pathway Cluster 5 clustered 56 metabolic pathways, including various biosynthesis-related pathways (e.g. amino acid biosynthesis, cell structure biosynthesis, carbohydrates biosynthesis, cofactor biosynthesis, nucleotide biosynthesis pathways, etc.), and several degradation-related pathways. Except for Pathway Cluster 5, Microbiota Cluster 1 had a strong negative correlation with Pathway Cluster 1 and 3. Pathway Cluster 1 and 3 severally contained 59 and 70 pathways with sharp fluctuation of relative abundance, both including carbohydrates biosynthesis/degradation, lipid biosynthesis, cofactor biosynthesis, fermentation, secondary metabolite biosynthesis, etc. </w:t>
      </w:r>
    </w:p>
    <w:p w14:paraId="2C60A47F" w14:textId="77777777" w:rsidR="000861F9" w:rsidRPr="002A41FF" w:rsidRDefault="000861F9" w:rsidP="000861F9">
      <w:pPr>
        <w:spacing w:line="360" w:lineRule="auto"/>
        <w:ind w:firstLineChars="200" w:firstLine="480"/>
        <w:jc w:val="both"/>
        <w:rPr>
          <w:sz w:val="24"/>
          <w:szCs w:val="24"/>
        </w:rPr>
      </w:pPr>
      <w:r w:rsidRPr="002A41FF">
        <w:rPr>
          <w:sz w:val="24"/>
          <w:szCs w:val="24"/>
        </w:rPr>
        <w:t xml:space="preserve">We further performed time-series expression analysis by FCMA to reveal the gene expression dynamic changes during the developing process in infant macaques. The gene expression levels were mainly divided into 20 clusters representing different gene expression patterns (Figure S8, Table S7). These 20 clusters can be divided into six main trajectories: (A) the gene expression levels were raised continuously from Stage A to Stage G—Gene Cluster 11; (B) consistently reducing of gene expression levels from Stage A to Stage G—Gene Cluster 4; (C) the expression levels had a significant peak in stage E and remained at the same low level in other stages—Gene Cluster 15; (D) the gene expression levels increased gradually and peaked at Stage C, then sharply decreased at Stage D-- Gene Cluster 8, 10, 13, and 19; (E) the gene expression levels were lowest at Stage C-- Gene Cluster 2, 7, 14, and 20; (F) the gene expression increased gradually and peaked at Stage D—Gene Cluster 3, 5, 12, 14, and 18 (Figure 3C). Several clusters do not fall into the above six trajectories. We primarily focused on Trajectory A (Gene Cluster 11), whose gene expression levels were increased during Stage A to Stage G. Gene Cluster 11 had 228 core genes which were mainly enriched in biological regulation, cell communication, signal transduction, and cellular response to stimulus-related GO categories (Figure 3D, Table S8). In Trajectory B (Gene Cluster 4), 198 core genes were identified with consistently reducing of gene expression levels, and enriched in peptide or amide biosynthetic and metabolic process-related categories (Figure 3E, Table S8). Besides, 209 core genes were identified in Gene Cluster 15 (Trajectory C), whose expression levels had a significant peak in stage E and remained at the same low level in other stages. These 209 core genes were enriched in </w:t>
      </w:r>
      <w:r w:rsidRPr="002A41FF">
        <w:rPr>
          <w:sz w:val="24"/>
          <w:szCs w:val="24"/>
        </w:rPr>
        <w:lastRenderedPageBreak/>
        <w:t xml:space="preserve">development-related categories, such as developmental process, cell differentiation, cell differentiation, and tissue development (Table S8). </w:t>
      </w:r>
    </w:p>
    <w:p w14:paraId="1293789A" w14:textId="77777777" w:rsidR="000861F9" w:rsidRDefault="000861F9" w:rsidP="000861F9">
      <w:pPr>
        <w:adjustRightInd/>
        <w:snapToGrid/>
        <w:spacing w:line="360" w:lineRule="auto"/>
        <w:ind w:firstLineChars="200" w:firstLine="480"/>
        <w:jc w:val="both"/>
        <w:rPr>
          <w:sz w:val="24"/>
          <w:szCs w:val="24"/>
        </w:rPr>
      </w:pPr>
      <w:r w:rsidRPr="002A41FF">
        <w:rPr>
          <w:sz w:val="24"/>
          <w:szCs w:val="24"/>
        </w:rPr>
        <w:t>We then observed that the gene expression level of Gene Cluster 8, 10, 13, and 19 (436, 340, 351, and 225 core genes, respectively) increased gradually and peaked at Stage C, then sharply decreased at Stage D. The core genes of this four clusters were mainly enriched in categories related to defense response, immune response, metabolic process, and biosynthetic process (Table S8). Furthermore, four clusters, Gene Cluster 2, 7, 14, and 20 (179, 160, 192, and 169 core genes, respectively), found that the gene expression levels were lowest at Stage C, whose core genes were mainly enriched in peptide biosynthetic and metabolic process, ribosome biogenesis, protein metabolic process, and regulation of translation-related categories (Table S8). We further observed that the gene expression of 5 clusters increased gradually and peaked at Stage D, including Gene Cluster 3, 5, 12, 14, and 18 (337, 207, 165, 208, and 159 core genes, respectively). These core genes peaked expressed at Stage D and were mainly enriched in the biosynthetic process, metabolic process, ribosome biogenesis, and RNA biosynthetic-related categories (Table S8).</w:t>
      </w:r>
    </w:p>
    <w:p w14:paraId="3E8664F7" w14:textId="77777777" w:rsidR="00DC4C22" w:rsidRPr="000861F9" w:rsidRDefault="00DC4C22"/>
    <w:sectPr w:rsidR="00DC4C22" w:rsidRPr="000861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0C726" w14:textId="77777777" w:rsidR="000A5ACC" w:rsidRDefault="000A5ACC" w:rsidP="000861F9">
      <w:r>
        <w:separator/>
      </w:r>
    </w:p>
  </w:endnote>
  <w:endnote w:type="continuationSeparator" w:id="0">
    <w:p w14:paraId="7591C1CB" w14:textId="77777777" w:rsidR="000A5ACC" w:rsidRDefault="000A5ACC" w:rsidP="0008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D7CC2" w14:textId="77777777" w:rsidR="000A5ACC" w:rsidRDefault="000A5ACC" w:rsidP="000861F9">
      <w:r>
        <w:separator/>
      </w:r>
    </w:p>
  </w:footnote>
  <w:footnote w:type="continuationSeparator" w:id="0">
    <w:p w14:paraId="24EA644F" w14:textId="77777777" w:rsidR="000A5ACC" w:rsidRDefault="000A5ACC" w:rsidP="000861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hideGrammaticalErrors/>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2sQABMwtjI1MjJR2l4NTi4sz8PJAC41oA4Wl3oCwAAAA="/>
  </w:docVars>
  <w:rsids>
    <w:rsidRoot w:val="00BC2CD9"/>
    <w:rsid w:val="00072952"/>
    <w:rsid w:val="000861F9"/>
    <w:rsid w:val="000A5ACC"/>
    <w:rsid w:val="000C7031"/>
    <w:rsid w:val="000E4AAA"/>
    <w:rsid w:val="00105DF1"/>
    <w:rsid w:val="00171A95"/>
    <w:rsid w:val="0018422E"/>
    <w:rsid w:val="002375DB"/>
    <w:rsid w:val="002A41FF"/>
    <w:rsid w:val="002D6A03"/>
    <w:rsid w:val="004150A8"/>
    <w:rsid w:val="00450329"/>
    <w:rsid w:val="004842EF"/>
    <w:rsid w:val="00555CCF"/>
    <w:rsid w:val="00565182"/>
    <w:rsid w:val="00664DAB"/>
    <w:rsid w:val="0067324F"/>
    <w:rsid w:val="006C36F8"/>
    <w:rsid w:val="007D60CB"/>
    <w:rsid w:val="009F387E"/>
    <w:rsid w:val="00A21BC5"/>
    <w:rsid w:val="00B0457B"/>
    <w:rsid w:val="00BA6BB4"/>
    <w:rsid w:val="00BC2CD9"/>
    <w:rsid w:val="00D6044C"/>
    <w:rsid w:val="00DC4C22"/>
    <w:rsid w:val="00E1414E"/>
    <w:rsid w:val="00F231D1"/>
    <w:rsid w:val="00F70F60"/>
    <w:rsid w:val="00F837C9"/>
    <w:rsid w:val="00F90CA8"/>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ECE33"/>
  <w15:chartTrackingRefBased/>
  <w15:docId w15:val="{9044AD1A-4CB7-4AC7-B186-275D39C7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1F9"/>
    <w:pPr>
      <w:adjustRightInd w:val="0"/>
      <w:snapToGrid w:val="0"/>
    </w:pPr>
    <w:rPr>
      <w:rFonts w:ascii="Times New Roman" w:eastAsia="宋体" w:hAnsi="Times New Roman"/>
      <w:kern w:val="0"/>
      <w:sz w:val="22"/>
    </w:rPr>
  </w:style>
  <w:style w:type="paragraph" w:styleId="1">
    <w:name w:val="heading 1"/>
    <w:basedOn w:val="a"/>
    <w:next w:val="a"/>
    <w:link w:val="10"/>
    <w:autoRedefine/>
    <w:uiPriority w:val="9"/>
    <w:qFormat/>
    <w:rsid w:val="00565182"/>
    <w:pPr>
      <w:keepNext/>
      <w:keepLines/>
      <w:spacing w:before="340" w:after="330" w:line="578" w:lineRule="auto"/>
      <w:outlineLvl w:val="0"/>
    </w:pPr>
    <w:rPr>
      <w:b/>
      <w:bCs/>
      <w:kern w:val="44"/>
      <w:sz w:val="30"/>
      <w:szCs w:val="44"/>
    </w:rPr>
  </w:style>
  <w:style w:type="paragraph" w:styleId="2">
    <w:name w:val="heading 2"/>
    <w:basedOn w:val="a"/>
    <w:next w:val="a"/>
    <w:link w:val="20"/>
    <w:uiPriority w:val="9"/>
    <w:unhideWhenUsed/>
    <w:qFormat/>
    <w:rsid w:val="00072952"/>
    <w:pPr>
      <w:keepNext/>
      <w:keepLines/>
      <w:spacing w:line="360" w:lineRule="auto"/>
      <w:outlineLvl w:val="1"/>
    </w:pPr>
    <w:rPr>
      <w:rFonts w:asciiTheme="majorHAnsi" w:eastAsia="黑体" w:hAnsiTheme="majorHAnsi" w:cstheme="majorBidi"/>
      <w:b/>
      <w:bCs/>
      <w:szCs w:val="32"/>
    </w:rPr>
  </w:style>
  <w:style w:type="paragraph" w:styleId="3">
    <w:name w:val="heading 3"/>
    <w:basedOn w:val="a"/>
    <w:next w:val="a"/>
    <w:link w:val="30"/>
    <w:uiPriority w:val="9"/>
    <w:semiHidden/>
    <w:unhideWhenUsed/>
    <w:qFormat/>
    <w:rsid w:val="00072952"/>
    <w:pPr>
      <w:keepNext/>
      <w:keepLines/>
      <w:spacing w:line="360" w:lineRule="auto"/>
      <w:outlineLvl w:val="2"/>
    </w:pPr>
    <w:rPr>
      <w:rFonts w:ascii="Tahoma" w:eastAsia="黑体" w:hAnsi="Tahoma"/>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65182"/>
    <w:rPr>
      <w:rFonts w:ascii="Times New Roman" w:eastAsia="宋体" w:hAnsi="Times New Roman"/>
      <w:b/>
      <w:bCs/>
      <w:kern w:val="44"/>
      <w:sz w:val="30"/>
      <w:szCs w:val="44"/>
    </w:rPr>
  </w:style>
  <w:style w:type="character" w:customStyle="1" w:styleId="20">
    <w:name w:val="标题 2 字符"/>
    <w:basedOn w:val="a0"/>
    <w:link w:val="2"/>
    <w:uiPriority w:val="9"/>
    <w:rsid w:val="00072952"/>
    <w:rPr>
      <w:rFonts w:asciiTheme="majorHAnsi" w:eastAsia="黑体" w:hAnsiTheme="majorHAnsi" w:cstheme="majorBidi"/>
      <w:b/>
      <w:bCs/>
      <w:szCs w:val="32"/>
    </w:rPr>
  </w:style>
  <w:style w:type="character" w:customStyle="1" w:styleId="30">
    <w:name w:val="标题 3 字符"/>
    <w:basedOn w:val="a0"/>
    <w:link w:val="3"/>
    <w:uiPriority w:val="9"/>
    <w:semiHidden/>
    <w:rsid w:val="00072952"/>
    <w:rPr>
      <w:rFonts w:ascii="Tahoma" w:eastAsia="黑体" w:hAnsi="Tahoma"/>
      <w:bCs/>
      <w:szCs w:val="32"/>
    </w:rPr>
  </w:style>
  <w:style w:type="paragraph" w:styleId="a3">
    <w:name w:val="header"/>
    <w:basedOn w:val="a"/>
    <w:link w:val="a4"/>
    <w:uiPriority w:val="99"/>
    <w:unhideWhenUsed/>
    <w:rsid w:val="000861F9"/>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0861F9"/>
    <w:rPr>
      <w:rFonts w:ascii="Times New Roman" w:eastAsia="宋体" w:hAnsi="Times New Roman"/>
      <w:kern w:val="0"/>
      <w:sz w:val="18"/>
      <w:szCs w:val="18"/>
    </w:rPr>
  </w:style>
  <w:style w:type="paragraph" w:styleId="a5">
    <w:name w:val="footer"/>
    <w:basedOn w:val="a"/>
    <w:link w:val="a6"/>
    <w:uiPriority w:val="99"/>
    <w:unhideWhenUsed/>
    <w:rsid w:val="000861F9"/>
    <w:pPr>
      <w:tabs>
        <w:tab w:val="center" w:pos="4153"/>
        <w:tab w:val="right" w:pos="8306"/>
      </w:tabs>
    </w:pPr>
    <w:rPr>
      <w:sz w:val="18"/>
      <w:szCs w:val="18"/>
    </w:rPr>
  </w:style>
  <w:style w:type="character" w:customStyle="1" w:styleId="a6">
    <w:name w:val="页脚 字符"/>
    <w:basedOn w:val="a0"/>
    <w:link w:val="a5"/>
    <w:uiPriority w:val="99"/>
    <w:rsid w:val="000861F9"/>
    <w:rPr>
      <w:rFonts w:ascii="Times New Roman" w:eastAsia="宋体" w:hAnsi="Times New Roman"/>
      <w:kern w:val="0"/>
      <w:sz w:val="18"/>
      <w:szCs w:val="18"/>
    </w:rPr>
  </w:style>
  <w:style w:type="paragraph" w:styleId="a7">
    <w:name w:val="annotation text"/>
    <w:basedOn w:val="a"/>
    <w:link w:val="a8"/>
    <w:uiPriority w:val="99"/>
    <w:semiHidden/>
    <w:unhideWhenUsed/>
    <w:qFormat/>
    <w:rsid w:val="000861F9"/>
  </w:style>
  <w:style w:type="character" w:customStyle="1" w:styleId="a8">
    <w:name w:val="批注文字 字符"/>
    <w:basedOn w:val="a0"/>
    <w:link w:val="a7"/>
    <w:uiPriority w:val="99"/>
    <w:semiHidden/>
    <w:qFormat/>
    <w:rsid w:val="000861F9"/>
    <w:rPr>
      <w:rFonts w:ascii="Times New Roman" w:eastAsia="宋体" w:hAnsi="Times New Roman"/>
      <w:kern w:val="0"/>
      <w:sz w:val="22"/>
    </w:rPr>
  </w:style>
  <w:style w:type="character" w:styleId="a9">
    <w:name w:val="annotation reference"/>
    <w:basedOn w:val="a0"/>
    <w:uiPriority w:val="99"/>
    <w:semiHidden/>
    <w:unhideWhenUsed/>
    <w:qFormat/>
    <w:rsid w:val="000861F9"/>
    <w:rPr>
      <w:sz w:val="21"/>
      <w:szCs w:val="21"/>
    </w:rPr>
  </w:style>
  <w:style w:type="paragraph" w:styleId="aa">
    <w:name w:val="Balloon Text"/>
    <w:basedOn w:val="a"/>
    <w:link w:val="ab"/>
    <w:uiPriority w:val="99"/>
    <w:semiHidden/>
    <w:unhideWhenUsed/>
    <w:rsid w:val="000861F9"/>
    <w:rPr>
      <w:sz w:val="18"/>
      <w:szCs w:val="18"/>
    </w:rPr>
  </w:style>
  <w:style w:type="character" w:customStyle="1" w:styleId="ab">
    <w:name w:val="批注框文本 字符"/>
    <w:basedOn w:val="a0"/>
    <w:link w:val="aa"/>
    <w:uiPriority w:val="99"/>
    <w:semiHidden/>
    <w:rsid w:val="000861F9"/>
    <w:rPr>
      <w:rFonts w:ascii="Times New Roman" w:eastAsia="宋体" w:hAnsi="Times New Roman"/>
      <w:kern w:val="0"/>
      <w:sz w:val="18"/>
      <w:szCs w:val="18"/>
    </w:rPr>
  </w:style>
  <w:style w:type="paragraph" w:styleId="ac">
    <w:name w:val="Revision"/>
    <w:hidden/>
    <w:uiPriority w:val="99"/>
    <w:semiHidden/>
    <w:rsid w:val="00FF6973"/>
    <w:rPr>
      <w:rFonts w:ascii="Times New Roman" w:eastAsia="宋体"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bi.ac.uk/QuickGO/term/GO:00098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bi.ac.uk/QuickGO/term/GO:00487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3001</Words>
  <Characters>17109</Characters>
  <Application>Microsoft Office Word</Application>
  <DocSecurity>0</DocSecurity>
  <Lines>142</Lines>
  <Paragraphs>40</Paragraphs>
  <ScaleCrop>false</ScaleCrop>
  <Company/>
  <LinksUpToDate>false</LinksUpToDate>
  <CharactersWithSpaces>20070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dc:creator>
  <cp:keywords/>
  <dc:description/>
  <cp:lastModifiedBy>WJ</cp:lastModifiedBy>
  <cp:revision>10</cp:revision>
  <dcterms:created xsi:type="dcterms:W3CDTF">2023-08-01T07:34:00Z</dcterms:created>
  <dcterms:modified xsi:type="dcterms:W3CDTF">2023-11-27T03:06:00Z</dcterms:modified>
</cp:coreProperties>
</file>