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Style w:val="3"/>
          <w:rFonts w:hint="eastAsia" w:ascii="Times New Roman" w:hAnsi="Times New Roman" w:cs="Times New Roman"/>
          <w:b w:val="0"/>
          <w:color w:val="000000" w:themeColor="text1"/>
          <w:sz w:val="24"/>
          <w14:textFill>
            <w14:solidFill>
              <w14:schemeClr w14:val="tx1"/>
            </w14:solidFill>
          </w14:textFill>
        </w:rPr>
        <w:t>Supplement</w:t>
      </w:r>
      <w:r>
        <w:rPr>
          <w:rStyle w:val="3"/>
          <w:rFonts w:ascii="Times New Roman" w:hAnsi="Times New Roman" w:cs="Times New Roman"/>
          <w:b w:val="0"/>
          <w:color w:val="000000" w:themeColor="text1"/>
          <w:sz w:val="24"/>
          <w14:textFill>
            <w14:solidFill>
              <w14:schemeClr w14:val="tx1"/>
            </w14:solidFill>
          </w14:textFill>
        </w:rPr>
        <w:t>ary Materials for</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Comprehensive pan-cancer analysis reveals SIRT5 is a predictive biomarker for prognosis and immunotherapy response</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Italic" w:hAnsi="Times New Roman Italic" w:cs="Times New Roman Italic"/>
          <w:b w:val="0"/>
          <w:i/>
          <w:iCs/>
          <w:color w:val="000000" w:themeColor="text1"/>
          <w:sz w:val="24"/>
          <w:lang w:eastAsia="zh-Hans"/>
          <w14:textFill>
            <w14:solidFill>
              <w14:schemeClr w14:val="tx1"/>
            </w14:solidFill>
          </w14:textFill>
        </w:rPr>
      </w:pPr>
      <w:r>
        <w:rPr>
          <w:rStyle w:val="3"/>
          <w:rFonts w:ascii="Times New Roman" w:hAnsi="Times New Roman" w:cs="Times New Roman"/>
          <w:b w:val="0"/>
          <w:color w:val="000000" w:themeColor="text1"/>
          <w:sz w:val="24"/>
          <w14:textFill>
            <w14:solidFill>
              <w14:schemeClr w14:val="tx1"/>
            </w14:solidFill>
          </w14:textFill>
        </w:rPr>
        <w:t>Y</w:t>
      </w:r>
      <w:r>
        <w:rPr>
          <w:rStyle w:val="3"/>
          <w:rFonts w:hint="eastAsia" w:ascii="Times New Roman" w:hAnsi="Times New Roman" w:cs="Times New Roman"/>
          <w:b w:val="0"/>
          <w:color w:val="000000" w:themeColor="text1"/>
          <w:sz w:val="24"/>
          <w:lang w:eastAsia="zh-Hans"/>
          <w14:textFill>
            <w14:solidFill>
              <w14:schemeClr w14:val="tx1"/>
            </w14:solidFill>
          </w14:textFill>
        </w:rPr>
        <w:t>a</w:t>
      </w:r>
      <w:r>
        <w:rPr>
          <w:rStyle w:val="3"/>
          <w:rFonts w:ascii="Times New Roman" w:hAnsi="Times New Roman" w:cs="Times New Roman"/>
          <w:b w:val="0"/>
          <w:color w:val="000000" w:themeColor="text1"/>
          <w:sz w:val="24"/>
          <w:lang w:eastAsia="zh-Hans"/>
          <w14:textFill>
            <w14:solidFill>
              <w14:schemeClr w14:val="tx1"/>
            </w14:solidFill>
          </w14:textFill>
        </w:rPr>
        <w:t xml:space="preserve">cong Ji </w:t>
      </w:r>
      <w:r>
        <w:rPr>
          <w:rStyle w:val="3"/>
          <w:rFonts w:ascii="Times New Roman Italic" w:hAnsi="Times New Roman Italic" w:cs="Times New Roman Italic"/>
          <w:b w:val="0"/>
          <w:i/>
          <w:iCs/>
          <w:color w:val="000000" w:themeColor="text1"/>
          <w:sz w:val="24"/>
          <w:lang w:eastAsia="zh-Hans"/>
          <w14:textFill>
            <w14:solidFill>
              <w14:schemeClr w14:val="tx1"/>
            </w14:solidFill>
          </w14:textFill>
        </w:rPr>
        <w:t>et al</w:t>
      </w: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hint="eastAsia" w:ascii="Times New Roman Italic" w:hAnsi="Times New Roman Italic" w:cs="Times New Roman Italic"/>
          <w:b w:val="0"/>
          <w:i/>
          <w:iCs/>
          <w:color w:val="000000" w:themeColor="text1"/>
          <w:sz w:val="24"/>
          <w:lang w:eastAsia="zh-Hans"/>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w:hAnsi="Times New Roman" w:cs="Times New Roman"/>
          <w:b w:val="0"/>
          <w:color w:val="000000" w:themeColor="text1"/>
          <w:sz w:val="24"/>
          <w:lang w:eastAsia="zh-Hans"/>
          <w14:textFill>
            <w14:solidFill>
              <w14:schemeClr w14:val="tx1"/>
            </w14:solidFill>
          </w14:textFill>
        </w:rPr>
      </w:pPr>
      <w:r>
        <w:rPr>
          <w:rStyle w:val="3"/>
          <w:rFonts w:ascii="Times New Roman" w:hAnsi="Times New Roman" w:cs="Times New Roman"/>
          <w:b w:val="0"/>
          <w:color w:val="000000" w:themeColor="text1"/>
          <w:sz w:val="24"/>
          <w:lang w:eastAsia="zh-Hans"/>
          <w14:textFill>
            <w14:solidFill>
              <w14:schemeClr w14:val="tx1"/>
            </w14:solidFill>
          </w14:textFill>
        </w:rPr>
        <w:t>Corresponding author</w:t>
      </w:r>
      <w:r>
        <w:rPr>
          <w:rStyle w:val="3"/>
          <w:rFonts w:hint="eastAsia" w:ascii="Times New Roman" w:hAnsi="Times New Roman" w:cs="Times New Roman"/>
          <w:b w:val="0"/>
          <w:color w:val="000000" w:themeColor="text1"/>
          <w:sz w:val="24"/>
          <w:lang w:val="en-US" w:eastAsia="zh-CN"/>
          <w14:textFill>
            <w14:solidFill>
              <w14:schemeClr w14:val="tx1"/>
            </w14:solidFill>
          </w14:textFill>
        </w:rPr>
        <w:t>s</w:t>
      </w:r>
      <w:r>
        <w:rPr>
          <w:rStyle w:val="3"/>
          <w:rFonts w:ascii="Times New Roman" w:hAnsi="Times New Roman" w:cs="Times New Roman"/>
          <w:b w:val="0"/>
          <w:color w:val="000000" w:themeColor="text1"/>
          <w:sz w:val="24"/>
          <w:lang w:eastAsia="zh-Hans"/>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w:hAnsi="Times New Roman" w:cs="Times New Roman"/>
          <w:b w:val="0"/>
          <w:color w:val="000000" w:themeColor="text1"/>
          <w:sz w:val="24"/>
          <w:lang w:eastAsia="zh-Hans"/>
          <w14:textFill>
            <w14:solidFill>
              <w14:schemeClr w14:val="tx1"/>
            </w14:solidFill>
          </w14:textFill>
        </w:rPr>
      </w:pPr>
      <w:bookmarkStart w:id="1" w:name="_GoBack"/>
      <w:bookmarkEnd w:id="1"/>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hint="default" w:ascii="Times New Roman" w:hAnsi="Times New Roman" w:cs="Times New Roman" w:eastAsiaTheme="minorEastAsia"/>
          <w:b w:val="0"/>
          <w:color w:val="000000" w:themeColor="text1"/>
          <w:sz w:val="24"/>
          <w:lang w:val="en-US" w:eastAsia="zh-CN"/>
          <w14:textFill>
            <w14:solidFill>
              <w14:schemeClr w14:val="tx1"/>
            </w14:solidFill>
          </w14:textFill>
        </w:rPr>
      </w:pPr>
      <w:r>
        <w:rPr>
          <w:rStyle w:val="3"/>
          <w:rFonts w:hint="eastAsia" w:ascii="Times New Roman" w:hAnsi="Times New Roman" w:cs="Times New Roman"/>
          <w:b w:val="0"/>
          <w:color w:val="000000" w:themeColor="text1"/>
          <w:sz w:val="24"/>
          <w:lang w:val="en-US" w:eastAsia="zh-CN"/>
          <w14:textFill>
            <w14:solidFill>
              <w14:schemeClr w14:val="tx1"/>
            </w14:solidFill>
          </w14:textFill>
        </w:rPr>
        <w:t xml:space="preserve">Shaomin Shi (Email: </w:t>
      </w:r>
      <w:r>
        <w:rPr>
          <w:rStyle w:val="3"/>
          <w:rFonts w:hint="eastAsia" w:ascii="Times New Roman" w:hAnsi="Times New Roman" w:cs="Times New Roman"/>
          <w:b w:val="0"/>
          <w:color w:val="000000" w:themeColor="text1"/>
          <w:sz w:val="24"/>
          <w:lang w:val="en-US" w:eastAsia="zh-CN"/>
          <w14:textFill>
            <w14:solidFill>
              <w14:schemeClr w14:val="tx1"/>
            </w14:solidFill>
          </w14:textFill>
        </w:rPr>
        <w:fldChar w:fldCharType="begin"/>
      </w:r>
      <w:r>
        <w:rPr>
          <w:rStyle w:val="3"/>
          <w:rFonts w:hint="eastAsia" w:ascii="Times New Roman" w:hAnsi="Times New Roman" w:cs="Times New Roman"/>
          <w:b w:val="0"/>
          <w:color w:val="000000" w:themeColor="text1"/>
          <w:sz w:val="24"/>
          <w:lang w:val="en-US" w:eastAsia="zh-CN"/>
          <w14:textFill>
            <w14:solidFill>
              <w14:schemeClr w14:val="tx1"/>
            </w14:solidFill>
          </w14:textFill>
        </w:rPr>
        <w:instrText xml:space="preserve"> HYPERLINK "mailto:dermatologist_shi@163.com)" </w:instrText>
      </w:r>
      <w:r>
        <w:rPr>
          <w:rStyle w:val="3"/>
          <w:rFonts w:hint="eastAsia" w:ascii="Times New Roman" w:hAnsi="Times New Roman" w:cs="Times New Roman"/>
          <w:b w:val="0"/>
          <w:color w:val="000000" w:themeColor="text1"/>
          <w:sz w:val="24"/>
          <w:lang w:val="en-US" w:eastAsia="zh-CN"/>
          <w14:textFill>
            <w14:solidFill>
              <w14:schemeClr w14:val="tx1"/>
            </w14:solidFill>
          </w14:textFill>
        </w:rPr>
        <w:fldChar w:fldCharType="separate"/>
      </w:r>
      <w:r>
        <w:rPr>
          <w:rStyle w:val="4"/>
          <w:rFonts w:hint="eastAsia" w:ascii="Times New Roman" w:hAnsi="Times New Roman" w:cs="Times New Roman"/>
          <w:b w:val="0"/>
          <w:color w:val="000000" w:themeColor="text1"/>
          <w:sz w:val="24"/>
          <w:lang w:val="en-US" w:eastAsia="zh-CN"/>
          <w14:textFill>
            <w14:solidFill>
              <w14:schemeClr w14:val="tx1"/>
            </w14:solidFill>
          </w14:textFill>
        </w:rPr>
        <w:t>dermatologist_shi@163.com)</w:t>
      </w:r>
      <w:r>
        <w:rPr>
          <w:rStyle w:val="3"/>
          <w:rFonts w:hint="eastAsia" w:ascii="Times New Roman" w:hAnsi="Times New Roman" w:cs="Times New Roman"/>
          <w:b w:val="0"/>
          <w:color w:val="000000" w:themeColor="text1"/>
          <w:sz w:val="24"/>
          <w:lang w:val="en-US" w:eastAsia="zh-CN"/>
          <w14:textFill>
            <w14:solidFill>
              <w14:schemeClr w14:val="tx1"/>
            </w14:solidFill>
          </w14:textFill>
        </w:rPr>
        <w:fldChar w:fldCharType="end"/>
      </w:r>
      <w:r>
        <w:rPr>
          <w:rStyle w:val="3"/>
          <w:rFonts w:hint="eastAsia" w:ascii="Times New Roman" w:hAnsi="Times New Roman" w:cs="Times New Roman"/>
          <w:b w:val="0"/>
          <w:color w:val="000000" w:themeColor="text1"/>
          <w:sz w:val="24"/>
          <w:lang w:val="en-US" w:eastAsia="zh-CN"/>
          <w14:textFill>
            <w14:solidFill>
              <w14:schemeClr w14:val="tx1"/>
            </w14:solidFill>
          </w14:textFill>
        </w:rPr>
        <w:t xml:space="preserve"> and</w:t>
      </w: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w:hAnsi="Times New Roman" w:cs="Times New Roman"/>
          <w:b w:val="0"/>
          <w:color w:val="000000" w:themeColor="text1"/>
          <w:sz w:val="24"/>
          <w:lang w:eastAsia="zh-Hans"/>
          <w14:textFill>
            <w14:solidFill>
              <w14:schemeClr w14:val="tx1"/>
            </w14:solidFill>
          </w14:textFill>
        </w:rPr>
      </w:pPr>
      <w:r>
        <w:rPr>
          <w:rStyle w:val="3"/>
          <w:rFonts w:ascii="Times New Roman" w:hAnsi="Times New Roman" w:cs="Times New Roman"/>
          <w:b w:val="0"/>
          <w:color w:val="000000" w:themeColor="text1"/>
          <w:sz w:val="24"/>
          <w:lang w:eastAsia="zh-Hans"/>
          <w14:textFill>
            <w14:solidFill>
              <w14:schemeClr w14:val="tx1"/>
            </w14:solidFill>
          </w14:textFill>
        </w:rPr>
        <w:t>Yaling Liu (Email:</w:t>
      </w:r>
      <w:r>
        <w:rPr>
          <w:rFonts w:ascii="Times New Roman" w:hAnsi="Times New Roman" w:cs="Times New Roman"/>
          <w:color w:val="000000" w:themeColor="text1"/>
          <w:sz w:val="24"/>
          <w14:textFill>
            <w14:solidFill>
              <w14:schemeClr w14:val="tx1"/>
            </w14:solidFill>
          </w14:textFill>
        </w:rPr>
        <w:t xml:space="preserve"> </w:t>
      </w:r>
      <w:r>
        <w:rPr>
          <w:rFonts w:ascii="Times New Roman" w:hAnsi="Times New Roman" w:cs="Times New Roman"/>
          <w:color w:val="000000" w:themeColor="text1"/>
          <w:sz w:val="24"/>
          <w14:textFill>
            <w14:solidFill>
              <w14:schemeClr w14:val="tx1"/>
            </w14:solidFill>
          </w14:textFill>
        </w:rPr>
        <w:fldChar w:fldCharType="begin"/>
      </w:r>
      <w:r>
        <w:rPr>
          <w:rFonts w:ascii="Times New Roman" w:hAnsi="Times New Roman" w:cs="Times New Roman"/>
          <w:color w:val="000000" w:themeColor="text1"/>
          <w:sz w:val="24"/>
          <w14:textFill>
            <w14:solidFill>
              <w14:schemeClr w14:val="tx1"/>
            </w14:solidFill>
          </w14:textFill>
        </w:rPr>
        <w:instrText xml:space="preserve"> HYPERLINK "mailto:yzling_liu1214@126.com)" </w:instrText>
      </w:r>
      <w:r>
        <w:rPr>
          <w:rFonts w:ascii="Times New Roman" w:hAnsi="Times New Roman" w:cs="Times New Roman"/>
          <w:color w:val="000000" w:themeColor="text1"/>
          <w:sz w:val="24"/>
          <w14:textFill>
            <w14:solidFill>
              <w14:schemeClr w14:val="tx1"/>
            </w14:solidFill>
          </w14:textFill>
        </w:rPr>
        <w:fldChar w:fldCharType="separate"/>
      </w:r>
      <w:r>
        <w:rPr>
          <w:rStyle w:val="4"/>
          <w:rFonts w:ascii="Times New Roman" w:hAnsi="Times New Roman" w:cs="Times New Roman"/>
          <w:color w:val="000000" w:themeColor="text1"/>
          <w:sz w:val="24"/>
          <w14:textFill>
            <w14:solidFill>
              <w14:schemeClr w14:val="tx1"/>
            </w14:solidFill>
          </w14:textFill>
        </w:rPr>
        <w:t>yzling_liu</w:t>
      </w:r>
      <w:r>
        <w:rPr>
          <w:rStyle w:val="4"/>
          <w:rFonts w:hint="eastAsia" w:ascii="Times New Roman" w:hAnsi="Times New Roman" w:cs="Times New Roman"/>
          <w:color w:val="000000" w:themeColor="text1"/>
          <w:sz w:val="24"/>
          <w14:textFill>
            <w14:solidFill>
              <w14:schemeClr w14:val="tx1"/>
            </w14:solidFill>
          </w14:textFill>
        </w:rPr>
        <w:t>1214</w:t>
      </w:r>
      <w:r>
        <w:rPr>
          <w:rStyle w:val="4"/>
          <w:rFonts w:ascii="Times New Roman" w:hAnsi="Times New Roman" w:cs="Times New Roman"/>
          <w:color w:val="000000" w:themeColor="text1"/>
          <w:sz w:val="24"/>
          <w14:textFill>
            <w14:solidFill>
              <w14:schemeClr w14:val="tx1"/>
            </w14:solidFill>
          </w14:textFill>
        </w:rPr>
        <w:t>@126.com</w:t>
      </w:r>
      <w:r>
        <w:rPr>
          <w:rStyle w:val="4"/>
          <w:rFonts w:ascii="Times New Roman" w:hAnsi="Times New Roman" w:cs="Times New Roman"/>
          <w:b w:val="0"/>
          <w:color w:val="000000" w:themeColor="text1"/>
          <w:sz w:val="24"/>
          <w:lang w:eastAsia="zh-Hans"/>
          <w14:textFill>
            <w14:solidFill>
              <w14:schemeClr w14:val="tx1"/>
            </w14:solidFill>
          </w14:textFill>
        </w:rPr>
        <w:t>)</w:t>
      </w:r>
      <w:r>
        <w:rPr>
          <w:rFonts w:ascii="Times New Roman" w:hAnsi="Times New Roman" w:cs="Times New Roman"/>
          <w:color w:val="000000" w:themeColor="text1"/>
          <w:sz w:val="24"/>
          <w14:textFill>
            <w14:solidFill>
              <w14:schemeClr w14:val="tx1"/>
            </w14:solidFill>
          </w14:textFill>
        </w:rPr>
        <w:fldChar w:fldCharType="end"/>
      </w: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w:hAnsi="Times New Roman" w:cs="Times New Roman"/>
          <w:b w:val="0"/>
          <w:color w:val="000000" w:themeColor="text1"/>
          <w:sz w:val="24"/>
          <w:lang w:eastAsia="zh-Hans"/>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Style w:val="3"/>
          <w:rFonts w:ascii="Times New Roman" w:hAnsi="Times New Roman" w:cs="Times New Roman"/>
          <w:b w:val="0"/>
          <w:color w:val="000000" w:themeColor="text1"/>
          <w:sz w:val="24"/>
          <w:szCs w:val="22"/>
          <w14:textFill>
            <w14:solidFill>
              <w14:schemeClr w14:val="tx1"/>
            </w14:solidFill>
          </w14:textFill>
        </w:rPr>
      </w:pPr>
      <w:r>
        <w:rPr>
          <w:rStyle w:val="3"/>
          <w:rFonts w:ascii="Times New Roman" w:hAnsi="Times New Roman" w:cs="Times New Roman"/>
          <w:b w:val="0"/>
          <w:color w:val="000000" w:themeColor="text1"/>
          <w:sz w:val="24"/>
          <w:szCs w:val="22"/>
          <w:lang w:eastAsia="zh-Hans"/>
          <w14:textFill>
            <w14:solidFill>
              <w14:schemeClr w14:val="tx1"/>
            </w14:solidFill>
          </w14:textFill>
        </w:rPr>
        <w:t>This file includes</w:t>
      </w:r>
      <w:bookmarkStart w:id="0" w:name="OLE_LINK123"/>
      <w:r>
        <w:rPr>
          <w:rStyle w:val="3"/>
          <w:rFonts w:hint="eastAsia" w:ascii="Times New Roman" w:hAnsi="Times New Roman" w:cs="Times New Roman"/>
          <w:b w:val="0"/>
          <w:color w:val="000000" w:themeColor="text1"/>
          <w:sz w:val="24"/>
          <w:szCs w:val="22"/>
          <w:lang w:val="en-US" w:eastAsia="zh-CN"/>
          <w14:textFill>
            <w14:solidFill>
              <w14:schemeClr w14:val="tx1"/>
            </w14:solidFill>
          </w14:textFill>
        </w:rPr>
        <w:t xml:space="preserve"> </w:t>
      </w:r>
      <w:r>
        <w:rPr>
          <w:rStyle w:val="3"/>
          <w:rFonts w:ascii="Times New Roman" w:hAnsi="Times New Roman" w:cs="Times New Roman"/>
          <w:b w:val="0"/>
          <w:color w:val="000000" w:themeColor="text1"/>
          <w:sz w:val="24"/>
          <w:szCs w:val="22"/>
          <w:lang w:eastAsia="zh-Hans"/>
          <w14:textFill>
            <w14:solidFill>
              <w14:schemeClr w14:val="tx1"/>
            </w14:solidFill>
          </w14:textFill>
        </w:rPr>
        <w:t>Supplementary Figure</w:t>
      </w:r>
      <w:bookmarkEnd w:id="0"/>
      <w:r>
        <w:rPr>
          <w:rStyle w:val="3"/>
          <w:rFonts w:ascii="Times New Roman" w:hAnsi="Times New Roman" w:cs="Times New Roman"/>
          <w:b w:val="0"/>
          <w:color w:val="000000" w:themeColor="text1"/>
          <w:sz w:val="24"/>
          <w:szCs w:val="22"/>
          <w:lang w:eastAsia="zh-Hans"/>
          <w14:textFill>
            <w14:solidFill>
              <w14:schemeClr w14:val="tx1"/>
            </w14:solidFill>
          </w14:textFill>
        </w:rPr>
        <w:t xml:space="preserve"> 1-</w:t>
      </w:r>
      <w:r>
        <w:rPr>
          <w:rStyle w:val="3"/>
          <w:rFonts w:hint="eastAsia" w:ascii="Times New Roman" w:hAnsi="Times New Roman" w:cs="Times New Roman"/>
          <w:b w:val="0"/>
          <w:color w:val="000000" w:themeColor="text1"/>
          <w:sz w:val="24"/>
          <w:szCs w:val="22"/>
          <w:lang w:val="en-US" w:eastAsia="zh-CN"/>
          <w14:textFill>
            <w14:solidFill>
              <w14:schemeClr w14:val="tx1"/>
            </w14:solidFill>
          </w14:textFill>
        </w:rPr>
        <w:t>4</w:t>
      </w:r>
      <w:r>
        <w:rPr>
          <w:rStyle w:val="3"/>
          <w:rFonts w:hint="eastAsia" w:ascii="Times New Roman" w:hAnsi="Times New Roman" w:cs="Times New Roman"/>
          <w:b w:val="0"/>
          <w:color w:val="000000" w:themeColor="text1"/>
          <w:sz w:val="24"/>
          <w:szCs w:val="22"/>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themeColor="text1"/>
          <w:sz w:val="28"/>
          <w:szCs w:val="28"/>
          <w:lang w:eastAsia="zh-Hans"/>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Style w:val="3"/>
          <w:rFonts w:ascii="Times New Roman" w:hAnsi="Times New Roman" w:cs="Times New Roman"/>
          <w:bCs/>
          <w:color w:val="000000" w:themeColor="text1"/>
          <w:sz w:val="24"/>
          <w:szCs w:val="22"/>
          <w:lang w:eastAsia="zh-Hans"/>
          <w14:textFill>
            <w14:solidFill>
              <w14:schemeClr w14:val="tx1"/>
            </w14:solidFill>
          </w14:textFill>
        </w:rPr>
      </w:pPr>
      <w:r>
        <w:rPr>
          <w:rStyle w:val="3"/>
          <w:rFonts w:ascii="Times New Roman" w:hAnsi="Times New Roman" w:cs="Times New Roman"/>
          <w:bCs/>
          <w:color w:val="000000" w:themeColor="text1"/>
          <w:sz w:val="24"/>
          <w:szCs w:val="22"/>
          <w:lang w:eastAsia="zh-Hans"/>
          <w14:textFill>
            <w14:solidFill>
              <w14:schemeClr w14:val="tx1"/>
            </w14:solidFill>
          </w14:textFill>
        </w:rPr>
        <w:t>Supplementary Figures and Figure Legends: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Style w:val="3"/>
          <w:rFonts w:hint="eastAsia" w:ascii="Times New Roman" w:hAnsi="Times New Roman" w:cs="Times New Roman" w:eastAsiaTheme="minorEastAsia"/>
          <w:bCs/>
          <w:color w:val="000000" w:themeColor="text1"/>
          <w:sz w:val="24"/>
          <w:szCs w:val="22"/>
          <w:lang w:eastAsia="zh-CN"/>
          <w14:textFill>
            <w14:solidFill>
              <w14:schemeClr w14:val="tx1"/>
            </w14:solidFill>
          </w14:textFill>
        </w:rPr>
      </w:pPr>
      <w:r>
        <w:rPr>
          <w:rStyle w:val="3"/>
          <w:rFonts w:hint="eastAsia" w:ascii="Times New Roman" w:hAnsi="Times New Roman" w:cs="Times New Roman" w:eastAsiaTheme="minorEastAsia"/>
          <w:bCs/>
          <w:color w:val="000000" w:themeColor="text1"/>
          <w:sz w:val="24"/>
          <w:szCs w:val="22"/>
          <w:lang w:eastAsia="zh-CN"/>
          <w14:textFill>
            <w14:solidFill>
              <w14:schemeClr w14:val="tx1"/>
            </w14:solidFill>
          </w14:textFill>
        </w:rPr>
        <w:drawing>
          <wp:inline distT="0" distB="0" distL="114300" distR="114300">
            <wp:extent cx="5266690" cy="5266690"/>
            <wp:effectExtent l="0" t="0" r="10160" b="10160"/>
            <wp:docPr id="1" name="图片 1" descr="Supplementary 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1"/>
                    <pic:cNvPicPr>
                      <a:picLocks noChangeAspect="1"/>
                    </pic:cNvPicPr>
                  </pic:nvPicPr>
                  <pic:blipFill>
                    <a:blip r:embed="rId4"/>
                    <a:stretch>
                      <a:fillRect/>
                    </a:stretch>
                  </pic:blipFill>
                  <pic:spPr>
                    <a:xfrm>
                      <a:off x="0" y="0"/>
                      <a:ext cx="5266690" cy="52666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楷体" w:cs="Times New Roman"/>
          <w:sz w:val="24"/>
          <w:szCs w:val="24"/>
          <w:highlight w:val="none"/>
        </w:rPr>
      </w:pPr>
      <w:r>
        <w:rPr>
          <w:rFonts w:hint="default" w:ascii="Times New Roman" w:hAnsi="Times New Roman" w:eastAsia="楷体" w:cs="Times New Roman"/>
          <w:b/>
          <w:bCs/>
          <w:sz w:val="21"/>
          <w:szCs w:val="21"/>
          <w:highlight w:val="none"/>
        </w:rPr>
        <w:t>Fig</w:t>
      </w:r>
      <w:r>
        <w:rPr>
          <w:rFonts w:hint="eastAsia" w:ascii="Times New Roman" w:hAnsi="Times New Roman" w:eastAsia="楷体" w:cs="Times New Roman"/>
          <w:b/>
          <w:bCs/>
          <w:sz w:val="21"/>
          <w:szCs w:val="21"/>
          <w:highlight w:val="none"/>
          <w:lang w:val="en-US" w:eastAsia="zh-CN"/>
        </w:rPr>
        <w:t xml:space="preserve"> S</w:t>
      </w:r>
      <w:r>
        <w:rPr>
          <w:rFonts w:hint="default" w:ascii="Times New Roman" w:hAnsi="Times New Roman" w:eastAsia="楷体" w:cs="Times New Roman"/>
          <w:b/>
          <w:bCs/>
          <w:sz w:val="21"/>
          <w:szCs w:val="21"/>
          <w:highlight w:val="none"/>
        </w:rPr>
        <w:t>1</w:t>
      </w:r>
      <w:r>
        <w:rPr>
          <w:rFonts w:hint="default" w:ascii="Times New Roman" w:hAnsi="Times New Roman" w:eastAsia="楷体" w:cs="Times New Roman"/>
          <w:sz w:val="21"/>
          <w:szCs w:val="21"/>
        </w:rPr>
        <w:t xml:space="preserve">. Diagnostic value of SIRT5 to distinguish tumor tissues from </w:t>
      </w:r>
      <w:r>
        <w:rPr>
          <w:rFonts w:hint="default" w:ascii="Times New Roman" w:hAnsi="Times New Roman" w:eastAsia="楷体" w:cs="Times New Roman"/>
          <w:sz w:val="21"/>
          <w:szCs w:val="21"/>
          <w:highlight w:val="none"/>
        </w:rPr>
        <w:t>normal tissues. The AUC value was more than 0.7.</w:t>
      </w:r>
      <w:r>
        <w:rPr>
          <w:rFonts w:hint="default" w:ascii="Times New Roman" w:hAnsi="Times New Roman" w:eastAsia="楷体" w:cs="Times New Roman"/>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sz w:val="24"/>
          <w:szCs w:val="24"/>
          <w:highlight w:val="none"/>
          <w:lang w:eastAsia="zh-CN"/>
        </w:rPr>
      </w:pPr>
      <w:r>
        <w:rPr>
          <w:rFonts w:hint="eastAsia" w:ascii="Times New Roman" w:hAnsi="Times New Roman" w:eastAsia="楷体" w:cs="Times New Roman"/>
          <w:sz w:val="24"/>
          <w:szCs w:val="24"/>
          <w:highlight w:val="none"/>
          <w:lang w:eastAsia="zh-CN"/>
        </w:rPr>
        <w:drawing>
          <wp:inline distT="0" distB="0" distL="114300" distR="114300">
            <wp:extent cx="5266690" cy="6583680"/>
            <wp:effectExtent l="0" t="0" r="10160" b="7620"/>
            <wp:docPr id="2" name="图片 2" descr="Supplementary 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ure2"/>
                    <pic:cNvPicPr>
                      <a:picLocks noChangeAspect="1"/>
                    </pic:cNvPicPr>
                  </pic:nvPicPr>
                  <pic:blipFill>
                    <a:blip r:embed="rId5"/>
                    <a:stretch>
                      <a:fillRect/>
                    </a:stretch>
                  </pic:blipFill>
                  <pic:spPr>
                    <a:xfrm>
                      <a:off x="0" y="0"/>
                      <a:ext cx="5266690" cy="65836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楷体" w:cs="Times New Roman"/>
          <w:sz w:val="21"/>
          <w:szCs w:val="21"/>
          <w:highlight w:val="none"/>
        </w:rPr>
      </w:pPr>
      <w:r>
        <w:rPr>
          <w:rFonts w:hint="default" w:ascii="Times New Roman" w:hAnsi="Times New Roman" w:eastAsia="楷体" w:cs="Times New Roman"/>
          <w:b/>
          <w:bCs/>
          <w:sz w:val="21"/>
          <w:szCs w:val="21"/>
          <w:highlight w:val="none"/>
        </w:rPr>
        <w:t>Fig</w:t>
      </w:r>
      <w:r>
        <w:rPr>
          <w:rFonts w:hint="eastAsia" w:ascii="Times New Roman" w:hAnsi="Times New Roman" w:eastAsia="楷体" w:cs="Times New Roman"/>
          <w:b/>
          <w:bCs/>
          <w:sz w:val="21"/>
          <w:szCs w:val="21"/>
          <w:highlight w:val="none"/>
          <w:lang w:val="en-US" w:eastAsia="zh-CN"/>
        </w:rPr>
        <w:t xml:space="preserve"> S</w:t>
      </w:r>
      <w:r>
        <w:rPr>
          <w:rFonts w:hint="default" w:ascii="Times New Roman" w:hAnsi="Times New Roman" w:eastAsia="楷体" w:cs="Times New Roman"/>
          <w:b/>
          <w:bCs/>
          <w:sz w:val="21"/>
          <w:szCs w:val="21"/>
          <w:highlight w:val="none"/>
        </w:rPr>
        <w:t>2</w:t>
      </w:r>
      <w:r>
        <w:rPr>
          <w:rFonts w:hint="default" w:ascii="Times New Roman" w:hAnsi="Times New Roman" w:eastAsia="楷体" w:cs="Times New Roman"/>
          <w:sz w:val="21"/>
          <w:szCs w:val="21"/>
          <w:highlight w:val="none"/>
        </w:rPr>
        <w:t>. Relationships between SIRT5 and Signaling Pathways between high- and low-SIRT5 tumor tissues. NES is the normalized enrichment score in the GSEA algorithm.</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sz w:val="24"/>
          <w:szCs w:val="24"/>
          <w:highlight w:val="none"/>
          <w:lang w:eastAsia="zh-CN"/>
        </w:rPr>
      </w:pPr>
      <w:r>
        <w:rPr>
          <w:rFonts w:hint="eastAsia" w:ascii="Times New Roman" w:hAnsi="Times New Roman" w:eastAsia="楷体" w:cs="Times New Roman"/>
          <w:sz w:val="24"/>
          <w:szCs w:val="24"/>
          <w:highlight w:val="none"/>
          <w:lang w:eastAsia="zh-CN"/>
        </w:rPr>
        <w:drawing>
          <wp:inline distT="0" distB="0" distL="114300" distR="114300">
            <wp:extent cx="5269230" cy="5098415"/>
            <wp:effectExtent l="0" t="0" r="7620" b="6985"/>
            <wp:docPr id="3" name="图片 3" descr="Supplementary 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3"/>
                    <pic:cNvPicPr>
                      <a:picLocks noChangeAspect="1"/>
                    </pic:cNvPicPr>
                  </pic:nvPicPr>
                  <pic:blipFill>
                    <a:blip r:embed="rId6"/>
                    <a:stretch>
                      <a:fillRect/>
                    </a:stretch>
                  </pic:blipFill>
                  <pic:spPr>
                    <a:xfrm>
                      <a:off x="0" y="0"/>
                      <a:ext cx="5269230" cy="50984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楷体" w:cs="Times New Roman"/>
          <w:sz w:val="21"/>
          <w:szCs w:val="21"/>
          <w:highlight w:val="none"/>
        </w:rPr>
      </w:pPr>
      <w:r>
        <w:rPr>
          <w:rFonts w:hint="default" w:ascii="Times New Roman" w:hAnsi="Times New Roman" w:eastAsia="楷体" w:cs="Times New Roman"/>
          <w:b/>
          <w:bCs/>
          <w:sz w:val="21"/>
          <w:szCs w:val="21"/>
          <w:highlight w:val="none"/>
        </w:rPr>
        <w:t>Fig</w:t>
      </w:r>
      <w:r>
        <w:rPr>
          <w:rFonts w:hint="eastAsia" w:ascii="Times New Roman" w:hAnsi="Times New Roman" w:eastAsia="楷体" w:cs="Times New Roman"/>
          <w:b/>
          <w:bCs/>
          <w:sz w:val="21"/>
          <w:szCs w:val="21"/>
          <w:highlight w:val="none"/>
          <w:lang w:val="en-US" w:eastAsia="zh-CN"/>
        </w:rPr>
        <w:t xml:space="preserve"> S</w:t>
      </w:r>
      <w:r>
        <w:rPr>
          <w:rFonts w:hint="default" w:ascii="Times New Roman" w:hAnsi="Times New Roman" w:eastAsia="楷体" w:cs="Times New Roman"/>
          <w:b/>
          <w:bCs/>
          <w:sz w:val="21"/>
          <w:szCs w:val="21"/>
          <w:highlight w:val="none"/>
        </w:rPr>
        <w:t>3</w:t>
      </w:r>
      <w:r>
        <w:rPr>
          <w:rFonts w:hint="default" w:ascii="Times New Roman" w:hAnsi="Times New Roman" w:eastAsia="楷体" w:cs="Times New Roman"/>
          <w:sz w:val="21"/>
          <w:szCs w:val="21"/>
          <w:highlight w:val="none"/>
        </w:rPr>
        <w:t>. Correlation analysis of SIRT5 expression and IPL pathways activity. (</w:t>
      </w:r>
      <w:r>
        <w:rPr>
          <w:rFonts w:hint="default" w:ascii="Times New Roman" w:hAnsi="Times New Roman" w:eastAsia="楷体" w:cs="Times New Roman"/>
          <w:b/>
          <w:bCs/>
          <w:sz w:val="21"/>
          <w:szCs w:val="21"/>
          <w:highlight w:val="none"/>
        </w:rPr>
        <w:t>A</w:t>
      </w:r>
      <w:r>
        <w:rPr>
          <w:rFonts w:hint="eastAsia" w:ascii="Times New Roman" w:hAnsi="Times New Roman" w:eastAsia="楷体" w:cs="Times New Roman"/>
          <w:b/>
          <w:bCs/>
          <w:sz w:val="21"/>
          <w:szCs w:val="21"/>
          <w:highlight w:val="none"/>
          <w:lang w:val="en-US" w:eastAsia="zh-CN"/>
        </w:rPr>
        <w:t xml:space="preserve">, </w:t>
      </w:r>
      <w:r>
        <w:rPr>
          <w:rFonts w:hint="default" w:ascii="Times New Roman" w:hAnsi="Times New Roman" w:eastAsia="楷体" w:cs="Times New Roman"/>
          <w:b/>
          <w:bCs/>
          <w:sz w:val="21"/>
          <w:szCs w:val="21"/>
          <w:highlight w:val="none"/>
        </w:rPr>
        <w:t>B</w:t>
      </w:r>
      <w:r>
        <w:rPr>
          <w:rFonts w:hint="default" w:ascii="Times New Roman" w:hAnsi="Times New Roman" w:eastAsia="楷体" w:cs="Times New Roman"/>
          <w:sz w:val="21"/>
          <w:szCs w:val="21"/>
          <w:highlight w:val="none"/>
        </w:rPr>
        <w:t>)</w:t>
      </w:r>
      <w:r>
        <w:rPr>
          <w:rFonts w:hint="default" w:ascii="Times New Roman" w:hAnsi="Times New Roman" w:cs="Times New Roman"/>
          <w:sz w:val="21"/>
          <w:szCs w:val="21"/>
          <w:highlight w:val="none"/>
        </w:rPr>
        <w:t xml:space="preserve"> </w:t>
      </w:r>
      <w:r>
        <w:rPr>
          <w:rFonts w:hint="default" w:ascii="Times New Roman" w:hAnsi="Times New Roman" w:eastAsia="楷体" w:cs="Times New Roman"/>
          <w:color w:val="000000" w:themeColor="text1"/>
          <w:sz w:val="21"/>
          <w:szCs w:val="21"/>
          <w:highlight w:val="none"/>
          <w14:textFill>
            <w14:solidFill>
              <w14:schemeClr w14:val="tx1"/>
            </w14:solidFill>
          </w14:textFill>
        </w:rPr>
        <w:t>The left bar chart shows the total number of elements contained in each original dataset; The part of the lower intersection point, through the horizontal correspondence, uses the point to refer to the corresponding dataset name on the left. By vertically implementing connections between points, it represents the intersection between corresponding datasets. That is, through the connection between points, it corresponds to the overlap of circles in traditional Wayne diagrams. Through the longitudinal correspondence, corresponding to the upper column chart, the number of intersection elements in this intersection case is represented. (</w:t>
      </w:r>
      <w:r>
        <w:rPr>
          <w:rFonts w:hint="default" w:ascii="Times New Roman" w:hAnsi="Times New Roman" w:eastAsia="楷体" w:cs="Times New Roman"/>
          <w:b/>
          <w:bCs/>
          <w:sz w:val="21"/>
          <w:szCs w:val="21"/>
          <w:highlight w:val="none"/>
        </w:rPr>
        <w:t>C</w:t>
      </w:r>
      <w:r>
        <w:rPr>
          <w:rFonts w:hint="eastAsia" w:ascii="Times New Roman" w:hAnsi="Times New Roman" w:eastAsia="楷体" w:cs="Times New Roman"/>
          <w:b/>
          <w:bCs/>
          <w:sz w:val="21"/>
          <w:szCs w:val="21"/>
          <w:highlight w:val="none"/>
          <w:lang w:val="en-US" w:eastAsia="zh-CN"/>
        </w:rPr>
        <w:t xml:space="preserve">, </w:t>
      </w:r>
      <w:r>
        <w:rPr>
          <w:rFonts w:hint="default" w:ascii="Times New Roman" w:hAnsi="Times New Roman" w:eastAsia="楷体" w:cs="Times New Roman"/>
          <w:b/>
          <w:bCs/>
          <w:sz w:val="21"/>
          <w:szCs w:val="21"/>
          <w:highlight w:val="none"/>
        </w:rPr>
        <w:t>D</w:t>
      </w:r>
      <w:r>
        <w:rPr>
          <w:rFonts w:hint="default" w:ascii="Times New Roman" w:hAnsi="Times New Roman" w:eastAsia="楷体" w:cs="Times New Roman"/>
          <w:sz w:val="21"/>
          <w:szCs w:val="21"/>
          <w:highlight w:val="none"/>
        </w:rPr>
        <w:t>)</w:t>
      </w:r>
      <w:r>
        <w:rPr>
          <w:rFonts w:hint="default" w:ascii="Times New Roman" w:hAnsi="Times New Roman" w:cs="Times New Roman"/>
          <w:color w:val="333333"/>
          <w:sz w:val="21"/>
          <w:szCs w:val="21"/>
          <w:highlight w:val="none"/>
          <w:shd w:val="clear" w:color="auto" w:fill="FFFFFF"/>
        </w:rPr>
        <w:t xml:space="preserve"> </w:t>
      </w:r>
      <w:r>
        <w:rPr>
          <w:rFonts w:hint="default" w:ascii="Times New Roman" w:hAnsi="Times New Roman" w:eastAsia="楷体" w:cs="Times New Roman"/>
          <w:sz w:val="21"/>
          <w:szCs w:val="21"/>
          <w:highlight w:val="none"/>
        </w:rPr>
        <w:t xml:space="preserve">The number of IPL pathways identified in each cancer type. The top y-axis shows the number of IPL pathways and the bottom y-axis shows the proportion of IPL pathways.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default" w:ascii="Times New Roman" w:hAnsi="Times New Roman" w:eastAsia="楷体" w:cs="Times New Roman"/>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Times New Roman" w:hAnsi="Times New Roman" w:eastAsia="楷体" w:cs="Times New Roman"/>
          <w:sz w:val="24"/>
          <w:szCs w:val="24"/>
          <w:highlight w:val="none"/>
          <w:lang w:eastAsia="zh-CN"/>
        </w:rPr>
      </w:pPr>
      <w:r>
        <w:rPr>
          <w:rFonts w:hint="eastAsia" w:ascii="Times New Roman" w:hAnsi="Times New Roman" w:eastAsia="楷体" w:cs="Times New Roman"/>
          <w:sz w:val="24"/>
          <w:szCs w:val="24"/>
          <w:highlight w:val="none"/>
          <w:lang w:eastAsia="zh-CN"/>
        </w:rPr>
        <w:drawing>
          <wp:inline distT="0" distB="0" distL="114300" distR="114300">
            <wp:extent cx="5269230" cy="5098415"/>
            <wp:effectExtent l="0" t="0" r="7620" b="6985"/>
            <wp:docPr id="4" name="图片 4" descr="Supplementary 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ure4"/>
                    <pic:cNvPicPr>
                      <a:picLocks noChangeAspect="1"/>
                    </pic:cNvPicPr>
                  </pic:nvPicPr>
                  <pic:blipFill>
                    <a:blip r:embed="rId7"/>
                    <a:stretch>
                      <a:fillRect/>
                    </a:stretch>
                  </pic:blipFill>
                  <pic:spPr>
                    <a:xfrm>
                      <a:off x="0" y="0"/>
                      <a:ext cx="5269230" cy="509841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360" w:lineRule="auto"/>
        <w:jc w:val="both"/>
        <w:textAlignment w:val="auto"/>
        <w:rPr>
          <w:sz w:val="21"/>
          <w:szCs w:val="21"/>
        </w:rPr>
      </w:pPr>
      <w:r>
        <w:rPr>
          <w:rFonts w:hint="default" w:ascii="Times New Roman" w:hAnsi="Times New Roman" w:eastAsia="楷体" w:cs="Times New Roman"/>
          <w:b/>
          <w:bCs/>
          <w:color w:val="000000" w:themeColor="text1"/>
          <w:sz w:val="21"/>
          <w:szCs w:val="21"/>
          <w:highlight w:val="none"/>
          <w14:textFill>
            <w14:solidFill>
              <w14:schemeClr w14:val="tx1"/>
            </w14:solidFill>
          </w14:textFill>
        </w:rPr>
        <w:t>Fig</w:t>
      </w:r>
      <w:r>
        <w:rPr>
          <w:rFonts w:hint="eastAsia" w:ascii="Times New Roman" w:hAnsi="Times New Roman" w:eastAsia="楷体" w:cs="Times New Roman"/>
          <w:b/>
          <w:bCs/>
          <w:color w:val="000000" w:themeColor="text1"/>
          <w:sz w:val="21"/>
          <w:szCs w:val="21"/>
          <w:highlight w:val="none"/>
          <w:lang w:val="en-US" w:eastAsia="zh-CN"/>
          <w14:textFill>
            <w14:solidFill>
              <w14:schemeClr w14:val="tx1"/>
            </w14:solidFill>
          </w14:textFill>
        </w:rPr>
        <w:t xml:space="preserve"> S</w:t>
      </w:r>
      <w:r>
        <w:rPr>
          <w:rFonts w:hint="default" w:ascii="Times New Roman" w:hAnsi="Times New Roman" w:eastAsia="楷体" w:cs="Times New Roman"/>
          <w:b/>
          <w:bCs/>
          <w:color w:val="000000" w:themeColor="text1"/>
          <w:sz w:val="21"/>
          <w:szCs w:val="21"/>
          <w:highlight w:val="none"/>
          <w14:textFill>
            <w14:solidFill>
              <w14:schemeClr w14:val="tx1"/>
            </w14:solidFill>
          </w14:textFill>
        </w:rPr>
        <w:t>4</w:t>
      </w:r>
      <w:r>
        <w:rPr>
          <w:rFonts w:hint="default" w:ascii="Times New Roman" w:hAnsi="Times New Roman" w:eastAsia="楷体" w:cs="Times New Roman"/>
          <w:color w:val="000000" w:themeColor="text1"/>
          <w:sz w:val="21"/>
          <w:szCs w:val="21"/>
          <w:highlight w:val="none"/>
          <w14:textFill>
            <w14:solidFill>
              <w14:schemeClr w14:val="tx1"/>
            </w14:solidFill>
          </w14:textFill>
        </w:rPr>
        <w:t>. Correlation analysis of SIRT5 expression and microRNA expression. (</w:t>
      </w:r>
      <w:r>
        <w:rPr>
          <w:rFonts w:hint="default" w:ascii="Times New Roman" w:hAnsi="Times New Roman" w:eastAsia="楷体" w:cs="Times New Roman"/>
          <w:b/>
          <w:bCs/>
          <w:color w:val="000000" w:themeColor="text1"/>
          <w:sz w:val="21"/>
          <w:szCs w:val="21"/>
          <w:highlight w:val="none"/>
          <w14:textFill>
            <w14:solidFill>
              <w14:schemeClr w14:val="tx1"/>
            </w14:solidFill>
          </w14:textFill>
        </w:rPr>
        <w:t>A</w:t>
      </w:r>
      <w:r>
        <w:rPr>
          <w:rFonts w:hint="eastAsia" w:ascii="Times New Roman" w:hAnsi="Times New Roman" w:eastAsia="楷体"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楷体" w:cs="Times New Roman"/>
          <w:b/>
          <w:bCs/>
          <w:color w:val="000000" w:themeColor="text1"/>
          <w:sz w:val="21"/>
          <w:szCs w:val="21"/>
          <w:highlight w:val="none"/>
          <w14:textFill>
            <w14:solidFill>
              <w14:schemeClr w14:val="tx1"/>
            </w14:solidFill>
          </w14:textFill>
        </w:rPr>
        <w:t>B</w:t>
      </w:r>
      <w:r>
        <w:rPr>
          <w:rFonts w:hint="default" w:ascii="Times New Roman" w:hAnsi="Times New Roman" w:eastAsia="楷体"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 xml:space="preserve"> </w:t>
      </w:r>
      <w:r>
        <w:rPr>
          <w:rFonts w:hint="default" w:ascii="Times New Roman" w:hAnsi="Times New Roman" w:eastAsia="楷体" w:cs="Times New Roman"/>
          <w:color w:val="000000" w:themeColor="text1"/>
          <w:sz w:val="21"/>
          <w:szCs w:val="21"/>
          <w:highlight w:val="none"/>
          <w14:textFill>
            <w14:solidFill>
              <w14:schemeClr w14:val="tx1"/>
            </w14:solidFill>
          </w14:textFill>
        </w:rPr>
        <w:t>The left bar chart sho</w:t>
      </w:r>
      <w:r>
        <w:rPr>
          <w:rFonts w:hint="default" w:ascii="Times New Roman" w:hAnsi="Times New Roman" w:eastAsia="楷体" w:cs="Times New Roman"/>
          <w:color w:val="000000" w:themeColor="text1"/>
          <w:sz w:val="21"/>
          <w:szCs w:val="21"/>
          <w14:textFill>
            <w14:solidFill>
              <w14:schemeClr w14:val="tx1"/>
            </w14:solidFill>
          </w14:textFill>
        </w:rPr>
        <w:t>ws the total number of elements contained in each original dataset; The part of the lower intersection point, through the horizontal correspondence, uses the point to refer to the corresponding dataset name on the left. By vertically implementing connections between points, it represents the intersection between corresponding datasets. That is, through the connection between points, it corresponds to the overlap of circles in traditional Wayne diagrams. Through the longitudinal correspondence, corresponding to the upper column chart, the number of intersection elements in this intersection case is represented.</w:t>
      </w:r>
      <w:r>
        <w:rPr>
          <w:rFonts w:hint="default" w:ascii="Times New Roman" w:hAnsi="Times New Roman" w:eastAsia="楷体" w:cs="Times New Roman"/>
          <w:sz w:val="21"/>
          <w:szCs w:val="21"/>
        </w:rPr>
        <w:t xml:space="preserve"> (</w:t>
      </w:r>
      <w:r>
        <w:rPr>
          <w:rFonts w:hint="default" w:ascii="Times New Roman" w:hAnsi="Times New Roman" w:eastAsia="楷体" w:cs="Times New Roman"/>
          <w:b/>
          <w:bCs/>
          <w:sz w:val="21"/>
          <w:szCs w:val="21"/>
        </w:rPr>
        <w:t>C</w:t>
      </w:r>
      <w:r>
        <w:rPr>
          <w:rFonts w:hint="eastAsia" w:ascii="Times New Roman" w:hAnsi="Times New Roman" w:eastAsia="楷体" w:cs="Times New Roman"/>
          <w:b/>
          <w:bCs/>
          <w:sz w:val="21"/>
          <w:szCs w:val="21"/>
          <w:lang w:val="en-US" w:eastAsia="zh-CN"/>
        </w:rPr>
        <w:t xml:space="preserve">, </w:t>
      </w:r>
      <w:r>
        <w:rPr>
          <w:rFonts w:hint="default" w:ascii="Times New Roman" w:hAnsi="Times New Roman" w:eastAsia="楷体" w:cs="Times New Roman"/>
          <w:b/>
          <w:bCs/>
          <w:sz w:val="21"/>
          <w:szCs w:val="21"/>
        </w:rPr>
        <w:t>D</w:t>
      </w:r>
      <w:r>
        <w:rPr>
          <w:rFonts w:hint="default" w:ascii="Times New Roman" w:hAnsi="Times New Roman" w:eastAsia="楷体" w:cs="Times New Roman"/>
          <w:sz w:val="21"/>
          <w:szCs w:val="21"/>
        </w:rPr>
        <w:t>)</w:t>
      </w:r>
      <w:r>
        <w:rPr>
          <w:rFonts w:hint="default" w:ascii="Times New Roman" w:hAnsi="Times New Roman" w:cs="Times New Roman"/>
          <w:color w:val="333333"/>
          <w:sz w:val="21"/>
          <w:szCs w:val="21"/>
          <w:shd w:val="clear" w:color="auto" w:fill="FFFFFF"/>
        </w:rPr>
        <w:t xml:space="preserve"> </w:t>
      </w:r>
      <w:r>
        <w:rPr>
          <w:rFonts w:hint="default" w:ascii="Times New Roman" w:hAnsi="Times New Roman" w:eastAsia="楷体" w:cs="Times New Roman"/>
          <w:sz w:val="21"/>
          <w:szCs w:val="21"/>
        </w:rPr>
        <w:t xml:space="preserve">The number of microRNAs identified in each cancer type. The top y-axis shows the number of microRNA and the bottom y-axis shows the proportion of microRNAs.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Times New Roman Italic">
    <w:altName w:val="Times New Roman"/>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D1928"/>
    <w:rsid w:val="04716EED"/>
    <w:rsid w:val="0D505A77"/>
    <w:rsid w:val="12C2688C"/>
    <w:rsid w:val="2D256E96"/>
    <w:rsid w:val="319F6CA1"/>
    <w:rsid w:val="37E97AEB"/>
    <w:rsid w:val="38EC3E06"/>
    <w:rsid w:val="3BCE219A"/>
    <w:rsid w:val="42B31776"/>
    <w:rsid w:val="42C45066"/>
    <w:rsid w:val="42EE1921"/>
    <w:rsid w:val="548F212E"/>
    <w:rsid w:val="56935739"/>
    <w:rsid w:val="71932DE9"/>
    <w:rsid w:val="73CC2585"/>
    <w:rsid w:val="7AA54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Strong"/>
    <w:basedOn w:val="2"/>
    <w:qFormat/>
    <w:uiPriority w:val="22"/>
    <w:rPr>
      <w:b/>
    </w:r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JYC</dc:creator>
  <cp:lastModifiedBy>JYC</cp:lastModifiedBy>
  <dcterms:modified xsi:type="dcterms:W3CDTF">2023-11-07T07:27:51Z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