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2C6F7" w14:textId="0A7FCC3C" w:rsidR="008302C4" w:rsidRDefault="008302C4" w:rsidP="00650AB5">
      <w:pPr>
        <w:rPr>
          <w:rFonts w:hint="eastAsia"/>
        </w:rPr>
      </w:pPr>
    </w:p>
    <w:p w14:paraId="07BF29FD" w14:textId="58B3F30B" w:rsidR="00A01C7F" w:rsidRDefault="00650AB5" w:rsidP="008302C4">
      <w:pPr>
        <w:jc w:val="center"/>
        <w:rPr>
          <w:rFonts w:hint="eastAsia"/>
        </w:rPr>
      </w:pPr>
      <w:r w:rsidRPr="00650AB5">
        <w:rPr>
          <w:noProof/>
        </w:rPr>
        <w:drawing>
          <wp:inline distT="0" distB="0" distL="0" distR="0" wp14:anchorId="21611582" wp14:editId="7DDE6ACB">
            <wp:extent cx="4572000" cy="2571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6D692" w14:textId="400A3846" w:rsidR="008302C4" w:rsidRPr="008302C4" w:rsidRDefault="008302C4" w:rsidP="008302C4">
      <w:pPr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</w:pPr>
      <w:r w:rsidRPr="008302C4">
        <w:rPr>
          <w:rFonts w:ascii="Times New Roman" w:hAnsi="Times New Roman" w:cs="Times New Roman"/>
          <w:b/>
          <w:szCs w:val="21"/>
        </w:rPr>
        <w:t>Figure S1</w:t>
      </w:r>
      <w:r>
        <w:rPr>
          <w:rFonts w:ascii="Times New Roman" w:hAnsi="Times New Roman" w:cs="Times New Roman"/>
          <w:b/>
          <w:szCs w:val="21"/>
        </w:rPr>
        <w:t>.</w:t>
      </w:r>
      <w:r w:rsidRPr="008302C4">
        <w:rPr>
          <w:rFonts w:ascii="Times New Roman" w:hAnsi="Times New Roman" w:cs="Times New Roman"/>
          <w:b/>
          <w:szCs w:val="21"/>
        </w:rPr>
        <w:t xml:space="preserve"> The</w:t>
      </w:r>
      <w:bookmarkStart w:id="0" w:name="OLE_LINK1"/>
      <w:bookmarkStart w:id="1" w:name="OLE_LINK2"/>
      <w:r w:rsidRPr="008302C4">
        <w:rPr>
          <w:rFonts w:ascii="Times New Roman" w:hAnsi="Times New Roman" w:cs="Times New Roman"/>
          <w:b/>
          <w:szCs w:val="21"/>
        </w:rPr>
        <w:t xml:space="preserve"> dominan</w:t>
      </w:r>
      <w:bookmarkEnd w:id="0"/>
      <w:bookmarkEnd w:id="1"/>
      <w:r w:rsidRPr="008302C4">
        <w:rPr>
          <w:rFonts w:ascii="Times New Roman" w:hAnsi="Times New Roman" w:cs="Times New Roman"/>
          <w:b/>
          <w:szCs w:val="21"/>
        </w:rPr>
        <w:t>t bacterial genus differences among two different treatment.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 The application of </w:t>
      </w:r>
      <w:r w:rsidRPr="008302C4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 xml:space="preserve">T. </w:t>
      </w:r>
      <w:proofErr w:type="spellStart"/>
      <w:r w:rsidRPr="008302C4">
        <w:rPr>
          <w:rFonts w:ascii="Times New Roman" w:eastAsia="Garamond" w:hAnsi="Times New Roman" w:cs="Times New Roman"/>
          <w:i/>
          <w:iCs/>
          <w:color w:val="000000" w:themeColor="text1"/>
          <w:szCs w:val="21"/>
          <w:lang w:val="en-GB"/>
        </w:rPr>
        <w:t>asperellum</w:t>
      </w:r>
      <w:proofErr w:type="spellEnd"/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 M45a in continuous cropping soil (</w:t>
      </w:r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>T</w:t>
      </w:r>
      <w:proofErr w:type="spellStart"/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richoderma</w:t>
      </w:r>
      <w:proofErr w:type="spellEnd"/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). The non-inoculated control (CK). </w:t>
      </w:r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>Trichoderma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1, </w:t>
      </w:r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>Trichoderma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2, </w:t>
      </w:r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>Trichoderma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3, </w:t>
      </w:r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>Trichoderma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4: the treatment with </w:t>
      </w:r>
      <w:r w:rsidRPr="008302C4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 xml:space="preserve">T. </w:t>
      </w:r>
      <w:proofErr w:type="spellStart"/>
      <w:r w:rsidRPr="008302C4">
        <w:rPr>
          <w:rFonts w:ascii="Times New Roman" w:eastAsia="Garamond" w:hAnsi="Times New Roman" w:cs="Times New Roman"/>
          <w:i/>
          <w:iCs/>
          <w:color w:val="000000" w:themeColor="text1"/>
          <w:szCs w:val="21"/>
          <w:lang w:val="en-GB"/>
        </w:rPr>
        <w:t>asperellum</w:t>
      </w:r>
      <w:proofErr w:type="spellEnd"/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 M45a at S1, S2, S3 and S4 period,</w:t>
      </w:r>
      <w:r w:rsidRPr="008302C4">
        <w:rPr>
          <w:rFonts w:ascii="Times New Roman" w:hAnsi="Times New Roman" w:cs="Times New Roman"/>
          <w:szCs w:val="21"/>
        </w:rPr>
        <w:t xml:space="preserve"> 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>respectively; CK1, CK2, CK3, CK4: the CK treatments at S1, S2, S3 and S4 period,</w:t>
      </w:r>
      <w:r w:rsidRPr="008302C4">
        <w:rPr>
          <w:rFonts w:ascii="Times New Roman" w:hAnsi="Times New Roman" w:cs="Times New Roman"/>
          <w:szCs w:val="21"/>
        </w:rPr>
        <w:t xml:space="preserve"> 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respectively. </w:t>
      </w:r>
      <w:r w:rsidRPr="008302C4">
        <w:rPr>
          <w:rFonts w:ascii="Times New Roman" w:eastAsia="宋体" w:hAnsi="Times New Roman" w:cs="Times New Roman"/>
          <w:szCs w:val="21"/>
        </w:rPr>
        <w:t xml:space="preserve">S1: </w:t>
      </w:r>
      <w:hyperlink r:id="rId7" w:history="1">
        <w:r w:rsidRPr="008302C4">
          <w:rPr>
            <w:rStyle w:val="a7"/>
            <w:rFonts w:ascii="Times New Roman" w:eastAsia="宋体" w:hAnsi="Times New Roman" w:cs="Times New Roman"/>
            <w:color w:val="auto"/>
            <w:szCs w:val="21"/>
            <w:u w:val="none"/>
          </w:rPr>
          <w:t>the germination period</w:t>
        </w:r>
      </w:hyperlink>
      <w:r w:rsidRPr="008302C4">
        <w:rPr>
          <w:rFonts w:ascii="Times New Roman" w:eastAsia="宋体" w:hAnsi="Times New Roman" w:cs="Times New Roman"/>
          <w:szCs w:val="21"/>
        </w:rPr>
        <w:t>; S2: the seedling period; S3: the smoke trailing period; S4: the blooming period.</w:t>
      </w:r>
    </w:p>
    <w:p w14:paraId="2117618C" w14:textId="501D3E84" w:rsidR="008302C4" w:rsidRDefault="008302C4" w:rsidP="00650AB5"/>
    <w:p w14:paraId="756B7106" w14:textId="667275C7" w:rsidR="00650AB5" w:rsidRDefault="00650AB5" w:rsidP="008302C4">
      <w:pPr>
        <w:jc w:val="center"/>
        <w:rPr>
          <w:rFonts w:hint="eastAsia"/>
        </w:rPr>
      </w:pPr>
      <w:r w:rsidRPr="00650AB5">
        <w:rPr>
          <w:noProof/>
        </w:rPr>
        <w:drawing>
          <wp:inline distT="0" distB="0" distL="0" distR="0" wp14:anchorId="76DF5E43" wp14:editId="14AA5B04">
            <wp:extent cx="4572000" cy="2743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DBEED" w14:textId="7EEB1643" w:rsidR="008302C4" w:rsidRPr="008302C4" w:rsidRDefault="008302C4" w:rsidP="008302C4">
      <w:pPr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</w:pPr>
      <w:r w:rsidRPr="008302C4">
        <w:rPr>
          <w:rFonts w:ascii="Times New Roman" w:hAnsi="Times New Roman" w:cs="Times New Roman"/>
          <w:b/>
          <w:szCs w:val="21"/>
        </w:rPr>
        <w:t>Figure S</w:t>
      </w:r>
      <w:r>
        <w:rPr>
          <w:rFonts w:ascii="Times New Roman" w:hAnsi="Times New Roman" w:cs="Times New Roman"/>
          <w:b/>
          <w:szCs w:val="21"/>
        </w:rPr>
        <w:t>2.</w:t>
      </w:r>
      <w:r w:rsidRPr="008302C4">
        <w:rPr>
          <w:rFonts w:ascii="Times New Roman" w:hAnsi="Times New Roman" w:cs="Times New Roman"/>
          <w:b/>
          <w:szCs w:val="21"/>
        </w:rPr>
        <w:t xml:space="preserve"> The dominant </w:t>
      </w:r>
      <w:r w:rsidRPr="008302C4">
        <w:rPr>
          <w:rFonts w:ascii="Times New Roman" w:hAnsi="Times New Roman" w:cs="Times New Roman"/>
          <w:b/>
          <w:bCs/>
          <w:szCs w:val="21"/>
          <w:lang w:val="en-GB"/>
        </w:rPr>
        <w:t>fungal</w:t>
      </w:r>
      <w:r w:rsidRPr="008302C4">
        <w:rPr>
          <w:rFonts w:ascii="Times New Roman" w:hAnsi="Times New Roman" w:cs="Times New Roman"/>
          <w:b/>
          <w:szCs w:val="21"/>
        </w:rPr>
        <w:t xml:space="preserve"> genus differences among two different treatment.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 The application of </w:t>
      </w:r>
      <w:r w:rsidRPr="008302C4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 xml:space="preserve">T. </w:t>
      </w:r>
      <w:proofErr w:type="spellStart"/>
      <w:r w:rsidRPr="008302C4">
        <w:rPr>
          <w:rFonts w:ascii="Times New Roman" w:eastAsia="Garamond" w:hAnsi="Times New Roman" w:cs="Times New Roman"/>
          <w:i/>
          <w:iCs/>
          <w:color w:val="000000" w:themeColor="text1"/>
          <w:szCs w:val="21"/>
          <w:lang w:val="en-GB"/>
        </w:rPr>
        <w:t>asperellum</w:t>
      </w:r>
      <w:proofErr w:type="spellEnd"/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 M45a in continuous cropping soil (</w:t>
      </w:r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>T</w:t>
      </w:r>
      <w:proofErr w:type="spellStart"/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richoderma</w:t>
      </w:r>
      <w:proofErr w:type="spellEnd"/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). The non-inoculated control (CK). </w:t>
      </w:r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>Trichoderma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1, </w:t>
      </w:r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>Trichoderma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2, </w:t>
      </w:r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>Trichoderma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3, </w:t>
      </w:r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>Trichoderma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4: the treatment with </w:t>
      </w:r>
      <w:r w:rsidRPr="008302C4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 xml:space="preserve">T. </w:t>
      </w:r>
      <w:proofErr w:type="spellStart"/>
      <w:r w:rsidRPr="008302C4">
        <w:rPr>
          <w:rFonts w:ascii="Times New Roman" w:eastAsia="Garamond" w:hAnsi="Times New Roman" w:cs="Times New Roman"/>
          <w:i/>
          <w:iCs/>
          <w:color w:val="000000" w:themeColor="text1"/>
          <w:szCs w:val="21"/>
          <w:lang w:val="en-GB"/>
        </w:rPr>
        <w:t>asperellum</w:t>
      </w:r>
      <w:proofErr w:type="spellEnd"/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 M45a at S1, S2, S3 and S4 period,</w:t>
      </w:r>
      <w:r w:rsidRPr="008302C4">
        <w:rPr>
          <w:rFonts w:ascii="Times New Roman" w:hAnsi="Times New Roman" w:cs="Times New Roman"/>
          <w:szCs w:val="21"/>
        </w:rPr>
        <w:t xml:space="preserve"> 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>respectively; CK1, CK2, CK3, CK4: the CK treatments at S1, S2, S3 and S4 period,</w:t>
      </w:r>
      <w:r w:rsidRPr="008302C4">
        <w:rPr>
          <w:rFonts w:ascii="Times New Roman" w:hAnsi="Times New Roman" w:cs="Times New Roman"/>
          <w:szCs w:val="21"/>
        </w:rPr>
        <w:t xml:space="preserve"> 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respectively. </w:t>
      </w:r>
      <w:r w:rsidRPr="008302C4">
        <w:rPr>
          <w:rFonts w:ascii="Times New Roman" w:eastAsia="宋体" w:hAnsi="Times New Roman" w:cs="Times New Roman"/>
          <w:szCs w:val="21"/>
        </w:rPr>
        <w:t xml:space="preserve">S1: </w:t>
      </w:r>
      <w:hyperlink r:id="rId9" w:history="1">
        <w:r w:rsidRPr="008302C4">
          <w:rPr>
            <w:rStyle w:val="a7"/>
            <w:rFonts w:ascii="Times New Roman" w:eastAsia="宋体" w:hAnsi="Times New Roman" w:cs="Times New Roman"/>
            <w:color w:val="auto"/>
            <w:szCs w:val="21"/>
            <w:u w:val="none"/>
          </w:rPr>
          <w:t>the germination period</w:t>
        </w:r>
      </w:hyperlink>
      <w:r w:rsidRPr="008302C4">
        <w:rPr>
          <w:rFonts w:ascii="Times New Roman" w:eastAsia="宋体" w:hAnsi="Times New Roman" w:cs="Times New Roman"/>
          <w:szCs w:val="21"/>
        </w:rPr>
        <w:t>; S2: the seedling period; S3: the smoke trailing period; S4: the blooming period.</w:t>
      </w:r>
    </w:p>
    <w:p w14:paraId="252BE1A6" w14:textId="1469DEFE" w:rsidR="008302C4" w:rsidRPr="008302C4" w:rsidRDefault="008302C4" w:rsidP="008302C4">
      <w:pPr>
        <w:jc w:val="center"/>
        <w:rPr>
          <w:lang w:val="en-GB"/>
        </w:rPr>
      </w:pPr>
    </w:p>
    <w:p w14:paraId="3C9C82A0" w14:textId="5B4C117C" w:rsidR="008302C4" w:rsidRDefault="008302C4" w:rsidP="008302C4">
      <w:pPr>
        <w:jc w:val="center"/>
      </w:pPr>
    </w:p>
    <w:p w14:paraId="1047A854" w14:textId="1E48E3AC" w:rsidR="008302C4" w:rsidRDefault="008302C4" w:rsidP="008302C4">
      <w:pPr>
        <w:jc w:val="center"/>
      </w:pPr>
    </w:p>
    <w:p w14:paraId="0D982C3A" w14:textId="76E754BA" w:rsidR="00D30DC5" w:rsidRDefault="00D30DC5" w:rsidP="008302C4">
      <w:pPr>
        <w:jc w:val="center"/>
      </w:pPr>
      <w:r w:rsidRPr="00D30DC5">
        <w:rPr>
          <w:noProof/>
        </w:rPr>
        <w:lastRenderedPageBreak/>
        <w:drawing>
          <wp:inline distT="0" distB="0" distL="0" distR="0" wp14:anchorId="7B8C6135" wp14:editId="74F2B64F">
            <wp:extent cx="5274310" cy="18122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1339F" w14:textId="1D73EBCD" w:rsidR="008302C4" w:rsidRPr="008302C4" w:rsidRDefault="008302C4" w:rsidP="008302C4">
      <w:pPr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</w:pPr>
      <w:r w:rsidRPr="008302C4">
        <w:rPr>
          <w:rFonts w:ascii="Times New Roman" w:hAnsi="Times New Roman" w:cs="Times New Roman"/>
          <w:b/>
          <w:szCs w:val="21"/>
        </w:rPr>
        <w:t>Figure S</w:t>
      </w:r>
      <w:r>
        <w:rPr>
          <w:rFonts w:ascii="Times New Roman" w:hAnsi="Times New Roman" w:cs="Times New Roman"/>
          <w:b/>
          <w:szCs w:val="21"/>
        </w:rPr>
        <w:t>3.</w:t>
      </w:r>
      <w:r w:rsidRPr="008302C4">
        <w:rPr>
          <w:rFonts w:ascii="Times New Roman" w:hAnsi="Times New Roman" w:cs="Times New Roman"/>
          <w:b/>
          <w:szCs w:val="21"/>
        </w:rPr>
        <w:t xml:space="preserve"> Relative abundances of bacterial metabolic pathways among two different treatment.</w:t>
      </w:r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 The application of </w:t>
      </w:r>
      <w:r w:rsidRPr="008302C4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 xml:space="preserve">T. </w:t>
      </w:r>
      <w:proofErr w:type="spellStart"/>
      <w:r w:rsidRPr="008302C4">
        <w:rPr>
          <w:rFonts w:ascii="Times New Roman" w:eastAsia="Garamond" w:hAnsi="Times New Roman" w:cs="Times New Roman"/>
          <w:i/>
          <w:iCs/>
          <w:color w:val="000000" w:themeColor="text1"/>
          <w:szCs w:val="21"/>
          <w:lang w:val="en-GB"/>
        </w:rPr>
        <w:t>asperellum</w:t>
      </w:r>
      <w:proofErr w:type="spellEnd"/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 M45a in continuous cropping soil (</w:t>
      </w:r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  <w:lang w:val="en-GB"/>
        </w:rPr>
        <w:t>T</w:t>
      </w:r>
      <w:proofErr w:type="spellStart"/>
      <w:r w:rsidRPr="00D30DC5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richoderma</w:t>
      </w:r>
      <w:proofErr w:type="spellEnd"/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>). The non-inoculated control (</w:t>
      </w:r>
      <w:bookmarkStart w:id="2" w:name="_GoBack"/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>CK</w:t>
      </w:r>
      <w:bookmarkEnd w:id="2"/>
      <w:r w:rsidRPr="008302C4">
        <w:rPr>
          <w:rFonts w:ascii="Times New Roman" w:eastAsia="宋体" w:hAnsi="Times New Roman" w:cs="Times New Roman"/>
          <w:color w:val="000000" w:themeColor="text1"/>
          <w:szCs w:val="21"/>
          <w:lang w:val="en-GB"/>
        </w:rPr>
        <w:t xml:space="preserve">). </w:t>
      </w:r>
    </w:p>
    <w:p w14:paraId="6D0E9C9A" w14:textId="77777777" w:rsidR="008302C4" w:rsidRPr="008302C4" w:rsidRDefault="008302C4" w:rsidP="008302C4">
      <w:pPr>
        <w:jc w:val="center"/>
        <w:rPr>
          <w:lang w:val="en-GB"/>
        </w:rPr>
      </w:pPr>
    </w:p>
    <w:sectPr w:rsidR="008302C4" w:rsidRPr="00830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E3106" w14:textId="77777777" w:rsidR="004B48D2" w:rsidRDefault="004B48D2" w:rsidP="008302C4">
      <w:r>
        <w:separator/>
      </w:r>
    </w:p>
  </w:endnote>
  <w:endnote w:type="continuationSeparator" w:id="0">
    <w:p w14:paraId="68BF5481" w14:textId="77777777" w:rsidR="004B48D2" w:rsidRDefault="004B48D2" w:rsidP="0083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D7F3E" w14:textId="77777777" w:rsidR="004B48D2" w:rsidRDefault="004B48D2" w:rsidP="008302C4">
      <w:r>
        <w:separator/>
      </w:r>
    </w:p>
  </w:footnote>
  <w:footnote w:type="continuationSeparator" w:id="0">
    <w:p w14:paraId="00F1B3F2" w14:textId="77777777" w:rsidR="004B48D2" w:rsidRDefault="004B48D2" w:rsidP="00830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87"/>
    <w:rsid w:val="00115A13"/>
    <w:rsid w:val="001D4486"/>
    <w:rsid w:val="00364287"/>
    <w:rsid w:val="004B48D2"/>
    <w:rsid w:val="00650AB5"/>
    <w:rsid w:val="00690E49"/>
    <w:rsid w:val="0077455E"/>
    <w:rsid w:val="00826BB2"/>
    <w:rsid w:val="008302C4"/>
    <w:rsid w:val="00A01C7F"/>
    <w:rsid w:val="00D30DC5"/>
    <w:rsid w:val="00FB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AD470"/>
  <w15:chartTrackingRefBased/>
  <w15:docId w15:val="{E960B797-32BD-46A6-BBB9-159E04B9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02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0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02C4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8302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2020-06-17T08:24:00Z</dcterms:created>
  <dcterms:modified xsi:type="dcterms:W3CDTF">2020-09-18T05:00:00Z</dcterms:modified>
</cp:coreProperties>
</file>