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5FE94" w14:textId="4E77B0BB" w:rsidR="002E14FE" w:rsidRDefault="002E14FE" w:rsidP="002E14FE">
      <w:pPr>
        <w:spacing w:line="360" w:lineRule="auto"/>
        <w:jc w:val="both"/>
        <w:rPr>
          <w:rFonts w:ascii="Times New Roman" w:eastAsia="Times New Roman" w:hAnsi="Times New Roman" w:cs="Times New Roman"/>
          <w:b/>
          <w:i/>
        </w:rPr>
      </w:pPr>
      <w:r>
        <w:rPr>
          <w:noProof/>
          <w14:ligatures w14:val="standardContextual"/>
        </w:rPr>
        <w:drawing>
          <wp:inline distT="0" distB="0" distL="0" distR="0" wp14:anchorId="60C3CB33" wp14:editId="403647EA">
            <wp:extent cx="5760720" cy="3091815"/>
            <wp:effectExtent l="0" t="0" r="0" b="0"/>
            <wp:docPr id="858708241" name="Resim 1" descr="tatlı, yemek, gıda, pastane, şekerc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08241" name="Resim 1" descr="tatlı, yemek, gıda, pastane, şekerci içeren bir resim&#10;&#10;Açıklama otomatik olarak oluşturuldu"/>
                    <pic:cNvPicPr/>
                  </pic:nvPicPr>
                  <pic:blipFill>
                    <a:blip r:embed="rId4"/>
                    <a:stretch>
                      <a:fillRect/>
                    </a:stretch>
                  </pic:blipFill>
                  <pic:spPr>
                    <a:xfrm>
                      <a:off x="0" y="0"/>
                      <a:ext cx="5760720" cy="3091815"/>
                    </a:xfrm>
                    <a:prstGeom prst="rect">
                      <a:avLst/>
                    </a:prstGeom>
                  </pic:spPr>
                </pic:pic>
              </a:graphicData>
            </a:graphic>
          </wp:inline>
        </w:drawing>
      </w:r>
    </w:p>
    <w:p w14:paraId="0BF8B2ED" w14:textId="77777777" w:rsidR="002E14FE" w:rsidRDefault="002E14FE" w:rsidP="002E14FE">
      <w:pPr>
        <w:spacing w:line="360" w:lineRule="auto"/>
        <w:jc w:val="both"/>
        <w:rPr>
          <w:rFonts w:ascii="Times New Roman" w:eastAsia="Times New Roman" w:hAnsi="Times New Roman" w:cs="Times New Roman"/>
          <w:b/>
          <w:i/>
        </w:rPr>
      </w:pPr>
    </w:p>
    <w:p w14:paraId="186ED96A" w14:textId="675B61DB" w:rsidR="00F04AE1" w:rsidRDefault="00F04AE1" w:rsidP="00F04AE1">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b/>
          <w:i/>
        </w:rPr>
        <w:t>Background:</w:t>
      </w:r>
      <w:r>
        <w:rPr>
          <w:rFonts w:ascii="Times New Roman" w:eastAsia="Times New Roman" w:hAnsi="Times New Roman" w:cs="Times New Roman"/>
          <w:b/>
        </w:rPr>
        <w:t xml:space="preserve"> </w:t>
      </w:r>
      <w:r>
        <w:rPr>
          <w:rFonts w:ascii="Times New Roman" w:eastAsia="Times New Roman" w:hAnsi="Times New Roman" w:cs="Times New Roman"/>
        </w:rPr>
        <w:t xml:space="preserve">To obtain high yields of recombinant insulin and advancing therapeutic avenues for diabetes patients, the development of innovative designer insulin analogs </w:t>
      </w:r>
      <w:proofErr w:type="gramStart"/>
      <w:r>
        <w:rPr>
          <w:rFonts w:ascii="Times New Roman" w:eastAsia="Times New Roman" w:hAnsi="Times New Roman" w:cs="Times New Roman"/>
        </w:rPr>
        <w:t>have</w:t>
      </w:r>
      <w:proofErr w:type="gramEnd"/>
      <w:r>
        <w:rPr>
          <w:rFonts w:ascii="Times New Roman" w:eastAsia="Times New Roman" w:hAnsi="Times New Roman" w:cs="Times New Roman"/>
        </w:rPr>
        <w:t xml:space="preserve"> critical importance. </w:t>
      </w:r>
      <w:r>
        <w:rPr>
          <w:rFonts w:ascii="Times New Roman" w:eastAsia="Times New Roman" w:hAnsi="Times New Roman" w:cs="Times New Roman"/>
          <w:sz w:val="24"/>
          <w:szCs w:val="24"/>
        </w:rPr>
        <w:t>The</w:t>
      </w:r>
      <w:r>
        <w:rPr>
          <w:rFonts w:ascii="Times New Roman" w:eastAsia="Times New Roman" w:hAnsi="Times New Roman" w:cs="Times New Roman"/>
        </w:rPr>
        <w:t xml:space="preserve"> modified insulin analog presents a cost-effective remedy by being produced as inclusion bodies (IBs) within </w:t>
      </w:r>
      <w:r>
        <w:rPr>
          <w:rFonts w:ascii="Times New Roman" w:eastAsia="Times New Roman" w:hAnsi="Times New Roman" w:cs="Times New Roman"/>
          <w:i/>
        </w:rPr>
        <w:t>Escherichia coli</w:t>
      </w:r>
      <w:r>
        <w:rPr>
          <w:rFonts w:ascii="Times New Roman" w:eastAsia="Times New Roman" w:hAnsi="Times New Roman" w:cs="Times New Roman"/>
        </w:rPr>
        <w:t xml:space="preserve"> BL21 (DE3) Rosetta-2 strain. This approach to production not only offers reduced production time but also yields high recovery rates. The prime aim of this investigation was to optimize the composition of the cultivation media, thereby accomplishing higher cell density fermentation of </w:t>
      </w:r>
      <w:r>
        <w:rPr>
          <w:rFonts w:ascii="Times New Roman" w:eastAsia="Times New Roman" w:hAnsi="Times New Roman" w:cs="Times New Roman"/>
          <w:sz w:val="24"/>
          <w:szCs w:val="24"/>
        </w:rPr>
        <w:t>the</w:t>
      </w:r>
      <w:r>
        <w:rPr>
          <w:rFonts w:ascii="Times New Roman" w:eastAsia="Times New Roman" w:hAnsi="Times New Roman" w:cs="Times New Roman"/>
          <w:i/>
          <w:sz w:val="24"/>
          <w:szCs w:val="24"/>
        </w:rPr>
        <w:t xml:space="preserve"> </w:t>
      </w:r>
      <w:r>
        <w:rPr>
          <w:rFonts w:ascii="Times New Roman" w:eastAsia="Times New Roman" w:hAnsi="Times New Roman" w:cs="Times New Roman"/>
        </w:rPr>
        <w:t>proinsulin.</w:t>
      </w:r>
    </w:p>
    <w:p w14:paraId="6F9779D1" w14:textId="77777777" w:rsidR="00F04AE1" w:rsidRDefault="00F04AE1" w:rsidP="00F04AE1">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b/>
          <w:i/>
        </w:rPr>
        <w:t>Result:</w:t>
      </w:r>
      <w:r>
        <w:rPr>
          <w:rFonts w:ascii="Times New Roman" w:eastAsia="Times New Roman" w:hAnsi="Times New Roman" w:cs="Times New Roman"/>
        </w:rPr>
        <w:t xml:space="preserve"> Various factors, including carbon and nitrogen sources, salts, metal ions, and pH, were systematically investigated through experimental screening using the </w:t>
      </w:r>
      <w:proofErr w:type="spellStart"/>
      <w:r>
        <w:rPr>
          <w:rFonts w:ascii="Times New Roman" w:eastAsia="Times New Roman" w:hAnsi="Times New Roman" w:cs="Times New Roman"/>
        </w:rPr>
        <w:t>BioLector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multiwell</w:t>
      </w:r>
      <w:proofErr w:type="spellEnd"/>
      <w:r>
        <w:rPr>
          <w:rFonts w:ascii="Times New Roman" w:eastAsia="Times New Roman" w:hAnsi="Times New Roman" w:cs="Times New Roman"/>
        </w:rPr>
        <w:t xml:space="preserve"> bright plate. Additionally, computational analysis employing the </w:t>
      </w:r>
      <w:r>
        <w:rPr>
          <w:rFonts w:ascii="Times New Roman" w:eastAsia="Times New Roman" w:hAnsi="Times New Roman" w:cs="Times New Roman"/>
          <w:i/>
        </w:rPr>
        <w:t>Plackett-Burman Design</w:t>
      </w:r>
      <w:r>
        <w:rPr>
          <w:rFonts w:ascii="Times New Roman" w:eastAsia="Times New Roman" w:hAnsi="Times New Roman" w:cs="Times New Roman"/>
        </w:rPr>
        <w:t xml:space="preserve"> within the </w:t>
      </w:r>
      <w:r>
        <w:rPr>
          <w:rFonts w:ascii="Times New Roman" w:eastAsia="Times New Roman" w:hAnsi="Times New Roman" w:cs="Times New Roman"/>
          <w:i/>
        </w:rPr>
        <w:t>Design Expert</w:t>
      </w:r>
      <w:r>
        <w:rPr>
          <w:rFonts w:ascii="Times New Roman" w:eastAsia="Times New Roman" w:hAnsi="Times New Roman" w:cs="Times New Roman"/>
        </w:rPr>
        <w:t xml:space="preserve"> software was utilized to assess their effectiveness in terms of insulin concentration as a surrogate measure of insulin yield. Among the tested variables, glucose, glycerol, MgSO</w:t>
      </w:r>
      <w:r>
        <w:rPr>
          <w:rFonts w:ascii="Times New Roman" w:eastAsia="Times New Roman" w:hAnsi="Times New Roman" w:cs="Times New Roman"/>
          <w:vertAlign w:val="subscript"/>
        </w:rPr>
        <w:t>4</w:t>
      </w:r>
      <w:r>
        <w:rPr>
          <w:rFonts w:ascii="Times New Roman" w:eastAsia="Times New Roman" w:hAnsi="Times New Roman" w:cs="Times New Roman"/>
        </w:rPr>
        <w:t xml:space="preserve">, and lower Luria-Bertani mix concentration have a significant influence on insulin production, as determined by the screening experiment. Subsequently, the </w:t>
      </w:r>
      <w:r>
        <w:rPr>
          <w:rFonts w:ascii="Times New Roman" w:eastAsia="Times New Roman" w:hAnsi="Times New Roman" w:cs="Times New Roman"/>
          <w:i/>
        </w:rPr>
        <w:t>Central Composite Design</w:t>
      </w:r>
      <w:r>
        <w:rPr>
          <w:rFonts w:ascii="Times New Roman" w:eastAsia="Times New Roman" w:hAnsi="Times New Roman" w:cs="Times New Roman"/>
        </w:rPr>
        <w:t xml:space="preserve"> approach was operated to further evaluate and optimize the precise levels of these influential variables. This systematic methodology achieved an optimized cultivation media formulation, resulting in a remarkable enhancement of insulin production, with levels reaching up to 13 mg/ml when applied in </w:t>
      </w:r>
      <w:proofErr w:type="spellStart"/>
      <w:r>
        <w:rPr>
          <w:rFonts w:ascii="Times New Roman" w:eastAsia="Times New Roman" w:hAnsi="Times New Roman" w:cs="Times New Roman"/>
        </w:rPr>
        <w:t>BioLector</w:t>
      </w:r>
      <w:proofErr w:type="spellEnd"/>
      <w:r>
        <w:rPr>
          <w:rFonts w:ascii="Times New Roman" w:eastAsia="Times New Roman" w:hAnsi="Times New Roman" w:cs="Times New Roman"/>
        </w:rPr>
        <w:t xml:space="preserve"> fermentation.</w:t>
      </w:r>
    </w:p>
    <w:p w14:paraId="21293D9D" w14:textId="77777777" w:rsidR="00F04AE1" w:rsidRDefault="00F04AE1" w:rsidP="00F04AE1">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b/>
          <w:i/>
        </w:rPr>
        <w:t>Conclusion:</w:t>
      </w:r>
      <w:r>
        <w:rPr>
          <w:rFonts w:ascii="Times New Roman" w:eastAsia="Times New Roman" w:hAnsi="Times New Roman" w:cs="Times New Roman"/>
        </w:rPr>
        <w:t xml:space="preserve"> The formulated cultivation media exhibited suitability for promoting high cell density fermentation of the modified insulin, thereby facilitating the attainment of optimal yields for </w:t>
      </w:r>
      <w:r>
        <w:rPr>
          <w:rFonts w:ascii="Times New Roman" w:eastAsia="Times New Roman" w:hAnsi="Times New Roman" w:cs="Times New Roman"/>
          <w:sz w:val="24"/>
          <w:szCs w:val="24"/>
        </w:rPr>
        <w:t>the</w:t>
      </w:r>
      <w:r>
        <w:rPr>
          <w:rFonts w:ascii="Times New Roman" w:eastAsia="Times New Roman" w:hAnsi="Times New Roman" w:cs="Times New Roman"/>
          <w:i/>
          <w:sz w:val="24"/>
          <w:szCs w:val="24"/>
        </w:rPr>
        <w:t xml:space="preserve"> </w:t>
      </w:r>
      <w:r>
        <w:rPr>
          <w:rFonts w:ascii="Times New Roman" w:eastAsia="Times New Roman" w:hAnsi="Times New Roman" w:cs="Times New Roman"/>
        </w:rPr>
        <w:t>proinsulin expression.</w:t>
      </w:r>
    </w:p>
    <w:p w14:paraId="64050071" w14:textId="77777777" w:rsidR="00F04AE1" w:rsidRDefault="00F04AE1"/>
    <w:sectPr w:rsidR="00F04A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E1"/>
    <w:rsid w:val="002E14FE"/>
    <w:rsid w:val="00F04A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46767"/>
  <w15:chartTrackingRefBased/>
  <w15:docId w15:val="{DAF60939-3AB2-48B6-B4C9-715B4388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AE1"/>
    <w:pPr>
      <w:spacing w:after="0" w:line="276" w:lineRule="auto"/>
    </w:pPr>
    <w:rPr>
      <w:rFonts w:ascii="Arial" w:eastAsia="Arial" w:hAnsi="Arial" w:cs="Arial"/>
      <w:kern w:val="0"/>
      <w:lang w:val="en"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AYAN</dc:creator>
  <cp:keywords/>
  <dc:description/>
  <cp:lastModifiedBy>ESRA AYAN</cp:lastModifiedBy>
  <cp:revision>2</cp:revision>
  <dcterms:created xsi:type="dcterms:W3CDTF">2023-11-28T08:10:00Z</dcterms:created>
  <dcterms:modified xsi:type="dcterms:W3CDTF">2023-11-28T08:12:00Z</dcterms:modified>
</cp:coreProperties>
</file>