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9CA4EB" w14:textId="331BC387" w:rsidR="0048678F" w:rsidRPr="00145B62" w:rsidRDefault="0048678F" w:rsidP="0048678F">
      <w:pPr>
        <w:autoSpaceDE w:val="0"/>
        <w:autoSpaceDN w:val="0"/>
        <w:adjustRightInd w:val="0"/>
        <w:spacing w:line="480" w:lineRule="auto"/>
        <w:jc w:val="left"/>
        <w:rPr>
          <w:rFonts w:ascii="Times New Roman" w:hAnsi="Times New Roman" w:cs="Times New Roman"/>
          <w:b/>
          <w:bCs/>
          <w:noProof/>
          <w:szCs w:val="21"/>
        </w:rPr>
      </w:pPr>
      <w:r w:rsidRPr="00145B62">
        <w:rPr>
          <w:rFonts w:ascii="Times New Roman" w:hAnsi="Times New Roman" w:cs="Times New Roman"/>
          <w:b/>
          <w:bCs/>
          <w:noProof/>
          <w:szCs w:val="21"/>
        </w:rPr>
        <w:t xml:space="preserve">The Cancer Genome Atlas (TCGA) analysis </w:t>
      </w:r>
    </w:p>
    <w:p w14:paraId="4F6F2F33" w14:textId="625F5B8C" w:rsidR="0048678F" w:rsidRPr="00145B62" w:rsidRDefault="0048678F" w:rsidP="0048678F">
      <w:pPr>
        <w:spacing w:line="480" w:lineRule="auto"/>
        <w:ind w:firstLine="300"/>
        <w:jc w:val="left"/>
        <w:rPr>
          <w:rFonts w:ascii="Times New Roman" w:hAnsi="Times New Roman" w:cs="Times New Roman"/>
          <w:noProof/>
          <w:szCs w:val="21"/>
        </w:rPr>
      </w:pPr>
      <w:r w:rsidRPr="00145B62">
        <w:rPr>
          <w:rFonts w:ascii="Times New Roman" w:hAnsi="Times New Roman" w:cs="Times New Roman" w:hint="eastAsia"/>
          <w:noProof/>
          <w:szCs w:val="21"/>
        </w:rPr>
        <w:t xml:space="preserve"> </w:t>
      </w:r>
      <w:r w:rsidRPr="00145B62">
        <w:rPr>
          <w:rFonts w:ascii="Times New Roman" w:hAnsi="Times New Roman" w:cs="Times New Roman"/>
          <w:noProof/>
          <w:szCs w:val="21"/>
        </w:rPr>
        <w:t xml:space="preserve"> Two NSCLCs datasets that contained mRNA expression of SLC34A2 and clinical information were selected from TCGA online analysis website cBioPortal. The significantly decreased mRNA expression levels of SLC34A2 were found in most</w:t>
      </w:r>
      <w:r w:rsidR="00145B62" w:rsidRPr="00145B62">
        <w:rPr>
          <w:rFonts w:ascii="Times New Roman" w:hAnsi="Times New Roman" w:cs="Times New Roman"/>
          <w:noProof/>
          <w:szCs w:val="21"/>
        </w:rPr>
        <w:t xml:space="preserve"> </w:t>
      </w:r>
      <w:r w:rsidRPr="00145B62">
        <w:rPr>
          <w:rFonts w:ascii="Times New Roman" w:hAnsi="Times New Roman" w:cs="Times New Roman"/>
          <w:noProof/>
          <w:szCs w:val="21"/>
        </w:rPr>
        <w:t>(382/631)</w:t>
      </w:r>
      <w:r w:rsidR="00145B62" w:rsidRPr="00145B62">
        <w:rPr>
          <w:rFonts w:ascii="Times New Roman" w:hAnsi="Times New Roman" w:cs="Times New Roman"/>
          <w:noProof/>
          <w:szCs w:val="21"/>
        </w:rPr>
        <w:t xml:space="preserve"> </w:t>
      </w:r>
      <w:r w:rsidRPr="00145B62">
        <w:rPr>
          <w:rFonts w:ascii="Times New Roman" w:hAnsi="Times New Roman" w:cs="Times New Roman"/>
          <w:noProof/>
          <w:szCs w:val="21"/>
        </w:rPr>
        <w:t>NSCLCs tissues compared with their adjacent tissues</w:t>
      </w:r>
      <w:r w:rsidR="00145B62" w:rsidRPr="00145B62">
        <w:rPr>
          <w:rFonts w:ascii="Times New Roman" w:hAnsi="Times New Roman" w:cs="Times New Roman"/>
          <w:noProof/>
          <w:szCs w:val="21"/>
        </w:rPr>
        <w:t xml:space="preserve"> </w:t>
      </w:r>
      <w:r w:rsidRPr="00145B62">
        <w:rPr>
          <w:rFonts w:ascii="Times New Roman" w:hAnsi="Times New Roman" w:cs="Times New Roman"/>
          <w:noProof/>
          <w:szCs w:val="21"/>
        </w:rPr>
        <w:t>(</w:t>
      </w:r>
      <w:r w:rsidR="00AC3CAA" w:rsidRPr="00145B62">
        <w:rPr>
          <w:rFonts w:ascii="Times New Roman" w:hAnsi="Times New Roman" w:cs="Times New Roman"/>
          <w:noProof/>
          <w:szCs w:val="21"/>
        </w:rPr>
        <w:t>Fig</w:t>
      </w:r>
      <w:r w:rsidR="00436C0F" w:rsidRPr="00145B62">
        <w:rPr>
          <w:rFonts w:ascii="Times New Roman" w:hAnsi="Times New Roman" w:cs="Times New Roman" w:hint="eastAsia"/>
          <w:noProof/>
          <w:szCs w:val="21"/>
        </w:rPr>
        <w:t>ure</w:t>
      </w:r>
      <w:r w:rsidR="00436C0F" w:rsidRPr="00145B62">
        <w:rPr>
          <w:rFonts w:ascii="Times New Roman" w:hAnsi="Times New Roman" w:cs="Times New Roman"/>
          <w:noProof/>
          <w:szCs w:val="21"/>
        </w:rPr>
        <w:t xml:space="preserve"> </w:t>
      </w:r>
      <w:r w:rsidR="00AC3CAA" w:rsidRPr="00145B62">
        <w:rPr>
          <w:rFonts w:ascii="Times New Roman" w:hAnsi="Times New Roman" w:cs="Times New Roman"/>
          <w:noProof/>
          <w:szCs w:val="21"/>
        </w:rPr>
        <w:t>S</w:t>
      </w:r>
      <w:r w:rsidR="004D686C" w:rsidRPr="00145B62">
        <w:rPr>
          <w:rFonts w:ascii="Times New Roman" w:hAnsi="Times New Roman" w:cs="Times New Roman"/>
          <w:noProof/>
          <w:szCs w:val="21"/>
        </w:rPr>
        <w:t>4A</w:t>
      </w:r>
      <w:r w:rsidRPr="00145B62">
        <w:rPr>
          <w:rFonts w:ascii="Times New Roman" w:hAnsi="Times New Roman" w:cs="Times New Roman"/>
          <w:noProof/>
          <w:szCs w:val="21"/>
        </w:rPr>
        <w:t>). Then in the 382 NSCLCs samples with down-regulated mRNA expression of SLC34A2, NSCLCs samples with lymphatic metastasis were observed to have a relatively higher expression of SLC34A2,</w:t>
      </w:r>
      <w:r w:rsidR="0098260E">
        <w:rPr>
          <w:rFonts w:ascii="Times New Roman" w:hAnsi="Times New Roman" w:cs="Times New Roman"/>
          <w:noProof/>
          <w:szCs w:val="21"/>
        </w:rPr>
        <w:t xml:space="preserve"> </w:t>
      </w:r>
      <w:r w:rsidRPr="00145B62">
        <w:rPr>
          <w:rFonts w:ascii="Times New Roman" w:hAnsi="Times New Roman" w:cs="Times New Roman"/>
          <w:noProof/>
          <w:szCs w:val="21"/>
        </w:rPr>
        <w:t>compared with the NSCLCs samples without lymphatic metastasis(</w:t>
      </w:r>
      <w:r w:rsidR="00AC3CAA" w:rsidRPr="00145B62">
        <w:rPr>
          <w:rFonts w:ascii="Times New Roman" w:hAnsi="Times New Roman" w:cs="Times New Roman"/>
          <w:noProof/>
          <w:szCs w:val="21"/>
        </w:rPr>
        <w:t>Fig</w:t>
      </w:r>
      <w:r w:rsidR="00436C0F" w:rsidRPr="00145B62">
        <w:rPr>
          <w:rFonts w:ascii="Times New Roman" w:hAnsi="Times New Roman" w:cs="Times New Roman" w:hint="eastAsia"/>
          <w:noProof/>
          <w:szCs w:val="21"/>
        </w:rPr>
        <w:t>ure</w:t>
      </w:r>
      <w:r w:rsidR="00436C0F" w:rsidRPr="00145B62">
        <w:rPr>
          <w:rFonts w:ascii="Times New Roman" w:hAnsi="Times New Roman" w:cs="Times New Roman"/>
          <w:noProof/>
          <w:szCs w:val="21"/>
        </w:rPr>
        <w:t xml:space="preserve"> </w:t>
      </w:r>
      <w:r w:rsidR="00AC3CAA" w:rsidRPr="00145B62">
        <w:rPr>
          <w:rFonts w:ascii="Times New Roman" w:hAnsi="Times New Roman" w:cs="Times New Roman"/>
          <w:noProof/>
          <w:szCs w:val="21"/>
        </w:rPr>
        <w:t>S</w:t>
      </w:r>
      <w:r w:rsidR="004D686C" w:rsidRPr="00145B62">
        <w:rPr>
          <w:rFonts w:ascii="Times New Roman" w:hAnsi="Times New Roman" w:cs="Times New Roman"/>
          <w:noProof/>
          <w:szCs w:val="21"/>
        </w:rPr>
        <w:t>4B</w:t>
      </w:r>
      <w:r w:rsidRPr="00145B62">
        <w:rPr>
          <w:rFonts w:ascii="Times New Roman" w:hAnsi="Times New Roman" w:cs="Times New Roman"/>
          <w:noProof/>
          <w:szCs w:val="21"/>
        </w:rPr>
        <w:t>).</w:t>
      </w:r>
      <w:r w:rsidR="0098260E">
        <w:rPr>
          <w:rFonts w:ascii="Times New Roman" w:hAnsi="Times New Roman" w:cs="Times New Roman"/>
          <w:noProof/>
          <w:szCs w:val="21"/>
        </w:rPr>
        <w:t xml:space="preserve"> </w:t>
      </w:r>
      <w:r w:rsidRPr="00145B62">
        <w:rPr>
          <w:rFonts w:ascii="Times New Roman" w:hAnsi="Times New Roman" w:cs="Times New Roman"/>
          <w:noProof/>
          <w:szCs w:val="21"/>
        </w:rPr>
        <w:t xml:space="preserve">And in the 382 NSCLCs samples with down-regulated mRNA expression of SLC34A2, the relatively higher mRNA expression of SLC34A2 was also discovered to be positively correlated with the higher mRNA expression of AKT1 </w:t>
      </w:r>
      <w:r w:rsidR="00145B62" w:rsidRPr="00145B62">
        <w:rPr>
          <w:rFonts w:ascii="Times New Roman" w:hAnsi="Times New Roman" w:cs="Times New Roman" w:hint="eastAsia"/>
          <w:noProof/>
          <w:szCs w:val="21"/>
        </w:rPr>
        <w:t>and</w:t>
      </w:r>
      <w:r w:rsidR="00145B62" w:rsidRPr="00145B62">
        <w:rPr>
          <w:rFonts w:ascii="Times New Roman" w:hAnsi="Times New Roman" w:cs="Times New Roman"/>
          <w:noProof/>
          <w:szCs w:val="21"/>
        </w:rPr>
        <w:t xml:space="preserve"> STAT3</w:t>
      </w:r>
      <w:r w:rsidRPr="00145B62">
        <w:rPr>
          <w:rFonts w:ascii="Times New Roman" w:hAnsi="Times New Roman" w:cs="Times New Roman"/>
          <w:noProof/>
          <w:szCs w:val="21"/>
        </w:rPr>
        <w:t>(P &lt;0.05) (</w:t>
      </w:r>
      <w:r w:rsidR="00AC3CAA" w:rsidRPr="00145B62">
        <w:rPr>
          <w:rFonts w:ascii="Times New Roman" w:hAnsi="Times New Roman" w:cs="Times New Roman"/>
          <w:noProof/>
          <w:szCs w:val="21"/>
        </w:rPr>
        <w:t>Fig</w:t>
      </w:r>
      <w:r w:rsidR="00436C0F" w:rsidRPr="00145B62">
        <w:rPr>
          <w:rFonts w:ascii="Times New Roman" w:hAnsi="Times New Roman" w:cs="Times New Roman" w:hint="eastAsia"/>
          <w:noProof/>
          <w:szCs w:val="21"/>
        </w:rPr>
        <w:t>ure</w:t>
      </w:r>
      <w:r w:rsidR="00436C0F" w:rsidRPr="00145B62">
        <w:rPr>
          <w:rFonts w:ascii="Times New Roman" w:hAnsi="Times New Roman" w:cs="Times New Roman"/>
          <w:noProof/>
          <w:szCs w:val="21"/>
        </w:rPr>
        <w:t xml:space="preserve"> </w:t>
      </w:r>
      <w:r w:rsidR="00AC3CAA" w:rsidRPr="00145B62">
        <w:rPr>
          <w:rFonts w:ascii="Times New Roman" w:hAnsi="Times New Roman" w:cs="Times New Roman"/>
          <w:noProof/>
          <w:szCs w:val="21"/>
        </w:rPr>
        <w:t>S</w:t>
      </w:r>
      <w:r w:rsidR="004D686C" w:rsidRPr="00145B62">
        <w:rPr>
          <w:rFonts w:ascii="Times New Roman" w:hAnsi="Times New Roman" w:cs="Times New Roman"/>
          <w:noProof/>
          <w:szCs w:val="21"/>
        </w:rPr>
        <w:t>4C</w:t>
      </w:r>
      <w:r w:rsidRPr="00145B62">
        <w:rPr>
          <w:rFonts w:ascii="Times New Roman" w:hAnsi="Times New Roman" w:cs="Times New Roman"/>
          <w:noProof/>
          <w:szCs w:val="21"/>
        </w:rPr>
        <w:t>).</w:t>
      </w:r>
      <w:r w:rsidR="00145B62" w:rsidRPr="00145B62">
        <w:rPr>
          <w:rFonts w:ascii="Times New Roman" w:hAnsi="Times New Roman" w:cs="Times New Roman"/>
          <w:noProof/>
          <w:szCs w:val="21"/>
        </w:rPr>
        <w:t xml:space="preserve"> </w:t>
      </w:r>
      <w:r w:rsidRPr="00145B62">
        <w:rPr>
          <w:rFonts w:ascii="Times New Roman" w:hAnsi="Times New Roman" w:cs="Times New Roman"/>
          <w:noProof/>
          <w:szCs w:val="21"/>
        </w:rPr>
        <w:t>Therefore, it further suggested the connection between SLC34A2 maintaining stemness of lung cancer stem cells and the activation of AKT</w:t>
      </w:r>
      <w:r w:rsidR="00145B62" w:rsidRPr="00145B62">
        <w:rPr>
          <w:rFonts w:ascii="Times New Roman" w:hAnsi="Times New Roman" w:cs="Times New Roman"/>
          <w:noProof/>
          <w:szCs w:val="21"/>
        </w:rPr>
        <w:t xml:space="preserve"> </w:t>
      </w:r>
      <w:r w:rsidR="00145B62" w:rsidRPr="00145B62">
        <w:rPr>
          <w:rFonts w:ascii="Times New Roman" w:hAnsi="Times New Roman" w:cs="Times New Roman" w:hint="eastAsia"/>
          <w:noProof/>
          <w:szCs w:val="21"/>
        </w:rPr>
        <w:t>and</w:t>
      </w:r>
      <w:r w:rsidR="00145B62" w:rsidRPr="00145B62">
        <w:rPr>
          <w:rFonts w:ascii="Times New Roman" w:hAnsi="Times New Roman" w:cs="Times New Roman"/>
          <w:noProof/>
          <w:szCs w:val="21"/>
        </w:rPr>
        <w:t xml:space="preserve"> STAT3</w:t>
      </w:r>
      <w:r w:rsidRPr="00145B62">
        <w:rPr>
          <w:rFonts w:ascii="Times New Roman" w:hAnsi="Times New Roman" w:cs="Times New Roman"/>
          <w:noProof/>
          <w:szCs w:val="21"/>
        </w:rPr>
        <w:t xml:space="preserve"> in the </w:t>
      </w:r>
      <w:r w:rsidR="00436C0F" w:rsidRPr="00145B62">
        <w:rPr>
          <w:rFonts w:ascii="Times New Roman" w:hAnsi="Times New Roman" w:cs="Times New Roman"/>
          <w:noProof/>
          <w:szCs w:val="21"/>
        </w:rPr>
        <w:t>large-scale</w:t>
      </w:r>
      <w:r w:rsidRPr="00145B62">
        <w:rPr>
          <w:rFonts w:ascii="Times New Roman" w:hAnsi="Times New Roman" w:cs="Times New Roman"/>
          <w:noProof/>
          <w:szCs w:val="21"/>
        </w:rPr>
        <w:t xml:space="preserve"> clinical samples.</w:t>
      </w:r>
    </w:p>
    <w:p w14:paraId="1549F0CB" w14:textId="7F480317" w:rsidR="00145B62" w:rsidRPr="00145B62" w:rsidRDefault="00145B62" w:rsidP="0098260E">
      <w:pPr>
        <w:spacing w:line="480" w:lineRule="auto"/>
        <w:ind w:firstLineChars="200" w:firstLine="420"/>
        <w:jc w:val="left"/>
        <w:rPr>
          <w:rFonts w:ascii="Times New Roman" w:hAnsi="Times New Roman" w:cs="Times New Roman"/>
          <w:noProof/>
          <w:szCs w:val="21"/>
        </w:rPr>
      </w:pPr>
      <w:r w:rsidRPr="008445DF">
        <w:rPr>
          <w:rFonts w:ascii="Times New Roman" w:hAnsi="Times New Roman" w:cs="Times New Roman"/>
          <w:noProof/>
          <w:szCs w:val="21"/>
        </w:rPr>
        <w:t>H</w:t>
      </w:r>
      <w:r w:rsidRPr="008445DF">
        <w:rPr>
          <w:rFonts w:ascii="Times New Roman" w:hAnsi="Times New Roman" w:cs="Times New Roman" w:hint="eastAsia"/>
          <w:noProof/>
          <w:szCs w:val="21"/>
        </w:rPr>
        <w:t>owever,</w:t>
      </w:r>
      <w:r w:rsidRPr="008445DF">
        <w:rPr>
          <w:rFonts w:ascii="Times New Roman" w:hAnsi="Times New Roman" w:cs="Times New Roman"/>
          <w:noProof/>
          <w:szCs w:val="21"/>
        </w:rPr>
        <w:t xml:space="preserve"> in the 382 NSCLCs samples with down-regulated mRNA expression of SLC34A2, the relatively higher mRNA expression of SLC34A2 was found to be negatively correlated with the higher mRNA expression of PIK3CA </w:t>
      </w:r>
      <w:r w:rsidRPr="008445DF">
        <w:rPr>
          <w:rFonts w:ascii="Times New Roman" w:hAnsi="Times New Roman" w:cs="Times New Roman" w:hint="eastAsia"/>
          <w:noProof/>
          <w:szCs w:val="21"/>
        </w:rPr>
        <w:t>and</w:t>
      </w:r>
      <w:r w:rsidRPr="008445DF">
        <w:rPr>
          <w:rFonts w:ascii="Times New Roman" w:hAnsi="Times New Roman" w:cs="Times New Roman"/>
          <w:noProof/>
          <w:szCs w:val="21"/>
        </w:rPr>
        <w:t xml:space="preserve"> S</w:t>
      </w:r>
      <w:r w:rsidRPr="008445DF">
        <w:rPr>
          <w:rFonts w:ascii="Times New Roman" w:hAnsi="Times New Roman" w:cs="Times New Roman" w:hint="eastAsia"/>
          <w:noProof/>
          <w:szCs w:val="21"/>
        </w:rPr>
        <w:t>ox</w:t>
      </w:r>
      <w:r w:rsidRPr="008445DF">
        <w:rPr>
          <w:rFonts w:ascii="Times New Roman" w:hAnsi="Times New Roman" w:cs="Times New Roman"/>
          <w:noProof/>
          <w:szCs w:val="21"/>
        </w:rPr>
        <w:t>2 (P &lt;0.05) (Fig</w:t>
      </w:r>
      <w:r w:rsidRPr="008445DF">
        <w:rPr>
          <w:rFonts w:ascii="Times New Roman" w:hAnsi="Times New Roman" w:cs="Times New Roman" w:hint="eastAsia"/>
          <w:noProof/>
          <w:szCs w:val="21"/>
        </w:rPr>
        <w:t>ure</w:t>
      </w:r>
      <w:r w:rsidRPr="008445DF">
        <w:rPr>
          <w:rFonts w:ascii="Times New Roman" w:hAnsi="Times New Roman" w:cs="Times New Roman"/>
          <w:noProof/>
          <w:szCs w:val="21"/>
        </w:rPr>
        <w:t xml:space="preserve"> S4C).To our knowledge, tumors with a lower degree of differentiation </w:t>
      </w:r>
      <w:r w:rsidRPr="008445DF">
        <w:rPr>
          <w:rFonts w:ascii="Times New Roman" w:hAnsi="Times New Roman" w:cs="Times New Roman" w:hint="eastAsia"/>
          <w:noProof/>
          <w:szCs w:val="21"/>
        </w:rPr>
        <w:t xml:space="preserve">state </w:t>
      </w:r>
      <w:r w:rsidRPr="008445DF">
        <w:rPr>
          <w:rFonts w:ascii="Times New Roman" w:hAnsi="Times New Roman" w:cs="Times New Roman"/>
          <w:noProof/>
          <w:szCs w:val="21"/>
        </w:rPr>
        <w:t xml:space="preserve">might have </w:t>
      </w:r>
      <w:r w:rsidRPr="008445DF">
        <w:rPr>
          <w:rFonts w:ascii="Times New Roman" w:hAnsi="Times New Roman" w:cs="Times New Roman" w:hint="eastAsia"/>
          <w:noProof/>
          <w:szCs w:val="21"/>
        </w:rPr>
        <w:t>stronger</w:t>
      </w:r>
      <w:r w:rsidRPr="008445DF">
        <w:rPr>
          <w:rFonts w:ascii="Times New Roman" w:hAnsi="Times New Roman" w:cs="Times New Roman"/>
          <w:noProof/>
          <w:szCs w:val="21"/>
        </w:rPr>
        <w:t xml:space="preserve"> characteristics</w:t>
      </w:r>
      <w:r w:rsidRPr="008445DF">
        <w:rPr>
          <w:rFonts w:ascii="Times New Roman" w:hAnsi="Times New Roman" w:cs="Times New Roman" w:hint="eastAsia"/>
          <w:noProof/>
          <w:szCs w:val="21"/>
        </w:rPr>
        <w:t xml:space="preserve"> of </w:t>
      </w:r>
      <w:r w:rsidRPr="008445DF">
        <w:rPr>
          <w:rFonts w:ascii="Times New Roman" w:hAnsi="Times New Roman" w:cs="Times New Roman"/>
          <w:noProof/>
          <w:szCs w:val="21"/>
        </w:rPr>
        <w:t>cancer stem cells [1]</w:t>
      </w:r>
      <w:r w:rsidRPr="008445DF">
        <w:rPr>
          <w:rFonts w:ascii="Times New Roman" w:hAnsi="Times New Roman" w:cs="Times New Roman" w:hint="eastAsia"/>
          <w:noProof/>
          <w:szCs w:val="21"/>
        </w:rPr>
        <w:t>.</w:t>
      </w:r>
      <w:r w:rsidRPr="008445DF">
        <w:rPr>
          <w:rFonts w:ascii="Times New Roman" w:hAnsi="Times New Roman" w:cs="Times New Roman"/>
          <w:noProof/>
          <w:szCs w:val="21"/>
        </w:rPr>
        <w:t xml:space="preserve"> However, the subset which we </w:t>
      </w:r>
      <w:r w:rsidRPr="008445DF">
        <w:rPr>
          <w:rFonts w:ascii="Times New Roman" w:hAnsi="Times New Roman" w:cs="Times New Roman" w:hint="eastAsia"/>
          <w:noProof/>
          <w:szCs w:val="21"/>
        </w:rPr>
        <w:t>selected</w:t>
      </w:r>
      <w:r w:rsidRPr="008445DF">
        <w:rPr>
          <w:rFonts w:ascii="Times New Roman" w:hAnsi="Times New Roman" w:cs="Times New Roman"/>
          <w:noProof/>
          <w:szCs w:val="21"/>
        </w:rPr>
        <w:t xml:space="preserve"> from the TCGA database d</w:t>
      </w:r>
      <w:r w:rsidRPr="008445DF">
        <w:rPr>
          <w:rFonts w:ascii="Times New Roman" w:hAnsi="Times New Roman" w:cs="Times New Roman" w:hint="eastAsia"/>
          <w:noProof/>
          <w:szCs w:val="21"/>
        </w:rPr>
        <w:t>id</w:t>
      </w:r>
      <w:r w:rsidRPr="008445DF">
        <w:rPr>
          <w:rFonts w:ascii="Times New Roman" w:hAnsi="Times New Roman" w:cs="Times New Roman"/>
          <w:noProof/>
          <w:szCs w:val="21"/>
        </w:rPr>
        <w:t xml:space="preserve"> not contain </w:t>
      </w:r>
      <w:r w:rsidRPr="008445DF">
        <w:rPr>
          <w:rFonts w:ascii="Times New Roman" w:hAnsi="Times New Roman" w:cs="Times New Roman" w:hint="eastAsia"/>
          <w:noProof/>
          <w:szCs w:val="21"/>
        </w:rPr>
        <w:t xml:space="preserve">the </w:t>
      </w:r>
      <w:r w:rsidRPr="008445DF">
        <w:rPr>
          <w:rFonts w:ascii="Times New Roman" w:hAnsi="Times New Roman" w:cs="Times New Roman"/>
          <w:noProof/>
          <w:szCs w:val="21"/>
        </w:rPr>
        <w:t>data about the</w:t>
      </w:r>
      <w:r w:rsidRPr="008445DF">
        <w:rPr>
          <w:rFonts w:ascii="Times New Roman" w:hAnsi="Times New Roman" w:cs="Times New Roman" w:hint="eastAsia"/>
          <w:noProof/>
          <w:szCs w:val="21"/>
        </w:rPr>
        <w:t xml:space="preserve"> </w:t>
      </w:r>
      <w:r w:rsidRPr="008445DF">
        <w:rPr>
          <w:rFonts w:ascii="Times New Roman" w:hAnsi="Times New Roman" w:cs="Times New Roman"/>
          <w:noProof/>
          <w:szCs w:val="21"/>
        </w:rPr>
        <w:t>differentiation</w:t>
      </w:r>
      <w:r w:rsidRPr="008445DF">
        <w:rPr>
          <w:rFonts w:ascii="Times New Roman" w:hAnsi="Times New Roman" w:cs="Times New Roman" w:hint="eastAsia"/>
          <w:noProof/>
          <w:szCs w:val="21"/>
        </w:rPr>
        <w:t xml:space="preserve"> state</w:t>
      </w:r>
      <w:r w:rsidRPr="008445DF">
        <w:rPr>
          <w:rFonts w:ascii="Times New Roman" w:hAnsi="Times New Roman" w:cs="Times New Roman"/>
          <w:noProof/>
          <w:szCs w:val="21"/>
        </w:rPr>
        <w:t xml:space="preserve"> of </w:t>
      </w:r>
      <w:r w:rsidRPr="008445DF">
        <w:rPr>
          <w:rFonts w:ascii="Times New Roman" w:hAnsi="Times New Roman" w:cs="Times New Roman" w:hint="eastAsia"/>
          <w:noProof/>
          <w:szCs w:val="21"/>
        </w:rPr>
        <w:t>NSCLCs</w:t>
      </w:r>
      <w:r w:rsidRPr="008445DF">
        <w:rPr>
          <w:rFonts w:ascii="Times New Roman" w:hAnsi="Times New Roman" w:cs="Times New Roman"/>
          <w:noProof/>
          <w:szCs w:val="21"/>
        </w:rPr>
        <w:t xml:space="preserve"> samples. Thus,</w:t>
      </w:r>
      <w:r w:rsidRPr="008445DF">
        <w:rPr>
          <w:rFonts w:ascii="Times New Roman" w:hAnsi="Times New Roman" w:cs="Times New Roman" w:hint="eastAsia"/>
          <w:noProof/>
          <w:szCs w:val="21"/>
        </w:rPr>
        <w:t xml:space="preserve"> </w:t>
      </w:r>
      <w:r w:rsidRPr="008445DF">
        <w:rPr>
          <w:rFonts w:ascii="Times New Roman" w:hAnsi="Times New Roman" w:cs="Times New Roman"/>
          <w:noProof/>
          <w:szCs w:val="21"/>
        </w:rPr>
        <w:t>i</w:t>
      </w:r>
      <w:r w:rsidRPr="008445DF">
        <w:rPr>
          <w:rFonts w:ascii="Times New Roman" w:hAnsi="Times New Roman" w:cs="Times New Roman" w:hint="eastAsia"/>
          <w:noProof/>
          <w:szCs w:val="21"/>
        </w:rPr>
        <w:t>n</w:t>
      </w:r>
      <w:r w:rsidRPr="008445DF">
        <w:rPr>
          <w:rFonts w:ascii="Times New Roman" w:hAnsi="Times New Roman" w:cs="Times New Roman"/>
          <w:noProof/>
          <w:szCs w:val="21"/>
        </w:rPr>
        <w:t xml:space="preserve"> </w:t>
      </w:r>
      <w:r w:rsidR="0098260E" w:rsidRPr="008445DF">
        <w:rPr>
          <w:rFonts w:ascii="Times New Roman" w:hAnsi="Times New Roman" w:cs="Times New Roman"/>
          <w:noProof/>
          <w:szCs w:val="21"/>
        </w:rPr>
        <w:t xml:space="preserve">the </w:t>
      </w:r>
      <w:r w:rsidRPr="008445DF">
        <w:rPr>
          <w:rFonts w:ascii="Times New Roman" w:hAnsi="Times New Roman" w:cs="Times New Roman"/>
          <w:noProof/>
          <w:szCs w:val="21"/>
        </w:rPr>
        <w:t>analysis of the TCGA database, the above unsatisfactory results might be due to the incomplete data about the</w:t>
      </w:r>
      <w:r w:rsidRPr="008445DF">
        <w:rPr>
          <w:rFonts w:ascii="Times New Roman" w:hAnsi="Times New Roman" w:cs="Times New Roman" w:hint="eastAsia"/>
          <w:noProof/>
          <w:szCs w:val="21"/>
        </w:rPr>
        <w:t xml:space="preserve"> </w:t>
      </w:r>
      <w:r w:rsidRPr="008445DF">
        <w:rPr>
          <w:rFonts w:ascii="Times New Roman" w:hAnsi="Times New Roman" w:cs="Times New Roman"/>
          <w:noProof/>
          <w:szCs w:val="21"/>
        </w:rPr>
        <w:t>differentiation</w:t>
      </w:r>
      <w:r w:rsidRPr="008445DF">
        <w:rPr>
          <w:rFonts w:ascii="Times New Roman" w:hAnsi="Times New Roman" w:cs="Times New Roman" w:hint="eastAsia"/>
          <w:noProof/>
          <w:szCs w:val="21"/>
        </w:rPr>
        <w:t xml:space="preserve"> state</w:t>
      </w:r>
      <w:r w:rsidRPr="008445DF">
        <w:rPr>
          <w:rFonts w:ascii="Times New Roman" w:hAnsi="Times New Roman" w:cs="Times New Roman"/>
          <w:noProof/>
          <w:szCs w:val="21"/>
        </w:rPr>
        <w:t xml:space="preserve"> of </w:t>
      </w:r>
      <w:r w:rsidRPr="008445DF">
        <w:rPr>
          <w:rFonts w:ascii="Times New Roman" w:hAnsi="Times New Roman" w:cs="Times New Roman" w:hint="eastAsia"/>
          <w:noProof/>
          <w:szCs w:val="21"/>
        </w:rPr>
        <w:t>NSCLCs</w:t>
      </w:r>
      <w:r w:rsidRPr="008445DF">
        <w:rPr>
          <w:rFonts w:ascii="Times New Roman" w:hAnsi="Times New Roman" w:cs="Times New Roman"/>
          <w:noProof/>
          <w:szCs w:val="21"/>
        </w:rPr>
        <w:t xml:space="preserve"> samples in the TCGA </w:t>
      </w:r>
      <w:r w:rsidRPr="008445DF">
        <w:rPr>
          <w:rFonts w:ascii="Times New Roman" w:hAnsi="Times New Roman" w:cs="Times New Roman" w:hint="eastAsia"/>
          <w:noProof/>
          <w:szCs w:val="21"/>
        </w:rPr>
        <w:t>database</w:t>
      </w:r>
      <w:r w:rsidRPr="008445DF">
        <w:rPr>
          <w:rFonts w:ascii="Times New Roman" w:hAnsi="Times New Roman" w:cs="Times New Roman"/>
          <w:noProof/>
          <w:szCs w:val="21"/>
        </w:rPr>
        <w:t>.</w:t>
      </w:r>
    </w:p>
    <w:p w14:paraId="5C8281C9" w14:textId="4EF6E1C9" w:rsidR="009C77E8" w:rsidRPr="00145B62" w:rsidRDefault="000D7BA2" w:rsidP="0048678F">
      <w:pPr>
        <w:jc w:val="center"/>
        <w:rPr>
          <w:rFonts w:ascii="Times New Roman" w:hAnsi="Times New Roman" w:cs="Times New Roman"/>
          <w:noProof/>
          <w:szCs w:val="21"/>
        </w:rPr>
      </w:pPr>
      <w:r w:rsidRPr="00145B62">
        <w:rPr>
          <w:rFonts w:ascii="Times New Roman" w:hAnsi="Times New Roman" w:cs="Times New Roman"/>
          <w:noProof/>
          <w:szCs w:val="21"/>
        </w:rPr>
        <w:lastRenderedPageBreak/>
        <w:drawing>
          <wp:inline distT="0" distB="0" distL="0" distR="0" wp14:anchorId="7BD0FEDC" wp14:editId="264A28F7">
            <wp:extent cx="4912045" cy="4391025"/>
            <wp:effectExtent l="0" t="0" r="317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923833" cy="4401562"/>
                    </a:xfrm>
                    <a:prstGeom prst="rect">
                      <a:avLst/>
                    </a:prstGeom>
                    <a:noFill/>
                    <a:ln>
                      <a:noFill/>
                    </a:ln>
                  </pic:spPr>
                </pic:pic>
              </a:graphicData>
            </a:graphic>
          </wp:inline>
        </w:drawing>
      </w:r>
    </w:p>
    <w:p w14:paraId="7A891C84" w14:textId="6C6E6E28" w:rsidR="0048678F" w:rsidRPr="00145B62" w:rsidRDefault="0048678F" w:rsidP="00145B62">
      <w:pPr>
        <w:spacing w:line="360" w:lineRule="auto"/>
        <w:ind w:firstLine="301"/>
        <w:jc w:val="left"/>
        <w:rPr>
          <w:rFonts w:ascii="Times New Roman" w:hAnsi="Times New Roman" w:cs="Times New Roman"/>
          <w:noProof/>
          <w:szCs w:val="21"/>
        </w:rPr>
      </w:pPr>
      <w:r w:rsidRPr="00145B62">
        <w:rPr>
          <w:rFonts w:ascii="Times New Roman" w:hAnsi="Times New Roman" w:cs="Times New Roman"/>
          <w:noProof/>
          <w:szCs w:val="21"/>
        </w:rPr>
        <w:t>Fig</w:t>
      </w:r>
      <w:r w:rsidR="00436C0F" w:rsidRPr="00145B62">
        <w:rPr>
          <w:rFonts w:ascii="Times New Roman" w:hAnsi="Times New Roman" w:cs="Times New Roman" w:hint="eastAsia"/>
          <w:noProof/>
          <w:szCs w:val="21"/>
        </w:rPr>
        <w:t>ure</w:t>
      </w:r>
      <w:r w:rsidRPr="00145B62">
        <w:rPr>
          <w:rFonts w:ascii="Times New Roman" w:hAnsi="Times New Roman" w:cs="Times New Roman"/>
          <w:noProof/>
          <w:szCs w:val="21"/>
        </w:rPr>
        <w:t>.S</w:t>
      </w:r>
      <w:r w:rsidR="004D686C" w:rsidRPr="00145B62">
        <w:rPr>
          <w:rFonts w:ascii="Times New Roman" w:hAnsi="Times New Roman" w:cs="Times New Roman"/>
          <w:noProof/>
          <w:szCs w:val="21"/>
        </w:rPr>
        <w:t>4</w:t>
      </w:r>
      <w:r w:rsidRPr="00145B62">
        <w:rPr>
          <w:rFonts w:ascii="Times New Roman" w:hAnsi="Times New Roman" w:cs="Times New Roman"/>
          <w:noProof/>
          <w:szCs w:val="21"/>
        </w:rPr>
        <w:t xml:space="preserve">. The connection between SLC34A2 maintaining stemness of lung cancer stem cells and PI3K/AKT/STAT3/Sox2 axis </w:t>
      </w:r>
      <w:r w:rsidR="00D71A7F">
        <w:rPr>
          <w:rFonts w:ascii="Times New Roman" w:hAnsi="Times New Roman" w:cs="Times New Roman"/>
          <w:noProof/>
          <w:szCs w:val="21"/>
        </w:rPr>
        <w:t>was v</w:t>
      </w:r>
      <w:r w:rsidR="00D71A7F" w:rsidRPr="00D71A7F">
        <w:rPr>
          <w:rFonts w:ascii="Times New Roman" w:hAnsi="Times New Roman" w:cs="Times New Roman"/>
          <w:noProof/>
          <w:szCs w:val="21"/>
        </w:rPr>
        <w:t>alidated</w:t>
      </w:r>
      <w:r w:rsidR="00D71A7F">
        <w:rPr>
          <w:rFonts w:ascii="Times New Roman" w:hAnsi="Times New Roman" w:cs="Times New Roman"/>
          <w:noProof/>
          <w:szCs w:val="21"/>
        </w:rPr>
        <w:t xml:space="preserve"> </w:t>
      </w:r>
      <w:r w:rsidRPr="00145B62">
        <w:rPr>
          <w:rFonts w:ascii="Times New Roman" w:hAnsi="Times New Roman" w:cs="Times New Roman"/>
          <w:noProof/>
          <w:szCs w:val="21"/>
        </w:rPr>
        <w:t xml:space="preserve">in </w:t>
      </w:r>
      <w:r w:rsidR="00D71A7F">
        <w:rPr>
          <w:rFonts w:ascii="Times New Roman" w:hAnsi="Times New Roman" w:cs="Times New Roman"/>
          <w:noProof/>
          <w:szCs w:val="21"/>
        </w:rPr>
        <w:t xml:space="preserve">the </w:t>
      </w:r>
      <w:r w:rsidRPr="00145B62">
        <w:rPr>
          <w:rFonts w:ascii="Times New Roman" w:hAnsi="Times New Roman" w:cs="Times New Roman"/>
          <w:noProof/>
          <w:szCs w:val="21"/>
        </w:rPr>
        <w:t>TCGA database.</w:t>
      </w:r>
      <w:r w:rsidRPr="00145B62">
        <w:rPr>
          <w:rFonts w:ascii="Times New Roman" w:hAnsi="Times New Roman" w:cs="Times New Roman"/>
          <w:b/>
          <w:bCs/>
          <w:noProof/>
          <w:szCs w:val="21"/>
        </w:rPr>
        <w:t xml:space="preserve"> (</w:t>
      </w:r>
      <w:r w:rsidR="004D686C" w:rsidRPr="00145B62">
        <w:rPr>
          <w:rFonts w:ascii="Times New Roman" w:hAnsi="Times New Roman" w:cs="Times New Roman"/>
          <w:b/>
          <w:bCs/>
          <w:noProof/>
          <w:szCs w:val="21"/>
        </w:rPr>
        <w:t>A</w:t>
      </w:r>
      <w:r w:rsidRPr="00145B62">
        <w:rPr>
          <w:rFonts w:ascii="Times New Roman" w:hAnsi="Times New Roman" w:cs="Times New Roman"/>
          <w:b/>
          <w:bCs/>
          <w:noProof/>
          <w:szCs w:val="21"/>
        </w:rPr>
        <w:t xml:space="preserve">) </w:t>
      </w:r>
      <w:r w:rsidRPr="00145B62">
        <w:rPr>
          <w:rFonts w:ascii="Times New Roman" w:hAnsi="Times New Roman" w:cs="Times New Roman"/>
          <w:noProof/>
          <w:szCs w:val="21"/>
        </w:rPr>
        <w:t xml:space="preserve">The relative mRNA expression level of SLC34A2 in 631 NSCLC tissues from the TCGA database. </w:t>
      </w:r>
      <w:r w:rsidRPr="00145B62">
        <w:rPr>
          <w:rFonts w:ascii="Times New Roman" w:hAnsi="Times New Roman" w:cs="Times New Roman"/>
          <w:b/>
          <w:bCs/>
          <w:noProof/>
          <w:szCs w:val="21"/>
        </w:rPr>
        <w:t>(</w:t>
      </w:r>
      <w:r w:rsidR="004D686C" w:rsidRPr="00145B62">
        <w:rPr>
          <w:rFonts w:ascii="Times New Roman" w:hAnsi="Times New Roman" w:cs="Times New Roman"/>
          <w:b/>
          <w:bCs/>
          <w:noProof/>
          <w:szCs w:val="21"/>
        </w:rPr>
        <w:t>B</w:t>
      </w:r>
      <w:r w:rsidRPr="00145B62">
        <w:rPr>
          <w:rFonts w:ascii="Times New Roman" w:hAnsi="Times New Roman" w:cs="Times New Roman"/>
          <w:b/>
          <w:bCs/>
          <w:noProof/>
          <w:szCs w:val="21"/>
        </w:rPr>
        <w:t>)</w:t>
      </w:r>
      <w:r w:rsidRPr="00145B62">
        <w:rPr>
          <w:rFonts w:ascii="Times New Roman" w:hAnsi="Times New Roman" w:cs="Times New Roman"/>
          <w:noProof/>
          <w:szCs w:val="21"/>
        </w:rPr>
        <w:t xml:space="preserve"> The connection between the mRNA expression of SLC34A2, T stage and lymphatic metastasis in NSCLCs tissues from the TCGA database. </w:t>
      </w:r>
      <w:r w:rsidRPr="00145B62">
        <w:rPr>
          <w:rFonts w:ascii="Times New Roman" w:hAnsi="Times New Roman" w:cs="Times New Roman"/>
          <w:b/>
          <w:bCs/>
          <w:noProof/>
          <w:szCs w:val="21"/>
        </w:rPr>
        <w:t>(</w:t>
      </w:r>
      <w:r w:rsidR="004D686C" w:rsidRPr="00145B62">
        <w:rPr>
          <w:rFonts w:ascii="Times New Roman" w:hAnsi="Times New Roman" w:cs="Times New Roman"/>
          <w:b/>
          <w:bCs/>
          <w:noProof/>
          <w:szCs w:val="21"/>
        </w:rPr>
        <w:t>C</w:t>
      </w:r>
      <w:r w:rsidRPr="00145B62">
        <w:rPr>
          <w:rFonts w:ascii="Times New Roman" w:hAnsi="Times New Roman" w:cs="Times New Roman"/>
          <w:b/>
          <w:bCs/>
          <w:noProof/>
          <w:szCs w:val="21"/>
        </w:rPr>
        <w:t>)</w:t>
      </w:r>
      <w:r w:rsidRPr="00145B62">
        <w:rPr>
          <w:rFonts w:ascii="Times New Roman" w:hAnsi="Times New Roman" w:cs="Times New Roman"/>
          <w:noProof/>
          <w:szCs w:val="21"/>
        </w:rPr>
        <w:t xml:space="preserve"> The correlation between the expression of SLC34A2 and PIK3CA, AKT1, STAT3 and Sox2 in the TCGA database. Statistical analysis was performed using Spearman correlation.</w:t>
      </w:r>
    </w:p>
    <w:p w14:paraId="2D53F31C" w14:textId="77777777" w:rsidR="00145B62" w:rsidRDefault="00145B62" w:rsidP="0048678F">
      <w:pPr>
        <w:spacing w:line="480" w:lineRule="auto"/>
        <w:ind w:firstLine="300"/>
        <w:jc w:val="left"/>
        <w:rPr>
          <w:rFonts w:ascii="Times New Roman" w:eastAsia="宋体" w:hAnsi="Times New Roman" w:cs="Times New Roman"/>
          <w:kern w:val="0"/>
          <w:sz w:val="18"/>
          <w:szCs w:val="18"/>
        </w:rPr>
      </w:pPr>
    </w:p>
    <w:p w14:paraId="12BF07F5" w14:textId="658EBDBB" w:rsidR="00145B62" w:rsidRDefault="00145B62" w:rsidP="00145B62">
      <w:pPr>
        <w:spacing w:line="480" w:lineRule="auto"/>
        <w:rPr>
          <w:rFonts w:ascii="Times New Roman" w:eastAsia="宋体" w:hAnsi="Times New Roman" w:cs="Times New Roman"/>
          <w:b/>
          <w:kern w:val="0"/>
          <w:sz w:val="28"/>
          <w:szCs w:val="28"/>
          <w:lang w:val="en-GB"/>
        </w:rPr>
      </w:pPr>
      <w:r w:rsidRPr="001D5CC6">
        <w:rPr>
          <w:rFonts w:ascii="Times New Roman" w:eastAsia="宋体" w:hAnsi="Times New Roman" w:cs="Times New Roman"/>
          <w:b/>
          <w:kern w:val="0"/>
          <w:sz w:val="28"/>
          <w:szCs w:val="28"/>
          <w:lang w:val="en-GB"/>
        </w:rPr>
        <w:t xml:space="preserve">Reference </w:t>
      </w:r>
    </w:p>
    <w:p w14:paraId="31FBFD28" w14:textId="2B2BA726" w:rsidR="00145B62" w:rsidRDefault="00145B62" w:rsidP="00145B62">
      <w:pPr>
        <w:pStyle w:val="EndNoteBibliography"/>
        <w:spacing w:line="360" w:lineRule="auto"/>
        <w:ind w:left="720" w:hanging="720"/>
        <w:rPr>
          <w:rFonts w:ascii="Times New Roman" w:hAnsi="Times New Roman" w:cs="Times New Roman"/>
          <w:sz w:val="21"/>
          <w:szCs w:val="21"/>
        </w:rPr>
      </w:pPr>
      <w:r w:rsidRPr="001D5CC6">
        <w:rPr>
          <w:rFonts w:ascii="Times New Roman" w:hAnsi="Times New Roman" w:cs="Times New Roman"/>
          <w:sz w:val="21"/>
          <w:szCs w:val="21"/>
        </w:rPr>
        <w:t>1.</w:t>
      </w:r>
      <w:r w:rsidRPr="001D5CC6">
        <w:rPr>
          <w:rFonts w:ascii="Times New Roman" w:hAnsi="Times New Roman" w:cs="Times New Roman"/>
          <w:sz w:val="21"/>
          <w:szCs w:val="21"/>
        </w:rPr>
        <w:tab/>
        <w:t xml:space="preserve">Ben-Porath I, Thomson MW, Carey VJ, Ge R, Bell GW, Regev A, Weinberg RA: </w:t>
      </w:r>
      <w:r w:rsidRPr="001D5CC6">
        <w:rPr>
          <w:rFonts w:ascii="Times New Roman" w:hAnsi="Times New Roman" w:cs="Times New Roman"/>
          <w:b/>
          <w:sz w:val="21"/>
          <w:szCs w:val="21"/>
        </w:rPr>
        <w:t>An embryonic stem cell-like gene expression signature in poorly differentiated aggressive human tumors.</w:t>
      </w:r>
      <w:r w:rsidRPr="001D5CC6">
        <w:rPr>
          <w:rFonts w:ascii="Times New Roman" w:hAnsi="Times New Roman" w:cs="Times New Roman"/>
          <w:sz w:val="21"/>
          <w:szCs w:val="21"/>
        </w:rPr>
        <w:t xml:space="preserve"> </w:t>
      </w:r>
      <w:r w:rsidRPr="001D5CC6">
        <w:rPr>
          <w:rFonts w:ascii="Times New Roman" w:hAnsi="Times New Roman" w:cs="Times New Roman"/>
          <w:i/>
          <w:sz w:val="21"/>
          <w:szCs w:val="21"/>
        </w:rPr>
        <w:t xml:space="preserve">Nat Genet </w:t>
      </w:r>
      <w:r w:rsidRPr="001D5CC6">
        <w:rPr>
          <w:rFonts w:ascii="Times New Roman" w:hAnsi="Times New Roman" w:cs="Times New Roman"/>
          <w:sz w:val="21"/>
          <w:szCs w:val="21"/>
        </w:rPr>
        <w:t xml:space="preserve">2008, </w:t>
      </w:r>
      <w:r w:rsidRPr="001D5CC6">
        <w:rPr>
          <w:rFonts w:ascii="Times New Roman" w:hAnsi="Times New Roman" w:cs="Times New Roman"/>
          <w:b/>
          <w:sz w:val="21"/>
          <w:szCs w:val="21"/>
        </w:rPr>
        <w:t>40:</w:t>
      </w:r>
      <w:r w:rsidRPr="001D5CC6">
        <w:rPr>
          <w:rFonts w:ascii="Times New Roman" w:hAnsi="Times New Roman" w:cs="Times New Roman"/>
          <w:sz w:val="21"/>
          <w:szCs w:val="21"/>
        </w:rPr>
        <w:t>499-507.</w:t>
      </w:r>
    </w:p>
    <w:p w14:paraId="02E127C3" w14:textId="77777777" w:rsidR="00145B62" w:rsidRPr="0048678F" w:rsidRDefault="00145B62" w:rsidP="00145B62">
      <w:pPr>
        <w:spacing w:line="480" w:lineRule="auto"/>
        <w:jc w:val="left"/>
        <w:rPr>
          <w:rFonts w:ascii="Times New Roman" w:eastAsia="宋体" w:hAnsi="Times New Roman" w:cs="Times New Roman"/>
          <w:kern w:val="0"/>
          <w:sz w:val="18"/>
          <w:szCs w:val="18"/>
        </w:rPr>
      </w:pPr>
    </w:p>
    <w:sectPr w:rsidR="00145B62" w:rsidRPr="0048678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awtDQyNzYyMTQztTRR0lEKTi0uzszPAykwrwUAqUAo+CwAAAA="/>
  </w:docVars>
  <w:rsids>
    <w:rsidRoot w:val="00B9191F"/>
    <w:rsid w:val="000D7BA2"/>
    <w:rsid w:val="00145B62"/>
    <w:rsid w:val="00404CB4"/>
    <w:rsid w:val="00436C0F"/>
    <w:rsid w:val="0048678F"/>
    <w:rsid w:val="004D686C"/>
    <w:rsid w:val="008445DF"/>
    <w:rsid w:val="0098260E"/>
    <w:rsid w:val="009C77E8"/>
    <w:rsid w:val="00AC3CAA"/>
    <w:rsid w:val="00B9191F"/>
    <w:rsid w:val="00D71A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936914"/>
  <w15:chartTrackingRefBased/>
  <w15:docId w15:val="{FC7D1CFB-09E7-431B-9636-6E142B6AB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8678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
    <w:name w:val="EndNote Bibliography"/>
    <w:basedOn w:val="a"/>
    <w:link w:val="EndNoteBibliographyChar"/>
    <w:rsid w:val="00145B62"/>
    <w:rPr>
      <w:rFonts w:ascii="Calibri" w:hAnsi="Calibri" w:cs="Calibri"/>
      <w:noProof/>
      <w:sz w:val="20"/>
    </w:rPr>
  </w:style>
  <w:style w:type="character" w:customStyle="1" w:styleId="EndNoteBibliographyChar">
    <w:name w:val="EndNote Bibliography Char"/>
    <w:basedOn w:val="a0"/>
    <w:link w:val="EndNoteBibliography"/>
    <w:rsid w:val="00145B62"/>
    <w:rPr>
      <w:rFonts w:ascii="Calibri" w:hAnsi="Calibri" w:cs="Calibri"/>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375</Words>
  <Characters>2139</Characters>
  <Application>Microsoft Office Word</Application>
  <DocSecurity>0</DocSecurity>
  <Lines>17</Lines>
  <Paragraphs>5</Paragraphs>
  <ScaleCrop>false</ScaleCrop>
  <Company/>
  <LinksUpToDate>false</LinksUpToDate>
  <CharactersWithSpaces>2509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5</cp:revision>
  <dcterms:created xsi:type="dcterms:W3CDTF">2020-02-20T09:05:00Z</dcterms:created>
  <dcterms:modified xsi:type="dcterms:W3CDTF">2021-01-28T03:35:00Z</dcterms:modified>
</cp:coreProperties>
</file>