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75996" w14:textId="77777777" w:rsidR="00153B66" w:rsidRPr="00DC7E4A" w:rsidRDefault="00153B66" w:rsidP="00153B66">
      <w:pPr>
        <w:rPr>
          <w:rFonts w:ascii="Times New Roman" w:hAnsi="Times New Roman" w:cs="Times New Roman"/>
        </w:rPr>
      </w:pPr>
      <w:r w:rsidRPr="00FE1244">
        <w:rPr>
          <w:rFonts w:ascii="Times New Roman" w:hAnsi="Times New Roman" w:cs="Times New Roman"/>
          <w:b/>
        </w:rPr>
        <w:t>Supplementary figure</w:t>
      </w:r>
      <w:r w:rsidR="00DC7E4A" w:rsidRPr="00FE1244">
        <w:rPr>
          <w:rFonts w:ascii="Times New Roman" w:hAnsi="Times New Roman" w:cs="Times New Roman"/>
          <w:b/>
        </w:rPr>
        <w:t xml:space="preserve"> 1</w:t>
      </w:r>
      <w:r w:rsidRPr="00FE1244">
        <w:rPr>
          <w:rFonts w:ascii="Times New Roman" w:hAnsi="Times New Roman" w:cs="Times New Roman"/>
          <w:b/>
        </w:rPr>
        <w:t>.</w:t>
      </w:r>
      <w:r w:rsidRPr="00DC7E4A">
        <w:rPr>
          <w:rFonts w:ascii="Times New Roman" w:hAnsi="Times New Roman" w:cs="Times New Roman"/>
        </w:rPr>
        <w:t xml:space="preserve"> Definition of Genotype Concordance, Specificity and Sensitivity</w:t>
      </w:r>
    </w:p>
    <w:p w14:paraId="7B44D34A" w14:textId="77777777" w:rsidR="00025436" w:rsidRPr="00DC7E4A" w:rsidRDefault="00DC7E4A" w:rsidP="00153B66">
      <w:pPr>
        <w:rPr>
          <w:rFonts w:ascii="Times New Roman" w:hAnsi="Times New Roman" w:cs="Times New Roman"/>
        </w:rPr>
      </w:pPr>
      <w:r>
        <w:rPr>
          <w:rFonts w:ascii="Times New Roman" w:hAnsi="Times New Roman" w:cs="Times New Roman"/>
        </w:rPr>
        <w:t>0</w:t>
      </w:r>
      <w:r w:rsidR="00153B66" w:rsidRPr="00DC7E4A">
        <w:rPr>
          <w:rFonts w:ascii="Times New Roman" w:hAnsi="Times New Roman" w:cs="Times New Roman"/>
        </w:rPr>
        <w:t xml:space="preserve"> represents reference allele while </w:t>
      </w:r>
      <w:r>
        <w:rPr>
          <w:rFonts w:ascii="Times New Roman" w:hAnsi="Times New Roman" w:cs="Times New Roman"/>
        </w:rPr>
        <w:t>1</w:t>
      </w:r>
      <w:r w:rsidR="00153B66" w:rsidRPr="00DC7E4A">
        <w:rPr>
          <w:rFonts w:ascii="Times New Roman" w:hAnsi="Times New Roman" w:cs="Times New Roman"/>
        </w:rPr>
        <w:t xml:space="preserve"> represents Non-Reference (NR) allele, dot means allele missing called. For each metrics, the value equals to the corresponding red rectangles divided by all rectangles with blue border.</w:t>
      </w:r>
    </w:p>
    <w:p w14:paraId="1A6AAB35" w14:textId="77777777" w:rsidR="00153B66" w:rsidRDefault="009B54CE" w:rsidP="00153B66">
      <w:r>
        <w:pict w14:anchorId="161B3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109.6pt">
            <v:imagedata r:id="rId6" o:title="S_F1"/>
          </v:shape>
        </w:pict>
      </w:r>
    </w:p>
    <w:p w14:paraId="0936C455" w14:textId="77777777" w:rsidR="00DC7E4A" w:rsidRDefault="00DC7E4A" w:rsidP="00153B66"/>
    <w:p w14:paraId="1516AD93" w14:textId="77777777" w:rsidR="00DC7E4A" w:rsidRDefault="00DC7E4A">
      <w:pPr>
        <w:widowControl/>
        <w:jc w:val="left"/>
      </w:pPr>
      <w:r>
        <w:br w:type="page"/>
      </w:r>
    </w:p>
    <w:p w14:paraId="220D98D3" w14:textId="77777777" w:rsidR="00DC7E4A" w:rsidRPr="00DC7E4A" w:rsidRDefault="00DC7E4A" w:rsidP="00153B66">
      <w:r w:rsidRPr="00FE1244">
        <w:rPr>
          <w:rFonts w:ascii="Times New Roman" w:hAnsi="Times New Roman" w:cs="Times New Roman"/>
          <w:b/>
        </w:rPr>
        <w:lastRenderedPageBreak/>
        <w:t xml:space="preserve">Supplementary figure 2. </w:t>
      </w:r>
      <w:r w:rsidRPr="00DC7E4A">
        <w:rPr>
          <w:rFonts w:ascii="Times New Roman" w:hAnsi="Times New Roman" w:cs="Times New Roman"/>
        </w:rPr>
        <w:t>The mean NR-allele concordance rate in Africa, America, Europe, Middle East and Oceania populations of HGDP. For all populations of HGDP, we used Axiom array sites to make preudo array. We also used the Asia screening array loci to make pseudo array in East Asian and Central and South Asian populations.</w:t>
      </w:r>
    </w:p>
    <w:p w14:paraId="7EACA7DF" w14:textId="77777777" w:rsidR="00DC7E4A" w:rsidRDefault="009B54CE" w:rsidP="00153B66">
      <w:pPr>
        <w:rPr>
          <w:rFonts w:ascii="Times New Roman" w:hAnsi="Times New Roman" w:cs="Times New Roman"/>
        </w:rPr>
      </w:pPr>
      <w:r>
        <w:rPr>
          <w:rFonts w:ascii="Times New Roman" w:hAnsi="Times New Roman" w:cs="Times New Roman"/>
        </w:rPr>
        <w:pict w14:anchorId="2C71548D">
          <v:shape id="_x0000_i1026" type="#_x0000_t75" style="width:415.4pt;height:142.8pt">
            <v:imagedata r:id="rId7" o:title="S4"/>
          </v:shape>
        </w:pict>
      </w:r>
    </w:p>
    <w:p w14:paraId="40B11251" w14:textId="77777777" w:rsidR="00DC7E4A" w:rsidRDefault="00DC7E4A">
      <w:pPr>
        <w:widowControl/>
        <w:jc w:val="left"/>
        <w:rPr>
          <w:rFonts w:ascii="Times New Roman" w:hAnsi="Times New Roman" w:cs="Times New Roman"/>
        </w:rPr>
      </w:pPr>
      <w:r>
        <w:rPr>
          <w:rFonts w:ascii="Times New Roman" w:hAnsi="Times New Roman" w:cs="Times New Roman"/>
        </w:rPr>
        <w:br w:type="page"/>
      </w:r>
    </w:p>
    <w:p w14:paraId="64189473" w14:textId="77777777" w:rsidR="00DC7E4A" w:rsidRDefault="00DC7E4A" w:rsidP="00153B66">
      <w:r w:rsidRPr="00FE1244">
        <w:rPr>
          <w:rFonts w:ascii="Times New Roman" w:hAnsi="Times New Roman" w:cs="Times New Roman"/>
          <w:b/>
        </w:rPr>
        <w:lastRenderedPageBreak/>
        <w:t xml:space="preserve">Supplementary figure 3. </w:t>
      </w:r>
      <w:r w:rsidRPr="00DC7E4A">
        <w:rPr>
          <w:rFonts w:ascii="Times New Roman" w:hAnsi="Times New Roman" w:cs="Times New Roman"/>
        </w:rPr>
        <w:t>A. The fold change of mean NR-allele concordance rate in Africa, America, Europe, Middle East and Oceania populations of HGDP. For all populations of HGDP, we used Axiom array sites to make preudo array. We also used the Asia screening array loci to make pseudo array in East Asian and Central and South Asian populations.</w:t>
      </w:r>
      <w:r w:rsidR="00D17017">
        <w:rPr>
          <w:rFonts w:ascii="Times New Roman" w:hAnsi="Times New Roman" w:cs="Times New Roman"/>
        </w:rPr>
        <w:t xml:space="preserve"> A. foldchange=SEAD/GAsP;</w:t>
      </w:r>
      <w:r w:rsidR="00D17017" w:rsidRPr="00D17017">
        <w:rPr>
          <w:rFonts w:ascii="Times New Roman" w:hAnsi="Times New Roman" w:cs="Times New Roman"/>
        </w:rPr>
        <w:t xml:space="preserve"> </w:t>
      </w:r>
      <w:r w:rsidR="00D17017">
        <w:rPr>
          <w:rFonts w:ascii="Times New Roman" w:hAnsi="Times New Roman" w:cs="Times New Roman"/>
        </w:rPr>
        <w:t>B. foldchange=SEAD/SG10K;</w:t>
      </w:r>
      <w:r w:rsidR="00D17017" w:rsidRPr="00D17017">
        <w:rPr>
          <w:rFonts w:ascii="Times New Roman" w:hAnsi="Times New Roman" w:cs="Times New Roman"/>
        </w:rPr>
        <w:t xml:space="preserve"> </w:t>
      </w:r>
      <w:r w:rsidR="00D17017">
        <w:rPr>
          <w:rFonts w:ascii="Times New Roman" w:hAnsi="Times New Roman" w:cs="Times New Roman"/>
        </w:rPr>
        <w:t>C. foldchange=SEAD/WBBC.</w:t>
      </w:r>
    </w:p>
    <w:p w14:paraId="1E03F69E" w14:textId="77777777" w:rsidR="00DC7E4A" w:rsidRDefault="009B54CE" w:rsidP="00153B66">
      <w:r>
        <w:pict w14:anchorId="12C582D0">
          <v:shape id="_x0000_i1027" type="#_x0000_t75" style="width:414.6pt;height:301.45pt">
            <v:imagedata r:id="rId8" o:title="S3"/>
          </v:shape>
        </w:pict>
      </w:r>
    </w:p>
    <w:p w14:paraId="1918C206" w14:textId="77777777" w:rsidR="00DC7E4A" w:rsidRDefault="00DC7E4A">
      <w:pPr>
        <w:widowControl/>
        <w:jc w:val="left"/>
      </w:pPr>
      <w:r>
        <w:br w:type="page"/>
      </w:r>
    </w:p>
    <w:p w14:paraId="65D8239D" w14:textId="77777777" w:rsidR="00DC7E4A" w:rsidRDefault="00DC7E4A" w:rsidP="00DC7E4A">
      <w:r w:rsidRPr="00FE1244">
        <w:rPr>
          <w:rFonts w:ascii="Times New Roman" w:hAnsi="Times New Roman" w:cs="Times New Roman"/>
          <w:b/>
        </w:rPr>
        <w:lastRenderedPageBreak/>
        <w:t>Supplementary figure 4.</w:t>
      </w:r>
      <w:r w:rsidR="00D17017" w:rsidRPr="00FE1244">
        <w:rPr>
          <w:rFonts w:ascii="Times New Roman" w:hAnsi="Times New Roman" w:cs="Times New Roman"/>
          <w:b/>
        </w:rPr>
        <w:t xml:space="preserve"> </w:t>
      </w:r>
      <w:r w:rsidR="00D17017" w:rsidRPr="00DB5DC9">
        <w:rPr>
          <w:rFonts w:ascii="Times New Roman" w:hAnsi="Times New Roman" w:cs="Times New Roman" w:hint="eastAsia"/>
          <w:color w:val="000000" w:themeColor="text1"/>
          <w:sz w:val="24"/>
          <w:szCs w:val="24"/>
        </w:rPr>
        <w:t xml:space="preserve">Non-reference allele (NR-allele) concordance rate </w:t>
      </w:r>
      <w:r w:rsidR="00D17017" w:rsidRPr="00DB5DC9">
        <w:rPr>
          <w:rFonts w:ascii="Times New Roman" w:hAnsi="Times New Roman" w:cs="Times New Roman"/>
          <w:color w:val="000000" w:themeColor="text1"/>
          <w:sz w:val="24"/>
          <w:szCs w:val="24"/>
        </w:rPr>
        <w:t>distribution</w:t>
      </w:r>
      <w:r w:rsidR="00D17017" w:rsidRPr="00DB5DC9">
        <w:rPr>
          <w:rFonts w:ascii="Times New Roman" w:hAnsi="Times New Roman" w:cs="Times New Roman" w:hint="eastAsia"/>
          <w:color w:val="000000" w:themeColor="text1"/>
          <w:sz w:val="24"/>
          <w:szCs w:val="24"/>
        </w:rPr>
        <w:t xml:space="preserve"> (</w:t>
      </w:r>
      <w:r w:rsidR="00D17017" w:rsidRPr="00DB5DC9">
        <w:rPr>
          <w:rFonts w:ascii="Times New Roman" w:hAnsi="Times New Roman" w:cs="Times New Roman"/>
          <w:color w:val="000000" w:themeColor="text1"/>
          <w:sz w:val="24"/>
          <w:szCs w:val="24"/>
        </w:rPr>
        <w:t>i</w:t>
      </w:r>
      <w:r w:rsidR="00D17017" w:rsidRPr="00DB5DC9">
        <w:rPr>
          <w:rFonts w:ascii="Times New Roman" w:hAnsi="Times New Roman" w:cs="Times New Roman" w:hint="eastAsia"/>
          <w:color w:val="000000" w:themeColor="text1"/>
          <w:sz w:val="24"/>
          <w:szCs w:val="24"/>
        </w:rPr>
        <w:t>mputed variants vs.</w:t>
      </w:r>
      <w:r w:rsidR="00D17017" w:rsidRPr="00DB5DC9">
        <w:rPr>
          <w:rFonts w:ascii="Times New Roman" w:hAnsi="Times New Roman" w:cs="Times New Roman"/>
          <w:color w:val="000000" w:themeColor="text1"/>
          <w:sz w:val="24"/>
          <w:szCs w:val="24"/>
        </w:rPr>
        <w:t xml:space="preserve"> WGS</w:t>
      </w:r>
      <w:r w:rsidR="00D17017" w:rsidRPr="00DB5DC9">
        <w:rPr>
          <w:rFonts w:ascii="Times New Roman" w:hAnsi="Times New Roman" w:cs="Times New Roman" w:hint="eastAsia"/>
          <w:color w:val="000000" w:themeColor="text1"/>
          <w:sz w:val="24"/>
          <w:szCs w:val="24"/>
        </w:rPr>
        <w:t xml:space="preserve"> variants)</w:t>
      </w:r>
      <w:r w:rsidR="00D17017" w:rsidRPr="00DB5DC9">
        <w:rPr>
          <w:rFonts w:ascii="Times New Roman" w:hAnsi="Times New Roman" w:cs="Times New Roman"/>
          <w:color w:val="000000" w:themeColor="text1"/>
          <w:sz w:val="24"/>
          <w:szCs w:val="24"/>
        </w:rPr>
        <w:t xml:space="preserve"> in East Asia populations</w:t>
      </w:r>
      <w:r w:rsidR="00D17017">
        <w:rPr>
          <w:rFonts w:ascii="Times New Roman" w:hAnsi="Times New Roman" w:cs="Times New Roman"/>
          <w:color w:val="000000" w:themeColor="text1"/>
          <w:sz w:val="24"/>
          <w:szCs w:val="24"/>
        </w:rPr>
        <w:t xml:space="preserve"> (A) and Central and South Asia populations</w:t>
      </w:r>
      <w:r w:rsidR="00D17017" w:rsidRPr="00DB5DC9">
        <w:rPr>
          <w:rFonts w:ascii="Times New Roman" w:hAnsi="Times New Roman" w:cs="Times New Roman" w:hint="eastAsia"/>
          <w:color w:val="000000" w:themeColor="text1"/>
          <w:sz w:val="24"/>
          <w:szCs w:val="24"/>
        </w:rPr>
        <w:t xml:space="preserve">. Each dot represents an </w:t>
      </w:r>
      <w:r w:rsidR="00D17017" w:rsidRPr="00DB5DC9">
        <w:rPr>
          <w:rFonts w:ascii="Times New Roman" w:hAnsi="Times New Roman" w:cs="Times New Roman"/>
          <w:color w:val="000000" w:themeColor="text1"/>
          <w:sz w:val="24"/>
          <w:szCs w:val="24"/>
        </w:rPr>
        <w:t>individual.</w:t>
      </w:r>
      <w:r w:rsidR="00D17017" w:rsidRPr="00DB5DC9">
        <w:rPr>
          <w:rFonts w:ascii="Times New Roman" w:hAnsi="Times New Roman" w:cs="Times New Roman" w:hint="eastAsia"/>
          <w:color w:val="000000" w:themeColor="text1"/>
          <w:sz w:val="24"/>
          <w:szCs w:val="24"/>
        </w:rPr>
        <w:t xml:space="preserve"> The plots on the top and right are </w:t>
      </w:r>
      <w:r w:rsidR="00D17017" w:rsidRPr="00DB5DC9">
        <w:rPr>
          <w:rFonts w:ascii="Times New Roman" w:hAnsi="Times New Roman" w:cs="Times New Roman"/>
          <w:color w:val="000000" w:themeColor="text1"/>
          <w:sz w:val="24"/>
          <w:szCs w:val="24"/>
        </w:rPr>
        <w:t xml:space="preserve">the </w:t>
      </w:r>
      <w:r w:rsidR="00D17017" w:rsidRPr="00DB5DC9">
        <w:rPr>
          <w:rFonts w:ascii="Times New Roman" w:hAnsi="Times New Roman" w:cs="Times New Roman" w:hint="eastAsia"/>
          <w:color w:val="000000" w:themeColor="text1"/>
          <w:sz w:val="24"/>
          <w:szCs w:val="24"/>
        </w:rPr>
        <w:t xml:space="preserve">corresponding density </w:t>
      </w:r>
      <w:r w:rsidR="00D17017" w:rsidRPr="00DB5DC9">
        <w:rPr>
          <w:rFonts w:ascii="Times New Roman" w:hAnsi="Times New Roman" w:cs="Times New Roman"/>
          <w:color w:val="000000" w:themeColor="text1"/>
          <w:sz w:val="24"/>
          <w:szCs w:val="24"/>
        </w:rPr>
        <w:t>distributions.</w:t>
      </w:r>
    </w:p>
    <w:p w14:paraId="2FDB2A28" w14:textId="77777777" w:rsidR="00DC7E4A" w:rsidRDefault="009B54CE" w:rsidP="00153B66">
      <w:r>
        <w:pict w14:anchorId="3E381405">
          <v:shape id="_x0000_i1028" type="#_x0000_t75" style="width:415pt;height:185.15pt">
            <v:imagedata r:id="rId9" o:title="S2"/>
          </v:shape>
        </w:pict>
      </w:r>
    </w:p>
    <w:p w14:paraId="05ED1E7F" w14:textId="77777777" w:rsidR="00FE1244" w:rsidRDefault="00FE1244" w:rsidP="00DC7E4A">
      <w:pPr>
        <w:widowControl/>
        <w:jc w:val="left"/>
      </w:pPr>
      <w:r>
        <w:br w:type="page"/>
      </w:r>
    </w:p>
    <w:p w14:paraId="74B79911" w14:textId="77777777" w:rsidR="00DC7E4A" w:rsidRDefault="00FE1244" w:rsidP="00DC7E4A">
      <w:pPr>
        <w:widowControl/>
        <w:jc w:val="left"/>
        <w:rPr>
          <w:rFonts w:ascii="Times New Roman" w:hAnsi="Times New Roman" w:cs="Times New Roman"/>
          <w:b/>
        </w:rPr>
      </w:pPr>
      <w:r w:rsidRPr="00FE1244">
        <w:rPr>
          <w:rFonts w:ascii="Times New Roman" w:hAnsi="Times New Roman" w:cs="Times New Roman"/>
          <w:b/>
        </w:rPr>
        <w:lastRenderedPageBreak/>
        <w:t xml:space="preserve">Supplementary figure </w:t>
      </w:r>
      <w:r>
        <w:rPr>
          <w:rFonts w:ascii="Times New Roman" w:hAnsi="Times New Roman" w:cs="Times New Roman"/>
          <w:b/>
        </w:rPr>
        <w:t>5</w:t>
      </w:r>
      <w:r w:rsidRPr="00FE1244">
        <w:rPr>
          <w:rFonts w:ascii="Times New Roman" w:hAnsi="Times New Roman" w:cs="Times New Roman"/>
          <w:b/>
        </w:rPr>
        <w:t>.</w:t>
      </w:r>
      <w:r>
        <w:rPr>
          <w:rFonts w:ascii="Times New Roman" w:hAnsi="Times New Roman" w:cs="Times New Roman"/>
          <w:b/>
        </w:rPr>
        <w:t xml:space="preserve"> </w:t>
      </w:r>
      <w:r w:rsidR="00770F8E">
        <w:rPr>
          <w:rFonts w:ascii="Times New Roman" w:hAnsi="Times New Roman" w:cs="Times New Roman"/>
        </w:rPr>
        <w:t>M</w:t>
      </w:r>
      <w:r w:rsidR="00770F8E" w:rsidRPr="00770F8E">
        <w:rPr>
          <w:rFonts w:ascii="Times New Roman" w:hAnsi="Times New Roman" w:cs="Times New Roman"/>
        </w:rPr>
        <w:t>anhattan and QQ plot with common and rare variant</w:t>
      </w:r>
      <w:r w:rsidR="00770F8E">
        <w:rPr>
          <w:rFonts w:ascii="Times New Roman" w:hAnsi="Times New Roman" w:cs="Times New Roman"/>
        </w:rPr>
        <w:t>s</w:t>
      </w:r>
      <w:r w:rsidR="00770F8E" w:rsidRPr="00770F8E">
        <w:rPr>
          <w:rFonts w:ascii="Times New Roman" w:hAnsi="Times New Roman" w:cs="Times New Roman"/>
        </w:rPr>
        <w:t xml:space="preserve"> </w:t>
      </w:r>
      <w:r w:rsidR="00770F8E">
        <w:rPr>
          <w:rFonts w:ascii="Times New Roman" w:hAnsi="Times New Roman" w:cs="Times New Roman"/>
        </w:rPr>
        <w:t xml:space="preserve">(MAF &gt; 0.001) </w:t>
      </w:r>
      <w:r w:rsidR="00770F8E" w:rsidRPr="00770F8E">
        <w:rPr>
          <w:rFonts w:ascii="Times New Roman" w:hAnsi="Times New Roman" w:cs="Times New Roman"/>
        </w:rPr>
        <w:t>of Hip</w:t>
      </w:r>
      <w:r w:rsidR="00770F8E">
        <w:rPr>
          <w:rFonts w:ascii="Times New Roman" w:hAnsi="Times New Roman" w:cs="Times New Roman"/>
        </w:rPr>
        <w:t xml:space="preserve"> (A and B)</w:t>
      </w:r>
      <w:r w:rsidR="00770F8E" w:rsidRPr="00770F8E">
        <w:rPr>
          <w:rFonts w:ascii="Times New Roman" w:hAnsi="Times New Roman" w:cs="Times New Roman"/>
        </w:rPr>
        <w:t xml:space="preserve"> and FN BMD</w:t>
      </w:r>
      <w:r w:rsidR="00770F8E">
        <w:rPr>
          <w:rFonts w:ascii="Times New Roman" w:hAnsi="Times New Roman" w:cs="Times New Roman"/>
        </w:rPr>
        <w:t xml:space="preserve"> (C and D)</w:t>
      </w:r>
      <w:r w:rsidR="00193E03">
        <w:rPr>
          <w:rFonts w:ascii="Times New Roman" w:hAnsi="Times New Roman" w:cs="Times New Roman"/>
        </w:rPr>
        <w:t xml:space="preserve"> using GWAS individual analysis</w:t>
      </w:r>
      <w:r w:rsidR="00770F8E" w:rsidRPr="00770F8E">
        <w:rPr>
          <w:rFonts w:ascii="Times New Roman" w:hAnsi="Times New Roman" w:cs="Times New Roman"/>
        </w:rPr>
        <w:t>.</w:t>
      </w:r>
    </w:p>
    <w:p w14:paraId="42782473" w14:textId="5054D990" w:rsidR="00770F8E" w:rsidRDefault="00770F8E" w:rsidP="00DC7E4A">
      <w:pPr>
        <w:widowControl/>
        <w:jc w:val="left"/>
      </w:pPr>
      <w:r w:rsidRPr="00770F8E">
        <w:rPr>
          <w:noProof/>
        </w:rPr>
        <w:drawing>
          <wp:inline distT="0" distB="0" distL="0" distR="0" wp14:anchorId="0864CEF9" wp14:editId="1E64E10E">
            <wp:extent cx="5274310" cy="3265596"/>
            <wp:effectExtent l="0" t="0" r="2540" b="0"/>
            <wp:docPr id="1" name="图片 1" descr="C:\Users\Administrator\Desktop\meta\paper\微信图片_20230918173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meta\paper\微信图片_2023091817361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265596"/>
                    </a:xfrm>
                    <a:prstGeom prst="rect">
                      <a:avLst/>
                    </a:prstGeom>
                    <a:noFill/>
                    <a:ln>
                      <a:noFill/>
                    </a:ln>
                  </pic:spPr>
                </pic:pic>
              </a:graphicData>
            </a:graphic>
          </wp:inline>
        </w:drawing>
      </w:r>
      <w:bookmarkStart w:id="0" w:name="_GoBack"/>
      <w:bookmarkEnd w:id="0"/>
    </w:p>
    <w:sectPr w:rsidR="00770F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580A0" w14:textId="77777777" w:rsidR="00BF5766" w:rsidRDefault="00BF5766" w:rsidP="009E746C">
      <w:r>
        <w:separator/>
      </w:r>
    </w:p>
  </w:endnote>
  <w:endnote w:type="continuationSeparator" w:id="0">
    <w:p w14:paraId="5952C142" w14:textId="77777777" w:rsidR="00BF5766" w:rsidRDefault="00BF5766" w:rsidP="009E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AE582" w14:textId="77777777" w:rsidR="00BF5766" w:rsidRDefault="00BF5766" w:rsidP="009E746C">
      <w:r>
        <w:separator/>
      </w:r>
    </w:p>
  </w:footnote>
  <w:footnote w:type="continuationSeparator" w:id="0">
    <w:p w14:paraId="319A5FB5" w14:textId="77777777" w:rsidR="00BF5766" w:rsidRDefault="00BF5766" w:rsidP="009E7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f00ttfyasvt5et2s55tvf30pest95stzze&quot;&gt;My EndNote Library&lt;record-ids&gt;&lt;item&gt;6&lt;/item&gt;&lt;item&gt;7&lt;/item&gt;&lt;item&gt;103&lt;/item&gt;&lt;item&gt;107&lt;/item&gt;&lt;/record-ids&gt;&lt;/item&gt;&lt;/Libraries&gt;"/>
  </w:docVars>
  <w:rsids>
    <w:rsidRoot w:val="008521CB"/>
    <w:rsid w:val="00025436"/>
    <w:rsid w:val="0002763E"/>
    <w:rsid w:val="000478E7"/>
    <w:rsid w:val="00056E6F"/>
    <w:rsid w:val="0006413A"/>
    <w:rsid w:val="00072927"/>
    <w:rsid w:val="000C18EB"/>
    <w:rsid w:val="001245DA"/>
    <w:rsid w:val="00153B66"/>
    <w:rsid w:val="00193E03"/>
    <w:rsid w:val="001C00E2"/>
    <w:rsid w:val="002403F0"/>
    <w:rsid w:val="002634ED"/>
    <w:rsid w:val="002948F5"/>
    <w:rsid w:val="002B13B2"/>
    <w:rsid w:val="002E678F"/>
    <w:rsid w:val="003A15BC"/>
    <w:rsid w:val="003F4F75"/>
    <w:rsid w:val="00453678"/>
    <w:rsid w:val="00495F42"/>
    <w:rsid w:val="004B6489"/>
    <w:rsid w:val="005070BD"/>
    <w:rsid w:val="00586F0C"/>
    <w:rsid w:val="00696733"/>
    <w:rsid w:val="006E5D25"/>
    <w:rsid w:val="007540AB"/>
    <w:rsid w:val="00760219"/>
    <w:rsid w:val="00770F8E"/>
    <w:rsid w:val="007A468C"/>
    <w:rsid w:val="007B5DB4"/>
    <w:rsid w:val="00833F86"/>
    <w:rsid w:val="00847A31"/>
    <w:rsid w:val="008521CB"/>
    <w:rsid w:val="00865D33"/>
    <w:rsid w:val="0089350E"/>
    <w:rsid w:val="00895F02"/>
    <w:rsid w:val="008F13C4"/>
    <w:rsid w:val="00910BA1"/>
    <w:rsid w:val="009B54CE"/>
    <w:rsid w:val="009D7278"/>
    <w:rsid w:val="009E746C"/>
    <w:rsid w:val="00A40C2F"/>
    <w:rsid w:val="00A537ED"/>
    <w:rsid w:val="00AF3176"/>
    <w:rsid w:val="00B26913"/>
    <w:rsid w:val="00B34FAA"/>
    <w:rsid w:val="00B40DE8"/>
    <w:rsid w:val="00B742F1"/>
    <w:rsid w:val="00BF5766"/>
    <w:rsid w:val="00CA065A"/>
    <w:rsid w:val="00D17017"/>
    <w:rsid w:val="00D57B7C"/>
    <w:rsid w:val="00DC7E4A"/>
    <w:rsid w:val="00E104C8"/>
    <w:rsid w:val="00E2028B"/>
    <w:rsid w:val="00E6487A"/>
    <w:rsid w:val="00E873DF"/>
    <w:rsid w:val="00EE4214"/>
    <w:rsid w:val="00F12881"/>
    <w:rsid w:val="00F25480"/>
    <w:rsid w:val="00F63D94"/>
    <w:rsid w:val="00F7732E"/>
    <w:rsid w:val="00FE1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3BA1A"/>
  <w15:chartTrackingRefBased/>
  <w15:docId w15:val="{ED349B1C-3059-4838-A5B9-9BBF6789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74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746C"/>
    <w:rPr>
      <w:sz w:val="18"/>
      <w:szCs w:val="18"/>
    </w:rPr>
  </w:style>
  <w:style w:type="paragraph" w:styleId="a4">
    <w:name w:val="footer"/>
    <w:basedOn w:val="a"/>
    <w:link w:val="Char0"/>
    <w:uiPriority w:val="99"/>
    <w:unhideWhenUsed/>
    <w:rsid w:val="009E746C"/>
    <w:pPr>
      <w:tabs>
        <w:tab w:val="center" w:pos="4153"/>
        <w:tab w:val="right" w:pos="8306"/>
      </w:tabs>
      <w:snapToGrid w:val="0"/>
      <w:jc w:val="left"/>
    </w:pPr>
    <w:rPr>
      <w:sz w:val="18"/>
      <w:szCs w:val="18"/>
    </w:rPr>
  </w:style>
  <w:style w:type="character" w:customStyle="1" w:styleId="Char0">
    <w:name w:val="页脚 Char"/>
    <w:basedOn w:val="a0"/>
    <w:link w:val="a4"/>
    <w:uiPriority w:val="99"/>
    <w:rsid w:val="009E746C"/>
    <w:rPr>
      <w:sz w:val="18"/>
      <w:szCs w:val="18"/>
    </w:rPr>
  </w:style>
  <w:style w:type="table" w:styleId="a5">
    <w:name w:val="Table Grid"/>
    <w:basedOn w:val="a1"/>
    <w:uiPriority w:val="39"/>
    <w:rsid w:val="009E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9E746C"/>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9E746C"/>
    <w:rPr>
      <w:rFonts w:ascii="Calibri" w:hAnsi="Calibri" w:cs="Calibri"/>
      <w:noProof/>
      <w:sz w:val="20"/>
    </w:rPr>
  </w:style>
  <w:style w:type="paragraph" w:customStyle="1" w:styleId="EndNoteBibliography">
    <w:name w:val="EndNote Bibliography"/>
    <w:basedOn w:val="a"/>
    <w:link w:val="EndNoteBibliographyChar"/>
    <w:rsid w:val="009E746C"/>
    <w:rPr>
      <w:rFonts w:ascii="Calibri" w:hAnsi="Calibri" w:cs="Calibri"/>
      <w:noProof/>
      <w:sz w:val="20"/>
    </w:rPr>
  </w:style>
  <w:style w:type="character" w:customStyle="1" w:styleId="EndNoteBibliographyChar">
    <w:name w:val="EndNote Bibliography Char"/>
    <w:basedOn w:val="a0"/>
    <w:link w:val="EndNoteBibliography"/>
    <w:rsid w:val="009E746C"/>
    <w:rPr>
      <w:rFonts w:ascii="Calibri" w:hAnsi="Calibri" w:cs="Calibri"/>
      <w:noProof/>
      <w:sz w:val="20"/>
    </w:rPr>
  </w:style>
  <w:style w:type="character" w:styleId="a6">
    <w:name w:val="Hyperlink"/>
    <w:basedOn w:val="a0"/>
    <w:uiPriority w:val="99"/>
    <w:unhideWhenUsed/>
    <w:rsid w:val="009E746C"/>
    <w:rPr>
      <w:color w:val="0563C1" w:themeColor="hyperlink"/>
      <w:u w:val="single"/>
    </w:rPr>
  </w:style>
  <w:style w:type="character" w:styleId="a7">
    <w:name w:val="annotation reference"/>
    <w:basedOn w:val="a0"/>
    <w:uiPriority w:val="99"/>
    <w:semiHidden/>
    <w:unhideWhenUsed/>
    <w:rsid w:val="002E678F"/>
    <w:rPr>
      <w:sz w:val="21"/>
      <w:szCs w:val="21"/>
    </w:rPr>
  </w:style>
  <w:style w:type="paragraph" w:styleId="a8">
    <w:name w:val="annotation text"/>
    <w:basedOn w:val="a"/>
    <w:link w:val="Char1"/>
    <w:uiPriority w:val="99"/>
    <w:semiHidden/>
    <w:unhideWhenUsed/>
    <w:rsid w:val="002E678F"/>
    <w:pPr>
      <w:jc w:val="left"/>
    </w:pPr>
  </w:style>
  <w:style w:type="character" w:customStyle="1" w:styleId="Char1">
    <w:name w:val="批注文字 Char"/>
    <w:basedOn w:val="a0"/>
    <w:link w:val="a8"/>
    <w:uiPriority w:val="99"/>
    <w:semiHidden/>
    <w:rsid w:val="002E678F"/>
  </w:style>
  <w:style w:type="paragraph" w:styleId="a9">
    <w:name w:val="annotation subject"/>
    <w:basedOn w:val="a8"/>
    <w:next w:val="a8"/>
    <w:link w:val="Char2"/>
    <w:uiPriority w:val="99"/>
    <w:semiHidden/>
    <w:unhideWhenUsed/>
    <w:rsid w:val="002E678F"/>
    <w:rPr>
      <w:b/>
      <w:bCs/>
    </w:rPr>
  </w:style>
  <w:style w:type="character" w:customStyle="1" w:styleId="Char2">
    <w:name w:val="批注主题 Char"/>
    <w:basedOn w:val="Char1"/>
    <w:link w:val="a9"/>
    <w:uiPriority w:val="99"/>
    <w:semiHidden/>
    <w:rsid w:val="002E678F"/>
    <w:rPr>
      <w:b/>
      <w:bCs/>
    </w:rPr>
  </w:style>
  <w:style w:type="paragraph" w:styleId="aa">
    <w:name w:val="Balloon Text"/>
    <w:basedOn w:val="a"/>
    <w:link w:val="Char3"/>
    <w:uiPriority w:val="99"/>
    <w:semiHidden/>
    <w:unhideWhenUsed/>
    <w:rsid w:val="002E678F"/>
    <w:rPr>
      <w:sz w:val="18"/>
      <w:szCs w:val="18"/>
    </w:rPr>
  </w:style>
  <w:style w:type="character" w:customStyle="1" w:styleId="Char3">
    <w:name w:val="批注框文本 Char"/>
    <w:basedOn w:val="a0"/>
    <w:link w:val="aa"/>
    <w:uiPriority w:val="99"/>
    <w:semiHidden/>
    <w:rsid w:val="002E67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8076">
      <w:bodyDiv w:val="1"/>
      <w:marLeft w:val="0"/>
      <w:marRight w:val="0"/>
      <w:marTop w:val="0"/>
      <w:marBottom w:val="0"/>
      <w:divBdr>
        <w:top w:val="none" w:sz="0" w:space="0" w:color="auto"/>
        <w:left w:val="none" w:sz="0" w:space="0" w:color="auto"/>
        <w:bottom w:val="none" w:sz="0" w:space="0" w:color="auto"/>
        <w:right w:val="none" w:sz="0" w:space="0" w:color="auto"/>
      </w:divBdr>
    </w:div>
    <w:div w:id="27219476">
      <w:bodyDiv w:val="1"/>
      <w:marLeft w:val="0"/>
      <w:marRight w:val="0"/>
      <w:marTop w:val="0"/>
      <w:marBottom w:val="0"/>
      <w:divBdr>
        <w:top w:val="none" w:sz="0" w:space="0" w:color="auto"/>
        <w:left w:val="none" w:sz="0" w:space="0" w:color="auto"/>
        <w:bottom w:val="none" w:sz="0" w:space="0" w:color="auto"/>
        <w:right w:val="none" w:sz="0" w:space="0" w:color="auto"/>
      </w:divBdr>
    </w:div>
    <w:div w:id="1038357901">
      <w:bodyDiv w:val="1"/>
      <w:marLeft w:val="0"/>
      <w:marRight w:val="0"/>
      <w:marTop w:val="0"/>
      <w:marBottom w:val="0"/>
      <w:divBdr>
        <w:top w:val="none" w:sz="0" w:space="0" w:color="auto"/>
        <w:left w:val="none" w:sz="0" w:space="0" w:color="auto"/>
        <w:bottom w:val="none" w:sz="0" w:space="0" w:color="auto"/>
        <w:right w:val="none" w:sz="0" w:space="0" w:color="auto"/>
      </w:divBdr>
    </w:div>
    <w:div w:id="194776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9216</TotalTime>
  <Pages>5</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雷霆世纪</dc:creator>
  <cp:keywords/>
  <dc:description/>
  <cp:lastModifiedBy>雷霆世纪</cp:lastModifiedBy>
  <cp:revision>17</cp:revision>
  <dcterms:created xsi:type="dcterms:W3CDTF">2023-05-28T14:06:00Z</dcterms:created>
  <dcterms:modified xsi:type="dcterms:W3CDTF">2023-11-26T12:06:00Z</dcterms:modified>
</cp:coreProperties>
</file>