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1355DC" w14:textId="77777777" w:rsidR="007B4C1D" w:rsidRDefault="007B4C1D" w:rsidP="007B4C1D">
      <w:pPr>
        <w:rPr>
          <w:rFonts w:ascii="Arial" w:eastAsia="Arial" w:hAnsi="Arial"/>
          <w:b/>
          <w:sz w:val="36"/>
          <w:szCs w:val="20"/>
        </w:rPr>
      </w:pPr>
      <w:r w:rsidRPr="00026AE5">
        <w:rPr>
          <w:rFonts w:ascii="Arial" w:eastAsia="Arial" w:hAnsi="Arial"/>
          <w:b/>
          <w:sz w:val="36"/>
          <w:szCs w:val="20"/>
        </w:rPr>
        <w:t xml:space="preserve">TEMPO-oxidized cellulose hydrogel fiber cell load, a </w:t>
      </w:r>
      <w:r>
        <w:rPr>
          <w:rFonts w:ascii="Arial" w:eastAsia="Arial" w:hAnsi="Arial"/>
          <w:b/>
          <w:sz w:val="36"/>
          <w:szCs w:val="20"/>
        </w:rPr>
        <w:t xml:space="preserve">cell support system </w:t>
      </w:r>
      <w:r w:rsidRPr="00026AE5">
        <w:rPr>
          <w:rFonts w:ascii="Arial" w:eastAsia="Arial" w:hAnsi="Arial"/>
          <w:b/>
          <w:sz w:val="36"/>
          <w:szCs w:val="20"/>
        </w:rPr>
        <w:t>proof</w:t>
      </w:r>
      <w:r>
        <w:rPr>
          <w:rFonts w:ascii="Arial" w:eastAsia="Arial" w:hAnsi="Arial"/>
          <w:b/>
          <w:sz w:val="36"/>
          <w:szCs w:val="20"/>
        </w:rPr>
        <w:t xml:space="preserve"> </w:t>
      </w:r>
      <w:r w:rsidRPr="00026AE5">
        <w:rPr>
          <w:rFonts w:ascii="Arial" w:eastAsia="Arial" w:hAnsi="Arial"/>
          <w:b/>
          <w:sz w:val="36"/>
          <w:szCs w:val="20"/>
        </w:rPr>
        <w:t>of</w:t>
      </w:r>
      <w:r>
        <w:rPr>
          <w:rFonts w:ascii="Arial" w:eastAsia="Arial" w:hAnsi="Arial"/>
          <w:b/>
          <w:sz w:val="36"/>
          <w:szCs w:val="20"/>
        </w:rPr>
        <w:t xml:space="preserve"> </w:t>
      </w:r>
      <w:r w:rsidRPr="00026AE5">
        <w:rPr>
          <w:rFonts w:ascii="Arial" w:eastAsia="Arial" w:hAnsi="Arial"/>
          <w:b/>
          <w:sz w:val="36"/>
          <w:szCs w:val="20"/>
        </w:rPr>
        <w:t xml:space="preserve">concept </w:t>
      </w:r>
    </w:p>
    <w:p w14:paraId="61D1B5AE" w14:textId="77777777" w:rsidR="007B4C1D" w:rsidRPr="00362392" w:rsidRDefault="007B4C1D" w:rsidP="007B4C1D">
      <w:pPr>
        <w:rPr>
          <w:lang w:val="pt-BR"/>
        </w:rPr>
      </w:pPr>
      <w:r w:rsidRPr="007C029D">
        <w:rPr>
          <w:lang w:val="pt-BR"/>
        </w:rPr>
        <w:t>Mariana Alves Rios,</w:t>
      </w:r>
      <w:r w:rsidRPr="007C029D">
        <w:rPr>
          <w:sz w:val="14"/>
          <w:szCs w:val="14"/>
          <w:vertAlign w:val="superscript"/>
          <w:lang w:val="pt-BR"/>
        </w:rPr>
        <w:t>1</w:t>
      </w:r>
      <w:r w:rsidRPr="007C029D">
        <w:rPr>
          <w:lang w:val="pt-BR"/>
        </w:rPr>
        <w:t xml:space="preserve"> </w:t>
      </w:r>
      <w:r w:rsidRPr="00362392">
        <w:rPr>
          <w:lang w:val="pt-BR"/>
        </w:rPr>
        <w:t>Paula Aboud Barbugli, ² Mônica Rosas Costa Iemma,</w:t>
      </w:r>
      <w:r w:rsidRPr="00362392">
        <w:rPr>
          <w:sz w:val="14"/>
          <w:szCs w:val="14"/>
          <w:vertAlign w:val="superscript"/>
          <w:lang w:val="pt-BR"/>
        </w:rPr>
        <w:t>1</w:t>
      </w:r>
      <w:r w:rsidRPr="00362392">
        <w:rPr>
          <w:lang w:val="pt-BR"/>
        </w:rPr>
        <w:t xml:space="preserve"> Rafael Grande, ³ Antônio José Felix Carvalho,</w:t>
      </w:r>
      <w:r w:rsidRPr="00362392">
        <w:rPr>
          <w:sz w:val="14"/>
          <w:szCs w:val="14"/>
          <w:vertAlign w:val="superscript"/>
          <w:lang w:val="pt-BR"/>
        </w:rPr>
        <w:t>4</w:t>
      </w:r>
      <w:r w:rsidRPr="00362392">
        <w:rPr>
          <w:lang w:val="pt-BR"/>
        </w:rPr>
        <w:t xml:space="preserve"> Eliane Trovatti,</w:t>
      </w:r>
      <w:r w:rsidRPr="00362392">
        <w:rPr>
          <w:sz w:val="14"/>
          <w:szCs w:val="14"/>
          <w:vertAlign w:val="superscript"/>
          <w:lang w:val="pt-BR"/>
        </w:rPr>
        <w:t>1</w:t>
      </w:r>
      <w:r w:rsidRPr="00362392">
        <w:rPr>
          <w:lang w:val="pt-BR"/>
        </w:rPr>
        <w:t>*</w:t>
      </w:r>
    </w:p>
    <w:p w14:paraId="4533CF78" w14:textId="77777777" w:rsidR="007B4C1D" w:rsidRPr="00362392" w:rsidRDefault="007B4C1D" w:rsidP="007B4C1D">
      <w:pPr>
        <w:pBdr>
          <w:top w:val="nil"/>
          <w:left w:val="nil"/>
          <w:bottom w:val="nil"/>
          <w:right w:val="nil"/>
          <w:between w:val="nil"/>
        </w:pBdr>
        <w:spacing w:before="120" w:line="240" w:lineRule="auto"/>
        <w:rPr>
          <w:i/>
          <w:color w:val="000000"/>
          <w:lang w:val="pt-BR"/>
        </w:rPr>
      </w:pPr>
      <w:r w:rsidRPr="00362392">
        <w:rPr>
          <w:i/>
          <w:color w:val="000000"/>
          <w:sz w:val="14"/>
          <w:szCs w:val="14"/>
          <w:vertAlign w:val="superscript"/>
          <w:lang w:val="pt-BR"/>
        </w:rPr>
        <w:t>1</w:t>
      </w:r>
      <w:r w:rsidRPr="00362392">
        <w:rPr>
          <w:i/>
          <w:color w:val="000000"/>
          <w:lang w:val="pt-BR"/>
        </w:rPr>
        <w:t xml:space="preserve"> University of Araraquara, UNIARA, R. Carlos Gomes, 1217, CEP 14801-340, Araraquara, SP, Brazil </w:t>
      </w:r>
    </w:p>
    <w:p w14:paraId="6FAB00B6" w14:textId="77777777" w:rsidR="007B4C1D" w:rsidRDefault="007B4C1D" w:rsidP="007B4C1D">
      <w:pPr>
        <w:pBdr>
          <w:top w:val="nil"/>
          <w:left w:val="nil"/>
          <w:bottom w:val="nil"/>
          <w:right w:val="nil"/>
          <w:between w:val="nil"/>
        </w:pBdr>
        <w:spacing w:before="120" w:line="240" w:lineRule="auto"/>
        <w:rPr>
          <w:i/>
          <w:color w:val="000000"/>
        </w:rPr>
      </w:pPr>
      <w:r w:rsidRPr="00362392">
        <w:rPr>
          <w:i/>
          <w:color w:val="000000"/>
          <w:sz w:val="14"/>
          <w:szCs w:val="14"/>
          <w:vertAlign w:val="superscript"/>
        </w:rPr>
        <w:t>2</w:t>
      </w:r>
      <w:r w:rsidRPr="00362392">
        <w:rPr>
          <w:i/>
          <w:color w:val="000000"/>
        </w:rPr>
        <w:t> </w:t>
      </w:r>
      <w:r w:rsidRPr="000C7494">
        <w:rPr>
          <w:i/>
          <w:color w:val="000000"/>
        </w:rPr>
        <w:t>Laboratory of Confocal Microscopy, Faculty of Dentistry, Department of Dental Materials and Prosthodontics, São Paulo State University (Unesp), Araraquara, Brazil</w:t>
      </w:r>
    </w:p>
    <w:p w14:paraId="0E474952" w14:textId="77777777" w:rsidR="007B4C1D" w:rsidRDefault="007B4C1D" w:rsidP="007B4C1D">
      <w:pPr>
        <w:pBdr>
          <w:top w:val="nil"/>
          <w:left w:val="nil"/>
          <w:bottom w:val="nil"/>
          <w:right w:val="nil"/>
          <w:between w:val="nil"/>
        </w:pBdr>
        <w:spacing w:before="120" w:line="240" w:lineRule="auto"/>
        <w:rPr>
          <w:i/>
          <w:color w:val="000000"/>
        </w:rPr>
      </w:pPr>
      <w:r w:rsidRPr="002D7285">
        <w:rPr>
          <w:i/>
          <w:color w:val="000000"/>
          <w:sz w:val="14"/>
          <w:szCs w:val="14"/>
          <w:vertAlign w:val="superscript"/>
        </w:rPr>
        <w:t xml:space="preserve">3 </w:t>
      </w:r>
      <w:r w:rsidRPr="002D7285">
        <w:rPr>
          <w:i/>
          <w:color w:val="000000"/>
        </w:rPr>
        <w:t xml:space="preserve"> Department of Bioproducts and Biosystems, School of Chemical Engineering, Aalto Universitty, FI-00076 Espoo, Finland </w:t>
      </w:r>
      <w:r>
        <w:rPr>
          <w:i/>
          <w:color w:val="000000"/>
        </w:rPr>
        <w:t xml:space="preserve"> </w:t>
      </w:r>
    </w:p>
    <w:p w14:paraId="5FD4845C" w14:textId="77777777" w:rsidR="007B4C1D" w:rsidRDefault="007B4C1D" w:rsidP="007B4C1D">
      <w:pPr>
        <w:pBdr>
          <w:top w:val="nil"/>
          <w:left w:val="nil"/>
          <w:bottom w:val="nil"/>
          <w:right w:val="nil"/>
          <w:between w:val="nil"/>
        </w:pBdr>
        <w:spacing w:before="120" w:line="240" w:lineRule="auto"/>
        <w:rPr>
          <w:i/>
          <w:color w:val="000000"/>
        </w:rPr>
      </w:pPr>
      <w:r>
        <w:rPr>
          <w:i/>
          <w:color w:val="000000"/>
          <w:sz w:val="14"/>
          <w:szCs w:val="14"/>
          <w:vertAlign w:val="superscript"/>
        </w:rPr>
        <w:t xml:space="preserve">4 </w:t>
      </w:r>
      <w:r>
        <w:rPr>
          <w:i/>
          <w:color w:val="000000"/>
        </w:rPr>
        <w:t>Department of Materials Engineering, Sao Carlos School of Engineering, University of Sao Paulo, Av. Joao Dagnone 1100, CEP 13563–120, Sao Carlos, SP, Brazil</w:t>
      </w:r>
    </w:p>
    <w:p w14:paraId="76E6B8C0" w14:textId="77777777" w:rsidR="007B4C1D" w:rsidRPr="00026AE5" w:rsidRDefault="007B4C1D" w:rsidP="007B4C1D">
      <w:pPr>
        <w:pStyle w:val="email"/>
      </w:pPr>
      <w:r>
        <w:t xml:space="preserve">corresponding author email*: </w:t>
      </w:r>
      <w:hyperlink r:id="rId6" w:history="1">
        <w:r w:rsidRPr="00E34F1A">
          <w:rPr>
            <w:rStyle w:val="Hyperlink"/>
          </w:rPr>
          <w:t>elianetrov@yahoo.com.br</w:t>
        </w:r>
      </w:hyperlink>
    </w:p>
    <w:p w14:paraId="00B53BE3" w14:textId="77777777" w:rsidR="007B4C1D" w:rsidRDefault="007B4C1D" w:rsidP="007B4C1D">
      <w:pPr>
        <w:pStyle w:val="figlegend"/>
      </w:pPr>
    </w:p>
    <w:p w14:paraId="43C72EBC" w14:textId="77777777" w:rsidR="007B4C1D" w:rsidRDefault="007B4C1D" w:rsidP="007B4C1D">
      <w:pPr>
        <w:keepNext/>
        <w:pBdr>
          <w:top w:val="nil"/>
          <w:left w:val="nil"/>
          <w:bottom w:val="nil"/>
          <w:right w:val="nil"/>
          <w:between w:val="nil"/>
        </w:pBdr>
        <w:spacing w:before="120"/>
        <w:jc w:val="both"/>
        <w:rPr>
          <w:b/>
          <w:color w:val="000000"/>
        </w:rPr>
      </w:pPr>
      <w:r>
        <w:rPr>
          <w:b/>
          <w:color w:val="000000"/>
        </w:rPr>
        <w:t>SUPLEMMENTARY MATERIAL</w:t>
      </w:r>
      <w:r w:rsidRPr="00F17368">
        <w:rPr>
          <w:b/>
          <w:color w:val="000000"/>
        </w:rPr>
        <w:t xml:space="preserve"> </w:t>
      </w:r>
    </w:p>
    <w:p w14:paraId="4B58AFC6" w14:textId="77777777" w:rsidR="007B4C1D" w:rsidRPr="00251071" w:rsidRDefault="007B4C1D" w:rsidP="007B4C1D">
      <w:pPr>
        <w:keepNext/>
        <w:pBdr>
          <w:top w:val="nil"/>
          <w:left w:val="nil"/>
          <w:bottom w:val="nil"/>
          <w:right w:val="nil"/>
          <w:between w:val="nil"/>
        </w:pBdr>
        <w:spacing w:before="120"/>
        <w:jc w:val="both"/>
        <w:rPr>
          <w:b/>
          <w:color w:val="000000"/>
        </w:rPr>
      </w:pPr>
      <w:r>
        <w:rPr>
          <w:b/>
          <w:color w:val="000000"/>
        </w:rPr>
        <w:t>1.</w:t>
      </w:r>
      <w:r w:rsidRPr="00F17368">
        <w:rPr>
          <w:b/>
          <w:color w:val="000000"/>
        </w:rPr>
        <w:t>MATERIALS AND METHODS</w:t>
      </w:r>
    </w:p>
    <w:p w14:paraId="245C1D31" w14:textId="77777777" w:rsidR="007B4C1D" w:rsidRPr="00251071" w:rsidRDefault="007B4C1D" w:rsidP="007B4C1D">
      <w:pPr>
        <w:keepNext/>
        <w:pBdr>
          <w:top w:val="nil"/>
          <w:left w:val="nil"/>
          <w:bottom w:val="nil"/>
          <w:right w:val="nil"/>
          <w:between w:val="nil"/>
        </w:pBdr>
        <w:spacing w:before="120"/>
        <w:jc w:val="both"/>
        <w:rPr>
          <w:b/>
          <w:color w:val="000000"/>
        </w:rPr>
      </w:pPr>
      <w:r>
        <w:rPr>
          <w:b/>
          <w:color w:val="000000"/>
        </w:rPr>
        <w:t>1</w:t>
      </w:r>
      <w:r w:rsidRPr="00251071">
        <w:rPr>
          <w:b/>
          <w:color w:val="000000"/>
        </w:rPr>
        <w:t>.1. Materials</w:t>
      </w:r>
    </w:p>
    <w:p w14:paraId="7CD8A79B" w14:textId="57104992" w:rsidR="007B4C1D" w:rsidRPr="00251071" w:rsidRDefault="007B4C1D" w:rsidP="007B4C1D">
      <w:pPr>
        <w:pBdr>
          <w:top w:val="nil"/>
          <w:left w:val="nil"/>
          <w:bottom w:val="nil"/>
          <w:right w:val="nil"/>
          <w:between w:val="nil"/>
        </w:pBdr>
        <w:jc w:val="both"/>
        <w:rPr>
          <w:color w:val="000000"/>
        </w:rPr>
      </w:pPr>
      <w:r w:rsidRPr="00251071">
        <w:rPr>
          <w:color w:val="000000"/>
        </w:rPr>
        <w:t>2,2,6,6-tetramethylpiperidine-1-oxyl (TEMPO catalyst) was purchased from Sigma-Aldrich (Saint Louis, US). Sodium hypochlorite (NaClO, 2-2.5 % available chlorine) was purchased from Anidrol (Brazil). Dulbecco’s modified eagle’s medium (DMEM) and fetal bovine serum were purchased from Nutricell, Campinas, Brazil); penicillin and streptomycin 10 U/mL were sourced from Sigma Aldrich (Saint Louis, US). Isopropyl alcohol, formaldehyde, hydrochloric acid (HCl), acetic acid, sodium hydroxide (NaOH), sodium bromide and phosphate buffer saline (PBS) purchased from Synth (São Paulo, Brazil), trypsin, 4 ,6-Diamidino-2-phenylindole (DAPI), Alizarin Red resazurin were purchased from Sigma-Aldrich (Saint Louis, US). All chemicals were used as received, wi</w:t>
      </w:r>
      <w:bookmarkStart w:id="0" w:name="_GoBack"/>
      <w:bookmarkEnd w:id="0"/>
      <w:r w:rsidRPr="00251071">
        <w:rPr>
          <w:color w:val="000000"/>
        </w:rPr>
        <w:t>thout further purification. The sugar cane bagasse was supplied by a local farm (Sao Carlos, Brazil). Osteo-1 (rat calvarium) cells were kindly provided by Laboratory of Biochemistry and Molecular Biology (LBBM) from Federal University of São Carlos.</w:t>
      </w:r>
    </w:p>
    <w:p w14:paraId="1EA2D81A" w14:textId="77777777" w:rsidR="007B4C1D" w:rsidRPr="00251071" w:rsidRDefault="007B4C1D" w:rsidP="007B4C1D">
      <w:pPr>
        <w:pBdr>
          <w:top w:val="nil"/>
          <w:left w:val="nil"/>
          <w:bottom w:val="nil"/>
          <w:right w:val="nil"/>
          <w:between w:val="nil"/>
        </w:pBdr>
        <w:jc w:val="both"/>
        <w:rPr>
          <w:color w:val="000000"/>
        </w:rPr>
      </w:pPr>
    </w:p>
    <w:p w14:paraId="68491B69" w14:textId="77777777" w:rsidR="007B4C1D" w:rsidRPr="00251071" w:rsidRDefault="007B4C1D" w:rsidP="007B4C1D">
      <w:pPr>
        <w:keepNext/>
        <w:pBdr>
          <w:top w:val="nil"/>
          <w:left w:val="nil"/>
          <w:bottom w:val="nil"/>
          <w:right w:val="nil"/>
          <w:between w:val="nil"/>
        </w:pBdr>
        <w:spacing w:before="120"/>
        <w:jc w:val="both"/>
        <w:rPr>
          <w:b/>
          <w:color w:val="000000"/>
        </w:rPr>
      </w:pPr>
      <w:r>
        <w:rPr>
          <w:b/>
          <w:color w:val="000000"/>
        </w:rPr>
        <w:t>1</w:t>
      </w:r>
      <w:r w:rsidRPr="00251071">
        <w:rPr>
          <w:b/>
          <w:color w:val="000000"/>
        </w:rPr>
        <w:t>.2. Preparation of TEMPO-oxidized cellulose nanofibers suspension (ToCNF)</w:t>
      </w:r>
    </w:p>
    <w:p w14:paraId="57AD6D4D" w14:textId="77777777" w:rsidR="007B4C1D" w:rsidRPr="00251071" w:rsidRDefault="007B4C1D" w:rsidP="007B4C1D">
      <w:pPr>
        <w:jc w:val="both"/>
        <w:rPr>
          <w:color w:val="000000"/>
        </w:rPr>
      </w:pPr>
      <w:r w:rsidRPr="00251071">
        <w:rPr>
          <w:color w:val="000000"/>
        </w:rPr>
        <w:t xml:space="preserve">The sugar cane bagasse was washed and bleached before oxidation. 5 g of milled sugar cane bagasse (~1 mm length) was washed using the toluene/ethanol (2:1, vol) in a Soxhlet apparatus </w:t>
      </w:r>
      <w:r w:rsidRPr="00251071">
        <w:rPr>
          <w:color w:val="000000"/>
        </w:rPr>
        <w:lastRenderedPageBreak/>
        <w:t>for 8 h at 8 cycles.h</w:t>
      </w:r>
      <w:r w:rsidRPr="00251071">
        <w:rPr>
          <w:color w:val="000000"/>
          <w:vertAlign w:val="superscript"/>
        </w:rPr>
        <w:t>-1</w:t>
      </w:r>
      <w:r w:rsidRPr="00F17368">
        <w:rPr>
          <w:color w:val="000000"/>
        </w:rPr>
        <w:t>, in order to remove the waxes. The sample was dried at room temperature for 24 h. The bleaching was carried out in four steps using warm solutions of sodium chlorite and potassium hydroxide (KOH) for extraction of lignin and hemicelluloses, respectively, as follow: the bagasse was dispersed into 200 mL of 1.3 %wt sodium chlorite solution, pH ~4 (adjusted with 20 % vol acetic acid solution), and kept a</w:t>
      </w:r>
      <w:r w:rsidRPr="00251071">
        <w:rPr>
          <w:color w:val="000000"/>
        </w:rPr>
        <w:t>t 65 °C under magnetic stirring and reflux for 2 h. The sample was washed with deionized water until neutral pH. The sample was then dispersed into 200 mL of KOH solution (2 %wt) and kept at 85 °C under magnetic stirring and reflux for 2 h. The sample was washed with deionized water until neutral pH and the first step was repeated. At the last step the sample was dispersed into 200 mL of KOH solution (5 %wt) and kept at 85 °C under magnetic stirring and reflux for 2 h. The sample was washed with deionized water until neutral pH, dried at room temperature for 24 h and stored. Bleached sugar cane bagasse (cellulose) was oxidized with TEMPO catalyst following the method previously described by Saito et al. Briefly, sodium bromide (1.2 mmol.g-1 cellulose) and TEMPO reagent (0.08 mmol.g-1 of cellulose) were added to the suspension of cellulose in water (3.3 %wt; 5 g), followed by the slow addition of sodium hypochlorite solution (13 mL/g cellulose); the reaction system was maintained at pH 10 (with NaOH 0.5 M) under continuous stirring (4 h) until stable. The oxidized cellulose was filtered and washed with deionized water to neutral pH. The sample was homogenized in an ice bath using an ultrasonicator (Hielscher UP400S, 400 W, 2.4 KHz) equipped with a cylindrical titanium alloy probe of 20 mm diameter, until the formation of a transparent gel (3 min sonication + 5 min break, to avoid heating, repeated to 30 min total time). The transparent gel, with 0.8 %wt oxidized cellulose content was named TEMPO oxidized cellulose nanofibers (ToCNF).</w:t>
      </w:r>
    </w:p>
    <w:p w14:paraId="3346FADD" w14:textId="77777777" w:rsidR="007B4C1D" w:rsidRPr="00251071" w:rsidRDefault="007B4C1D" w:rsidP="007B4C1D">
      <w:pPr>
        <w:keepNext/>
        <w:pBdr>
          <w:top w:val="nil"/>
          <w:left w:val="nil"/>
          <w:bottom w:val="nil"/>
          <w:right w:val="nil"/>
          <w:between w:val="nil"/>
        </w:pBdr>
        <w:spacing w:before="120"/>
        <w:jc w:val="both"/>
        <w:rPr>
          <w:b/>
          <w:color w:val="000000"/>
        </w:rPr>
      </w:pPr>
      <w:r>
        <w:rPr>
          <w:b/>
          <w:color w:val="000000"/>
        </w:rPr>
        <w:t>1</w:t>
      </w:r>
      <w:r w:rsidRPr="00251071">
        <w:rPr>
          <w:b/>
          <w:color w:val="000000"/>
        </w:rPr>
        <w:t>.3. Carboxylic acid determination  </w:t>
      </w:r>
    </w:p>
    <w:p w14:paraId="4512CC99" w14:textId="77777777" w:rsidR="007B4C1D" w:rsidRPr="00251071" w:rsidRDefault="007B4C1D" w:rsidP="007B4C1D">
      <w:pPr>
        <w:jc w:val="both"/>
      </w:pPr>
      <w:r w:rsidRPr="0017103A">
        <w:rPr>
          <w:rFonts w:eastAsia="Gungsuh"/>
          <w:color w:val="000000"/>
        </w:rPr>
        <w:t>The cellulose oxidation was confirmed by FTIR using a Perkin-Elmer Spectrum 100 FT-IR Spectrometer equipped with an ATR module with diamond crystal (4 cm-1 resolution, 16 scans, range 650–4000 cm−1). T</w:t>
      </w:r>
      <w:r w:rsidRPr="0017103A">
        <w:rPr>
          <w:color w:val="000000"/>
        </w:rPr>
        <w:t>he</w:t>
      </w:r>
      <w:r w:rsidRPr="00F17368">
        <w:rPr>
          <w:color w:val="000000"/>
        </w:rPr>
        <w:t xml:space="preserve"> content of carboxylic groups was determined by conductometric titration according to a known procedure (Isogai et al. 2011; Saito et al. 2007). Briefly, 3g of ToCNF (0.9 %wt) was acidified to pH 2.5 using 0,1 M HCL solution, and then titrated with 0.1 M NaOH under conductometric measurement. For titration, 50 µL of NaOH solution was added to the ToCNF suspension each 20 sec, under magnetic stirring. The carboxylic group content (mmol.g</w:t>
      </w:r>
      <w:r w:rsidRPr="00251071">
        <w:rPr>
          <w:color w:val="000000"/>
          <w:vertAlign w:val="superscript"/>
        </w:rPr>
        <w:t>-1</w:t>
      </w:r>
      <w:r w:rsidRPr="00F17368">
        <w:rPr>
          <w:color w:val="000000"/>
        </w:rPr>
        <w:t>) was calculated using the following equation:</w:t>
      </w:r>
    </w:p>
    <w:p w14:paraId="7D3FDB07" w14:textId="77777777" w:rsidR="007B4C1D" w:rsidRPr="00251071" w:rsidRDefault="007B4C1D" w:rsidP="007B4C1D">
      <w:pPr>
        <w:jc w:val="both"/>
      </w:pPr>
      <w:r w:rsidRPr="00251071">
        <w:rPr>
          <w:i/>
          <w:color w:val="000000"/>
        </w:rPr>
        <w:t>Carboxylic acid content = [c(v2-v1)]/w</w:t>
      </w:r>
      <w:r w:rsidRPr="00251071">
        <w:rPr>
          <w:color w:val="000000"/>
        </w:rPr>
        <w:t>, where c = HCl concentration, v1 and v2 = volume (L) of NaOH and w = mass of ToCNF</w:t>
      </w:r>
    </w:p>
    <w:p w14:paraId="15C28665" w14:textId="77777777" w:rsidR="007B4C1D" w:rsidRPr="00251071" w:rsidRDefault="007B4C1D" w:rsidP="007B4C1D">
      <w:pPr>
        <w:keepNext/>
        <w:pBdr>
          <w:top w:val="nil"/>
          <w:left w:val="nil"/>
          <w:bottom w:val="nil"/>
          <w:right w:val="nil"/>
          <w:between w:val="nil"/>
        </w:pBdr>
        <w:spacing w:before="120"/>
        <w:jc w:val="both"/>
        <w:rPr>
          <w:b/>
          <w:color w:val="000000"/>
        </w:rPr>
      </w:pPr>
      <w:r>
        <w:rPr>
          <w:b/>
          <w:color w:val="000000"/>
        </w:rPr>
        <w:lastRenderedPageBreak/>
        <w:t>1</w:t>
      </w:r>
      <w:r w:rsidRPr="00251071">
        <w:rPr>
          <w:b/>
          <w:color w:val="000000"/>
        </w:rPr>
        <w:t>.4. Osteo-1 cell culture</w:t>
      </w:r>
    </w:p>
    <w:p w14:paraId="62AA8511" w14:textId="77777777" w:rsidR="007B4C1D" w:rsidRPr="00251071" w:rsidRDefault="007B4C1D" w:rsidP="007B4C1D">
      <w:pPr>
        <w:pBdr>
          <w:top w:val="nil"/>
          <w:left w:val="nil"/>
          <w:bottom w:val="nil"/>
          <w:right w:val="nil"/>
          <w:between w:val="nil"/>
        </w:pBdr>
        <w:jc w:val="both"/>
        <w:rPr>
          <w:color w:val="000000"/>
        </w:rPr>
      </w:pPr>
      <w:r w:rsidRPr="00251071">
        <w:rPr>
          <w:color w:val="000000"/>
        </w:rPr>
        <w:t xml:space="preserve">Osteogenic cells from the lineage OSTEO-1 (rat calvarium) were cultivated in </w:t>
      </w:r>
      <w:r>
        <w:rPr>
          <w:color w:val="000000"/>
        </w:rPr>
        <w:t xml:space="preserve">a </w:t>
      </w:r>
      <w:r w:rsidRPr="00251071">
        <w:rPr>
          <w:color w:val="000000"/>
        </w:rPr>
        <w:t>DMEM culture medium supplemented with fetal bovine serum (10 %vol) and antibiotics (penicillin 100 U.mL</w:t>
      </w:r>
      <w:r w:rsidRPr="0017103A">
        <w:rPr>
          <w:color w:val="000000"/>
          <w:vertAlign w:val="superscript"/>
        </w:rPr>
        <w:t>-1</w:t>
      </w:r>
      <w:r w:rsidRPr="00251071">
        <w:rPr>
          <w:color w:val="000000"/>
        </w:rPr>
        <w:t>; streptomycin 0.1 mg.mL-1). The cells were incubated at 37 ± 2 °C and 5 % CO</w:t>
      </w:r>
      <w:r w:rsidRPr="00251071">
        <w:rPr>
          <w:color w:val="000000"/>
          <w:vertAlign w:val="subscript"/>
        </w:rPr>
        <w:t>2</w:t>
      </w:r>
      <w:r w:rsidRPr="00F17368">
        <w:rPr>
          <w:color w:val="000000"/>
        </w:rPr>
        <w:t xml:space="preserve"> atmosphere, u</w:t>
      </w:r>
      <w:r>
        <w:rPr>
          <w:color w:val="000000"/>
        </w:rPr>
        <w:t>p to a confluence</w:t>
      </w:r>
      <w:r w:rsidRPr="00F17368">
        <w:rPr>
          <w:color w:val="000000"/>
        </w:rPr>
        <w:t xml:space="preserve"> about 80–90 %. The cells were </w:t>
      </w:r>
      <w:r>
        <w:rPr>
          <w:color w:val="000000"/>
        </w:rPr>
        <w:t>separated</w:t>
      </w:r>
      <w:r w:rsidRPr="00F17368">
        <w:rPr>
          <w:color w:val="000000"/>
        </w:rPr>
        <w:t xml:space="preserve"> with trypsin, </w:t>
      </w:r>
      <w:r>
        <w:rPr>
          <w:color w:val="000000"/>
        </w:rPr>
        <w:t>rinsed</w:t>
      </w:r>
      <w:r w:rsidRPr="00F17368">
        <w:rPr>
          <w:color w:val="000000"/>
        </w:rPr>
        <w:t xml:space="preserve"> with PBS buffer (6 mL) by centrifugation (400 G, 4 min). After washing, the cell pellet, free of PBS, was used for the preparation of the fibers.</w:t>
      </w:r>
    </w:p>
    <w:p w14:paraId="42BFB5BE" w14:textId="77777777" w:rsidR="007B4C1D" w:rsidRPr="00251071" w:rsidRDefault="007B4C1D" w:rsidP="007B4C1D">
      <w:pPr>
        <w:pBdr>
          <w:top w:val="nil"/>
          <w:left w:val="nil"/>
          <w:bottom w:val="nil"/>
          <w:right w:val="nil"/>
          <w:between w:val="nil"/>
        </w:pBdr>
        <w:jc w:val="both"/>
        <w:rPr>
          <w:color w:val="000000"/>
        </w:rPr>
      </w:pPr>
      <w:r w:rsidRPr="00251071">
        <w:rPr>
          <w:color w:val="000000"/>
        </w:rPr>
        <w:t> </w:t>
      </w:r>
    </w:p>
    <w:p w14:paraId="4FAC0853" w14:textId="77777777" w:rsidR="007B4C1D" w:rsidRPr="00251071" w:rsidRDefault="007B4C1D" w:rsidP="007B4C1D">
      <w:pPr>
        <w:keepNext/>
        <w:pBdr>
          <w:top w:val="nil"/>
          <w:left w:val="nil"/>
          <w:bottom w:val="nil"/>
          <w:right w:val="nil"/>
          <w:between w:val="nil"/>
        </w:pBdr>
        <w:spacing w:before="120"/>
        <w:jc w:val="both"/>
        <w:rPr>
          <w:b/>
          <w:color w:val="000000"/>
        </w:rPr>
      </w:pPr>
      <w:r>
        <w:rPr>
          <w:b/>
          <w:color w:val="000000"/>
        </w:rPr>
        <w:t>1</w:t>
      </w:r>
      <w:r w:rsidRPr="00251071">
        <w:rPr>
          <w:b/>
          <w:color w:val="000000"/>
        </w:rPr>
        <w:t>.5. ToCNF fibers preparation and cell loading </w:t>
      </w:r>
    </w:p>
    <w:p w14:paraId="15C82AE0" w14:textId="77777777" w:rsidR="007B4C1D" w:rsidRPr="00251071" w:rsidRDefault="007B4C1D" w:rsidP="007B4C1D">
      <w:pPr>
        <w:pBdr>
          <w:top w:val="nil"/>
          <w:left w:val="nil"/>
          <w:bottom w:val="nil"/>
          <w:right w:val="nil"/>
          <w:between w:val="nil"/>
        </w:pBdr>
        <w:jc w:val="both"/>
        <w:rPr>
          <w:color w:val="000000"/>
        </w:rPr>
      </w:pPr>
      <w:r w:rsidRPr="00251071">
        <w:rPr>
          <w:color w:val="000000"/>
        </w:rPr>
        <w:t xml:space="preserve">All materials were sterilized </w:t>
      </w:r>
      <w:r>
        <w:rPr>
          <w:color w:val="000000"/>
        </w:rPr>
        <w:t>by</w:t>
      </w:r>
      <w:r w:rsidRPr="00251071">
        <w:rPr>
          <w:color w:val="000000"/>
        </w:rPr>
        <w:t xml:space="preserve"> autoclav</w:t>
      </w:r>
      <w:r>
        <w:rPr>
          <w:color w:val="000000"/>
        </w:rPr>
        <w:t>ing</w:t>
      </w:r>
      <w:r w:rsidRPr="00251071">
        <w:rPr>
          <w:color w:val="000000"/>
        </w:rPr>
        <w:t xml:space="preserve"> at 121 °C for 15 min. For </w:t>
      </w:r>
      <w:r>
        <w:rPr>
          <w:color w:val="000000"/>
        </w:rPr>
        <w:t>fiber</w:t>
      </w:r>
      <w:r w:rsidRPr="00251071">
        <w:rPr>
          <w:color w:val="000000"/>
        </w:rPr>
        <w:t xml:space="preserve"> preparation, 0.4 mL of ToCNF (0.8 %wt) was gently mixed with the centrifugat</w:t>
      </w:r>
      <w:r>
        <w:rPr>
          <w:color w:val="000000"/>
        </w:rPr>
        <w:t>ed</w:t>
      </w:r>
      <w:r w:rsidRPr="00251071">
        <w:rPr>
          <w:color w:val="000000"/>
        </w:rPr>
        <w:t xml:space="preserve"> cell pellet (1.10</w:t>
      </w:r>
      <w:r w:rsidRPr="00251071">
        <w:rPr>
          <w:color w:val="000000"/>
          <w:vertAlign w:val="superscript"/>
        </w:rPr>
        <w:t>5</w:t>
      </w:r>
      <w:r w:rsidRPr="00F17368">
        <w:rPr>
          <w:color w:val="000000"/>
        </w:rPr>
        <w:t xml:space="preserve"> cell.mL</w:t>
      </w:r>
      <w:r w:rsidRPr="00251071">
        <w:rPr>
          <w:color w:val="000000"/>
          <w:vertAlign w:val="superscript"/>
        </w:rPr>
        <w:t>-1</w:t>
      </w:r>
      <w:r w:rsidRPr="00F17368">
        <w:rPr>
          <w:color w:val="000000"/>
        </w:rPr>
        <w:t>). The fiber drawing was carried out manually using tweezers. For such, one droplet (70 µL, corresponding to 7x10</w:t>
      </w:r>
      <w:r w:rsidRPr="00251071">
        <w:rPr>
          <w:color w:val="000000"/>
          <w:vertAlign w:val="superscript"/>
        </w:rPr>
        <w:t>3</w:t>
      </w:r>
      <w:r w:rsidRPr="00F17368">
        <w:rPr>
          <w:color w:val="000000"/>
        </w:rPr>
        <w:t xml:space="preserve"> cells fiber) of ToCNF suspension and one drop of CaCl</w:t>
      </w:r>
      <w:r w:rsidRPr="00251071">
        <w:rPr>
          <w:color w:val="000000"/>
          <w:vertAlign w:val="subscript"/>
        </w:rPr>
        <w:t>2</w:t>
      </w:r>
      <w:r w:rsidRPr="00F17368">
        <w:rPr>
          <w:color w:val="000000"/>
        </w:rPr>
        <w:t xml:space="preserve"> solution (20 µL, 1 %wt) were placed on a Petri dish, as shown in the scheme of Figure 1. The tweezers were used to </w:t>
      </w:r>
      <w:r>
        <w:rPr>
          <w:color w:val="000000"/>
        </w:rPr>
        <w:t>pull</w:t>
      </w:r>
      <w:r w:rsidRPr="00F17368">
        <w:rPr>
          <w:color w:val="000000"/>
        </w:rPr>
        <w:t xml:space="preserve"> the droplets</w:t>
      </w:r>
      <w:r>
        <w:rPr>
          <w:color w:val="000000"/>
        </w:rPr>
        <w:t xml:space="preserve"> closer</w:t>
      </w:r>
      <w:r w:rsidRPr="00F17368">
        <w:rPr>
          <w:color w:val="000000"/>
        </w:rPr>
        <w:t>, leading to the formation of the interface. The interface was carefully plunged with the tweezers to drawing the fiber. </w:t>
      </w:r>
    </w:p>
    <w:p w14:paraId="3B219B3B" w14:textId="77777777" w:rsidR="007B4C1D" w:rsidRPr="00251071" w:rsidRDefault="007B4C1D" w:rsidP="007B4C1D">
      <w:pPr>
        <w:keepNext/>
        <w:pBdr>
          <w:top w:val="nil"/>
          <w:left w:val="nil"/>
          <w:bottom w:val="nil"/>
          <w:right w:val="nil"/>
          <w:between w:val="nil"/>
        </w:pBdr>
        <w:spacing w:before="120"/>
        <w:jc w:val="both"/>
        <w:rPr>
          <w:b/>
          <w:color w:val="000000"/>
        </w:rPr>
      </w:pPr>
      <w:r>
        <w:rPr>
          <w:b/>
          <w:color w:val="000000"/>
        </w:rPr>
        <w:t>1</w:t>
      </w:r>
      <w:r w:rsidRPr="00251071">
        <w:rPr>
          <w:b/>
          <w:color w:val="000000"/>
        </w:rPr>
        <w:t>.6. Cell viability measurements</w:t>
      </w:r>
    </w:p>
    <w:p w14:paraId="134D07B2" w14:textId="77777777" w:rsidR="007B4C1D" w:rsidRPr="00251071" w:rsidRDefault="007B4C1D" w:rsidP="007B4C1D">
      <w:pPr>
        <w:jc w:val="both"/>
      </w:pPr>
      <w:r w:rsidRPr="00817BA9">
        <w:t xml:space="preserve">Fibers were inserted into the wells of a 96 well microplate filled with 200 µL of DMEM and incubated for 48 h, at 37 ºC and 5 % CO2 atmosphere. Cellular viability  in cellularized ToCNF was tested after 24 and 48 h of incubation using the resazurin method.  First, the culture medium was removed and the Resazurin solution (10 % vol/vol in DMEM medium) was added to each well and the microplates were incubated at 37 ± 2 °C for 4 h and 5% CO2 atmosphere. A volume of 100 ul was transferred to another 96 wells microplate. The fluorescence was read at wavelengths 570 nm excitation and 590 nm emission wavelengths in a microplate reader (CaryEclipse Agilent Technologies, Santa Clara, CA, USA). After reading, the resazurin was removed and the wells were filled with 200 uL of DMEM medium and incubated in the conditions previously described. The resazurin is a quantitative indicator of cellular viability by measuring mitochondrial activity. Dehydrogenase enzymes reduce the resazurin (blue) to the resorufin (red) by living cells. The viability assays were performed in triplicate and the cell viability was reported as fluorescence.   </w:t>
      </w:r>
      <w:r w:rsidRPr="00817BA9">
        <w:tab/>
      </w:r>
      <w:r w:rsidRPr="00817BA9">
        <w:tab/>
      </w:r>
      <w:r w:rsidRPr="00817BA9">
        <w:tab/>
      </w:r>
    </w:p>
    <w:p w14:paraId="0D2CE24D" w14:textId="77777777" w:rsidR="007B4C1D" w:rsidRPr="00251071" w:rsidRDefault="007B4C1D" w:rsidP="007B4C1D">
      <w:pPr>
        <w:keepNext/>
        <w:pBdr>
          <w:top w:val="nil"/>
          <w:left w:val="nil"/>
          <w:bottom w:val="nil"/>
          <w:right w:val="nil"/>
          <w:between w:val="nil"/>
        </w:pBdr>
        <w:spacing w:before="120"/>
        <w:jc w:val="both"/>
        <w:rPr>
          <w:b/>
          <w:color w:val="000000"/>
        </w:rPr>
      </w:pPr>
      <w:r>
        <w:rPr>
          <w:b/>
          <w:color w:val="000000"/>
        </w:rPr>
        <w:t xml:space="preserve">1.7. </w:t>
      </w:r>
      <w:r w:rsidRPr="00251071">
        <w:rPr>
          <w:b/>
          <w:color w:val="000000"/>
        </w:rPr>
        <w:t>Osteogenic potential </w:t>
      </w:r>
    </w:p>
    <w:p w14:paraId="0DF26504" w14:textId="77777777" w:rsidR="007B4C1D" w:rsidRPr="00251071" w:rsidRDefault="007B4C1D" w:rsidP="007B4C1D">
      <w:pPr>
        <w:jc w:val="both"/>
      </w:pPr>
      <w:r w:rsidRPr="009600B0">
        <w:rPr>
          <w:color w:val="000000"/>
        </w:rPr>
        <w:t xml:space="preserve">The cellularized ToCNF were inserted in the wells of a 96 well microplate and filled with 200 µL of osteogenic medium (DMEM plus 10%wt FBS, 1 %wt penicillin/ streptomycin, 10 mM </w:t>
      </w:r>
      <w:r w:rsidRPr="009600B0">
        <w:rPr>
          <w:color w:val="000000"/>
        </w:rPr>
        <w:lastRenderedPageBreak/>
        <w:t>of β-glycerophosphate, 0,1 mM of dexamethasone and 50 mM of ascorbic acid) and incubated for 14 days, at 37 ºC and 5 % CO2 atmosphere. The culture medium was exchanged every three days. at 14 days time point the osteogenic culture media was removed, the fibers washed with PBS (three times, 100 μL), fixed with paraformaldehyde (4% vol.) for 30 min at room temperature, washed with PBS twice and then washed with deionized water. The fibers were treated with Alizarin Red, an indicator of the calcium rich mineralized matrix deposited by differentiated cells. For such, 100 μL of Alizarin Red solution (40 mM, pH 4.2), was added into the wells and the plates were incubated for 30 min at room temperature with mild shaking. The Alizarin Red solution was removed, the wells were washed three times with distilled water and the plates were dried at room temperature for 24 h. and analysed by optical microscopy using the Nikon Eclipse TS100, USA microscope</w:t>
      </w:r>
      <w:r w:rsidRPr="00251071">
        <w:rPr>
          <w:color w:val="000000"/>
        </w:rPr>
        <w:t>.</w:t>
      </w:r>
    </w:p>
    <w:p w14:paraId="2719F10B" w14:textId="77777777" w:rsidR="007B4C1D" w:rsidRPr="00251071" w:rsidRDefault="007B4C1D" w:rsidP="007B4C1D">
      <w:pPr>
        <w:jc w:val="both"/>
      </w:pPr>
    </w:p>
    <w:p w14:paraId="2940FB61" w14:textId="77777777" w:rsidR="007B4C1D" w:rsidRPr="00251071" w:rsidRDefault="007B4C1D" w:rsidP="007B4C1D">
      <w:pPr>
        <w:keepNext/>
        <w:pBdr>
          <w:top w:val="nil"/>
          <w:left w:val="nil"/>
          <w:bottom w:val="nil"/>
          <w:right w:val="nil"/>
          <w:between w:val="nil"/>
        </w:pBdr>
        <w:spacing w:before="120"/>
        <w:jc w:val="both"/>
        <w:rPr>
          <w:b/>
          <w:color w:val="000000"/>
        </w:rPr>
      </w:pPr>
      <w:r>
        <w:rPr>
          <w:b/>
          <w:color w:val="000000"/>
        </w:rPr>
        <w:t xml:space="preserve">1.8. </w:t>
      </w:r>
      <w:r w:rsidRPr="00251071">
        <w:rPr>
          <w:b/>
          <w:color w:val="000000"/>
        </w:rPr>
        <w:t>Fiber disintegration test</w:t>
      </w:r>
    </w:p>
    <w:p w14:paraId="3CF87D8C" w14:textId="77777777" w:rsidR="007B4C1D" w:rsidRDefault="007B4C1D" w:rsidP="007B4C1D">
      <w:pPr>
        <w:jc w:val="both"/>
      </w:pPr>
      <w:r w:rsidRPr="00251071">
        <w:rPr>
          <w:color w:val="000000"/>
        </w:rPr>
        <w:t>ToCNF fibers were inserted in the wells of a 96 well microplate filled with 200 µL of PBS and incubated for 14 days, at 37 ºC with PBS exchange every three days. The fiber disintegration was followed using an optical microscope (Nikon Eclipse TS100, USA).</w:t>
      </w:r>
    </w:p>
    <w:p w14:paraId="23F53E60" w14:textId="77777777" w:rsidR="007B4C1D" w:rsidRPr="00A10C44" w:rsidRDefault="007B4C1D" w:rsidP="007B4C1D"/>
    <w:p w14:paraId="1266AC8A" w14:textId="77777777" w:rsidR="007B4C1D" w:rsidRPr="00A10C44" w:rsidRDefault="007B4C1D" w:rsidP="007B4C1D"/>
    <w:p w14:paraId="07F5DE70" w14:textId="77777777" w:rsidR="007B4C1D" w:rsidRPr="00A10C44" w:rsidRDefault="007B4C1D" w:rsidP="007B4C1D"/>
    <w:p w14:paraId="7E6319EB" w14:textId="77777777" w:rsidR="007B4C1D" w:rsidRPr="00A10C44" w:rsidRDefault="007B4C1D" w:rsidP="007B4C1D"/>
    <w:p w14:paraId="3AE64528" w14:textId="77777777" w:rsidR="007B4C1D" w:rsidRPr="00603225" w:rsidRDefault="007B4C1D" w:rsidP="007B4C1D">
      <w:pPr>
        <w:pBdr>
          <w:top w:val="nil"/>
          <w:left w:val="nil"/>
          <w:bottom w:val="nil"/>
          <w:right w:val="nil"/>
          <w:between w:val="nil"/>
        </w:pBdr>
        <w:spacing w:before="120"/>
        <w:rPr>
          <w:color w:val="000000"/>
          <w:sz w:val="20"/>
          <w:szCs w:val="20"/>
        </w:rPr>
      </w:pPr>
    </w:p>
    <w:p w14:paraId="2EF7E1E1" w14:textId="77777777" w:rsidR="007B4C1D" w:rsidRDefault="007B4C1D" w:rsidP="007B4C1D">
      <w:pPr>
        <w:pBdr>
          <w:top w:val="nil"/>
          <w:left w:val="nil"/>
          <w:bottom w:val="nil"/>
          <w:right w:val="nil"/>
          <w:between w:val="nil"/>
        </w:pBdr>
        <w:ind w:firstLine="567"/>
        <w:jc w:val="both"/>
        <w:rPr>
          <w:color w:val="000000"/>
        </w:rPr>
      </w:pPr>
    </w:p>
    <w:p w14:paraId="76A1401D" w14:textId="77777777" w:rsidR="007B4C1D" w:rsidRPr="00A10C44" w:rsidRDefault="007B4C1D" w:rsidP="007B4C1D"/>
    <w:p w14:paraId="23258E66" w14:textId="77777777" w:rsidR="007B4C1D" w:rsidRPr="002474B9" w:rsidRDefault="007B4C1D" w:rsidP="007B4C1D">
      <w:pPr>
        <w:jc w:val="both"/>
        <w:rPr>
          <w:color w:val="000000"/>
          <w:highlight w:val="cyan"/>
        </w:rPr>
      </w:pPr>
    </w:p>
    <w:p w14:paraId="72D4AE40" w14:textId="77777777" w:rsidR="007B4C1D" w:rsidRPr="00A10C44" w:rsidRDefault="007B4C1D" w:rsidP="007B4C1D"/>
    <w:p w14:paraId="642DCD3A" w14:textId="77777777" w:rsidR="007B4C1D" w:rsidRDefault="007B4C1D" w:rsidP="007B4C1D">
      <w:pPr>
        <w:ind w:firstLine="567"/>
        <w:jc w:val="both"/>
        <w:rPr>
          <w:color w:val="000000"/>
        </w:rPr>
      </w:pPr>
    </w:p>
    <w:p w14:paraId="4C270D33" w14:textId="77777777" w:rsidR="007B4C1D" w:rsidRPr="00A10C44" w:rsidRDefault="007B4C1D" w:rsidP="007B4C1D"/>
    <w:p w14:paraId="11324348" w14:textId="77777777" w:rsidR="007B4C1D" w:rsidRPr="00FE25E9" w:rsidRDefault="007B4C1D" w:rsidP="007B4C1D"/>
    <w:p w14:paraId="504BEE42" w14:textId="77777777" w:rsidR="007B4C1D" w:rsidRDefault="007B4C1D" w:rsidP="007B4C1D">
      <w:pPr>
        <w:jc w:val="both"/>
        <w:rPr>
          <w:color w:val="000000"/>
        </w:rPr>
      </w:pPr>
    </w:p>
    <w:p w14:paraId="0C00304C" w14:textId="77777777" w:rsidR="007B4C1D" w:rsidRPr="00D538B0" w:rsidRDefault="007B4C1D" w:rsidP="007B4C1D"/>
    <w:p w14:paraId="7E4990AC" w14:textId="77777777" w:rsidR="007B4C1D" w:rsidRPr="00A238B4" w:rsidRDefault="007B4C1D" w:rsidP="007B4C1D"/>
    <w:p w14:paraId="6740181C" w14:textId="77777777" w:rsidR="007B4C1D" w:rsidRPr="00A238B4" w:rsidRDefault="007B4C1D" w:rsidP="007B4C1D"/>
    <w:p w14:paraId="20E9CD4E" w14:textId="77777777" w:rsidR="007B4C1D" w:rsidRPr="0094348F" w:rsidRDefault="007B4C1D" w:rsidP="007B4C1D">
      <w:pPr>
        <w:pBdr>
          <w:top w:val="nil"/>
          <w:left w:val="nil"/>
          <w:bottom w:val="nil"/>
          <w:right w:val="nil"/>
          <w:between w:val="nil"/>
        </w:pBdr>
        <w:spacing w:line="240" w:lineRule="auto"/>
        <w:ind w:firstLine="567"/>
        <w:jc w:val="both"/>
        <w:rPr>
          <w:color w:val="000000"/>
        </w:rPr>
      </w:pPr>
    </w:p>
    <w:p w14:paraId="4475E8BA" w14:textId="77777777" w:rsidR="007B4C1D" w:rsidRPr="00026AE5" w:rsidRDefault="007B4C1D" w:rsidP="007B4C1D"/>
    <w:p w14:paraId="7A6DF4AB" w14:textId="77777777" w:rsidR="007B4C1D" w:rsidRPr="00026AE5" w:rsidRDefault="007B4C1D" w:rsidP="007B4C1D"/>
    <w:p w14:paraId="675040CD" w14:textId="77777777" w:rsidR="007B4C1D" w:rsidRDefault="007B4C1D" w:rsidP="007B4C1D">
      <w:pPr>
        <w:pStyle w:val="keywords"/>
      </w:pPr>
    </w:p>
    <w:p w14:paraId="0CD2DBE8" w14:textId="77777777" w:rsidR="007B4C1D" w:rsidRDefault="007B4C1D" w:rsidP="007B4C1D">
      <w:pPr>
        <w:pBdr>
          <w:top w:val="nil"/>
          <w:left w:val="nil"/>
          <w:bottom w:val="nil"/>
          <w:right w:val="nil"/>
          <w:between w:val="nil"/>
        </w:pBdr>
        <w:spacing w:before="120" w:line="240" w:lineRule="auto"/>
        <w:rPr>
          <w:i/>
          <w:color w:val="000000"/>
        </w:rPr>
      </w:pPr>
    </w:p>
    <w:p w14:paraId="104B082F" w14:textId="77777777" w:rsidR="007B4C1D" w:rsidRPr="00026AE5" w:rsidRDefault="007B4C1D" w:rsidP="007B4C1D"/>
    <w:p w14:paraId="37FE4703" w14:textId="77777777" w:rsidR="005A7EE8" w:rsidRDefault="005A7EE8"/>
    <w:sectPr w:rsidR="005A7EE8" w:rsidSect="00E96BC5">
      <w:footerReference w:type="default" r:id="rId7"/>
      <w:pgSz w:w="11907" w:h="16840"/>
      <w:pgMar w:top="1701" w:right="1134" w:bottom="1134" w:left="1701" w:header="720" w:footer="720" w:gutter="0"/>
      <w:lnNumType w:countBy="1" w:restart="continuou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5557DB" w14:textId="77777777" w:rsidR="00DB6FEB" w:rsidRDefault="00DB6FEB">
      <w:pPr>
        <w:spacing w:line="240" w:lineRule="auto"/>
      </w:pPr>
      <w:r>
        <w:separator/>
      </w:r>
    </w:p>
  </w:endnote>
  <w:endnote w:type="continuationSeparator" w:id="0">
    <w:p w14:paraId="205AAADF" w14:textId="77777777" w:rsidR="00DB6FEB" w:rsidRDefault="00DB6F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ungsuh">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5AFB1" w14:textId="77777777" w:rsidR="00CC4AB0" w:rsidRDefault="007B4C1D">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E865A1" w14:textId="77777777" w:rsidR="00DB6FEB" w:rsidRDefault="00DB6FEB">
      <w:pPr>
        <w:spacing w:line="240" w:lineRule="auto"/>
      </w:pPr>
      <w:r>
        <w:separator/>
      </w:r>
    </w:p>
  </w:footnote>
  <w:footnote w:type="continuationSeparator" w:id="0">
    <w:p w14:paraId="1E1A194C" w14:textId="77777777" w:rsidR="00DB6FEB" w:rsidRDefault="00DB6FE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C1D"/>
    <w:rsid w:val="002736E9"/>
    <w:rsid w:val="005A7EE8"/>
    <w:rsid w:val="007B4C1D"/>
    <w:rsid w:val="00882C2B"/>
    <w:rsid w:val="00DB6F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8A454"/>
  <w15:chartTrackingRefBased/>
  <w15:docId w15:val="{69539C67-9921-524A-BE55-9D5C461A1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4C1D"/>
    <w:pPr>
      <w:overflowPunct w:val="0"/>
      <w:autoSpaceDE w:val="0"/>
      <w:autoSpaceDN w:val="0"/>
      <w:adjustRightInd w:val="0"/>
      <w:spacing w:line="360" w:lineRule="auto"/>
      <w:textAlignment w:val="baseline"/>
    </w:pPr>
    <w:rPr>
      <w:rFonts w:ascii="Times New Roman" w:eastAsia="Times New Roman" w:hAnsi="Times New Roman" w:cs="Times New Roman"/>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7B4C1D"/>
    <w:pPr>
      <w:tabs>
        <w:tab w:val="center" w:pos="4536"/>
        <w:tab w:val="right" w:pos="9072"/>
      </w:tabs>
    </w:pPr>
  </w:style>
  <w:style w:type="character" w:customStyle="1" w:styleId="FooterChar">
    <w:name w:val="Footer Char"/>
    <w:basedOn w:val="DefaultParagraphFont"/>
    <w:link w:val="Footer"/>
    <w:rsid w:val="007B4C1D"/>
    <w:rPr>
      <w:rFonts w:ascii="Times New Roman" w:eastAsia="Times New Roman" w:hAnsi="Times New Roman" w:cs="Times New Roman"/>
      <w:lang w:eastAsia="de-DE"/>
    </w:rPr>
  </w:style>
  <w:style w:type="character" w:styleId="PageNumber">
    <w:name w:val="page number"/>
    <w:basedOn w:val="DefaultParagraphFont"/>
    <w:rsid w:val="007B4C1D"/>
  </w:style>
  <w:style w:type="paragraph" w:customStyle="1" w:styleId="keywords">
    <w:name w:val="keywords"/>
    <w:basedOn w:val="Normal"/>
    <w:next w:val="Normal"/>
    <w:rsid w:val="007B4C1D"/>
    <w:pPr>
      <w:spacing w:before="120"/>
    </w:pPr>
    <w:rPr>
      <w:i/>
    </w:rPr>
  </w:style>
  <w:style w:type="paragraph" w:customStyle="1" w:styleId="figlegend">
    <w:name w:val="figlegend"/>
    <w:basedOn w:val="Normal"/>
    <w:next w:val="Normal"/>
    <w:rsid w:val="007B4C1D"/>
    <w:pPr>
      <w:spacing w:before="120"/>
    </w:pPr>
    <w:rPr>
      <w:sz w:val="20"/>
    </w:rPr>
  </w:style>
  <w:style w:type="character" w:styleId="LineNumber">
    <w:name w:val="line number"/>
    <w:basedOn w:val="DefaultParagraphFont"/>
    <w:uiPriority w:val="99"/>
    <w:semiHidden/>
    <w:unhideWhenUsed/>
    <w:rsid w:val="007B4C1D"/>
  </w:style>
  <w:style w:type="character" w:styleId="Hyperlink">
    <w:name w:val="Hyperlink"/>
    <w:basedOn w:val="DefaultParagraphFont"/>
    <w:rsid w:val="007B4C1D"/>
    <w:rPr>
      <w:color w:val="0563C1" w:themeColor="hyperlink"/>
      <w:u w:val="single"/>
    </w:rPr>
  </w:style>
  <w:style w:type="paragraph" w:customStyle="1" w:styleId="email">
    <w:name w:val="email"/>
    <w:basedOn w:val="Normal"/>
    <w:next w:val="Normal"/>
    <w:rsid w:val="007B4C1D"/>
    <w:pPr>
      <w:spacing w:before="120" w:line="240" w:lineRule="auto"/>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lianetrov@yahoo.com.b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1324</Words>
  <Characters>7551</Characters>
  <Application>Microsoft Office Word</Application>
  <DocSecurity>0</DocSecurity>
  <Lines>62</Lines>
  <Paragraphs>17</Paragraphs>
  <ScaleCrop>false</ScaleCrop>
  <Company/>
  <LinksUpToDate>false</LinksUpToDate>
  <CharactersWithSpaces>8858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2021-03-27T22:29:00Z</dcterms:created>
  <dcterms:modified xsi:type="dcterms:W3CDTF">2021-03-27T22:32:00Z</dcterms:modified>
</cp:coreProperties>
</file>