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B4585" w14:textId="1BC1DE74" w:rsidR="004B1599" w:rsidRPr="0025159D" w:rsidRDefault="00EC66F0" w:rsidP="004B1599">
      <w:pPr>
        <w:pStyle w:val="Title"/>
        <w:jc w:val="center"/>
        <w:rPr>
          <w:rFonts w:ascii="Times New Roman" w:hAnsi="Times New Roman" w:cs="Times New Roman"/>
          <w:sz w:val="24"/>
          <w:szCs w:val="24"/>
        </w:rPr>
      </w:pPr>
      <w:bookmarkStart w:id="0" w:name="_Hlk128074937"/>
      <w:r w:rsidRPr="0025159D">
        <w:rPr>
          <w:rFonts w:ascii="Times New Roman" w:hAnsi="Times New Roman" w:cs="Times New Roman"/>
          <w:sz w:val="24"/>
          <w:szCs w:val="24"/>
        </w:rPr>
        <w:t xml:space="preserve"> </w:t>
      </w:r>
      <w:r w:rsidR="004B1599" w:rsidRPr="0025159D">
        <w:rPr>
          <w:rFonts w:ascii="Times New Roman" w:hAnsi="Times New Roman" w:cs="Times New Roman"/>
          <w:sz w:val="24"/>
          <w:szCs w:val="24"/>
        </w:rPr>
        <w:t xml:space="preserve">Supplement to: </w:t>
      </w:r>
      <w:bookmarkStart w:id="1" w:name="_Hlk140751648"/>
      <w:r w:rsidR="004B1599" w:rsidRPr="0025159D">
        <w:rPr>
          <w:rFonts w:ascii="Times New Roman" w:hAnsi="Times New Roman" w:cs="Times New Roman"/>
          <w:sz w:val="24"/>
          <w:szCs w:val="24"/>
        </w:rPr>
        <w:t>Diverse Decarbonization Pathways Under Near Cost-Optimal Futures</w:t>
      </w:r>
      <w:bookmarkEnd w:id="0"/>
      <w:bookmarkEnd w:id="1"/>
    </w:p>
    <w:p w14:paraId="6416BD94" w14:textId="77777777" w:rsidR="004B1599" w:rsidRPr="0025159D" w:rsidRDefault="004B1599" w:rsidP="004B1599">
      <w:pPr>
        <w:jc w:val="center"/>
        <w:rPr>
          <w:rFonts w:ascii="Times New Roman" w:hAnsi="Times New Roman" w:cs="Times New Roman"/>
          <w:sz w:val="24"/>
          <w:szCs w:val="24"/>
        </w:rPr>
      </w:pPr>
    </w:p>
    <w:p w14:paraId="542A153B" w14:textId="183C3A38" w:rsidR="005771DD" w:rsidRPr="0025159D" w:rsidRDefault="005771DD" w:rsidP="00D0274A">
      <w:pPr>
        <w:rPr>
          <w:rFonts w:ascii="Times New Roman" w:hAnsi="Times New Roman" w:cs="Times New Roman"/>
          <w:sz w:val="24"/>
          <w:szCs w:val="24"/>
        </w:rPr>
      </w:pPr>
      <w:bookmarkStart w:id="2" w:name="_Hlk136501368"/>
      <w:bookmarkStart w:id="3" w:name="_Hlk128075061"/>
      <w:r w:rsidRPr="0025159D">
        <w:rPr>
          <w:rFonts w:ascii="Times New Roman" w:hAnsi="Times New Roman" w:cs="Times New Roman"/>
          <w:sz w:val="24"/>
          <w:szCs w:val="24"/>
        </w:rPr>
        <w:t>Aditya Sinha</w:t>
      </w:r>
      <w:r w:rsidRPr="0025159D">
        <w:rPr>
          <w:rFonts w:ascii="Times New Roman" w:hAnsi="Times New Roman" w:cs="Times New Roman"/>
          <w:sz w:val="24"/>
          <w:szCs w:val="24"/>
          <w:vertAlign w:val="superscript"/>
        </w:rPr>
        <w:t>1</w:t>
      </w:r>
      <w:r w:rsidR="0094118C">
        <w:rPr>
          <w:rFonts w:ascii="Times New Roman" w:hAnsi="Times New Roman" w:cs="Times New Roman"/>
          <w:sz w:val="24"/>
          <w:szCs w:val="24"/>
          <w:vertAlign w:val="superscript"/>
        </w:rPr>
        <w:t>,*</w:t>
      </w:r>
      <w:r w:rsidRPr="0025159D">
        <w:rPr>
          <w:rFonts w:ascii="Times New Roman" w:hAnsi="Times New Roman" w:cs="Times New Roman"/>
          <w:sz w:val="24"/>
          <w:szCs w:val="24"/>
        </w:rPr>
        <w:t>, Aranya Venkatesh</w:t>
      </w:r>
      <w:r w:rsidRPr="0025159D">
        <w:rPr>
          <w:rFonts w:ascii="Times New Roman" w:hAnsi="Times New Roman" w:cs="Times New Roman"/>
          <w:sz w:val="24"/>
          <w:szCs w:val="24"/>
          <w:vertAlign w:val="superscript"/>
        </w:rPr>
        <w:t>2,4</w:t>
      </w:r>
      <w:r w:rsidRPr="0025159D">
        <w:rPr>
          <w:rFonts w:ascii="Times New Roman" w:hAnsi="Times New Roman" w:cs="Times New Roman"/>
          <w:sz w:val="24"/>
          <w:szCs w:val="24"/>
        </w:rPr>
        <w:t>, Katherine Jordan</w:t>
      </w:r>
      <w:r w:rsidRPr="0025159D">
        <w:rPr>
          <w:rFonts w:ascii="Times New Roman" w:hAnsi="Times New Roman" w:cs="Times New Roman"/>
          <w:sz w:val="24"/>
          <w:szCs w:val="24"/>
          <w:vertAlign w:val="superscript"/>
        </w:rPr>
        <w:t>2</w:t>
      </w:r>
      <w:r w:rsidRPr="0025159D">
        <w:rPr>
          <w:rFonts w:ascii="Times New Roman" w:hAnsi="Times New Roman" w:cs="Times New Roman"/>
          <w:sz w:val="24"/>
          <w:szCs w:val="24"/>
        </w:rPr>
        <w:t>, Cameron Wade</w:t>
      </w:r>
      <w:r w:rsidRPr="0025159D">
        <w:rPr>
          <w:rFonts w:ascii="Times New Roman" w:hAnsi="Times New Roman" w:cs="Times New Roman"/>
          <w:sz w:val="24"/>
          <w:szCs w:val="24"/>
          <w:vertAlign w:val="superscript"/>
        </w:rPr>
        <w:t>5</w:t>
      </w:r>
      <w:r w:rsidRPr="0025159D">
        <w:rPr>
          <w:rFonts w:ascii="Times New Roman" w:hAnsi="Times New Roman" w:cs="Times New Roman"/>
          <w:sz w:val="24"/>
          <w:szCs w:val="24"/>
        </w:rPr>
        <w:t>, Hadi Eshraghi</w:t>
      </w:r>
      <w:r w:rsidRPr="0025159D">
        <w:rPr>
          <w:rFonts w:ascii="Times New Roman" w:hAnsi="Times New Roman" w:cs="Times New Roman"/>
          <w:sz w:val="24"/>
          <w:szCs w:val="24"/>
          <w:vertAlign w:val="superscript"/>
        </w:rPr>
        <w:t>1</w:t>
      </w:r>
      <w:r w:rsidRPr="0025159D">
        <w:rPr>
          <w:rFonts w:ascii="Times New Roman" w:hAnsi="Times New Roman" w:cs="Times New Roman"/>
          <w:sz w:val="24"/>
          <w:szCs w:val="24"/>
        </w:rPr>
        <w:t>, Anderson R. de Queiroz</w:t>
      </w:r>
      <w:r w:rsidRPr="0025159D">
        <w:rPr>
          <w:rFonts w:ascii="Times New Roman" w:hAnsi="Times New Roman" w:cs="Times New Roman"/>
          <w:sz w:val="24"/>
          <w:szCs w:val="24"/>
          <w:vertAlign w:val="superscript"/>
        </w:rPr>
        <w:t>1,3</w:t>
      </w:r>
      <w:r w:rsidRPr="0025159D">
        <w:rPr>
          <w:rFonts w:ascii="Times New Roman" w:hAnsi="Times New Roman" w:cs="Times New Roman"/>
          <w:sz w:val="24"/>
          <w:szCs w:val="24"/>
        </w:rPr>
        <w:t>, Paulina Jaramillo</w:t>
      </w:r>
      <w:r w:rsidRPr="0025159D">
        <w:rPr>
          <w:rFonts w:ascii="Times New Roman" w:hAnsi="Times New Roman" w:cs="Times New Roman"/>
          <w:sz w:val="24"/>
          <w:szCs w:val="24"/>
          <w:vertAlign w:val="superscript"/>
        </w:rPr>
        <w:t>2,6</w:t>
      </w:r>
      <w:r w:rsidRPr="0025159D">
        <w:rPr>
          <w:rFonts w:ascii="Times New Roman" w:hAnsi="Times New Roman" w:cs="Times New Roman"/>
          <w:sz w:val="24"/>
          <w:szCs w:val="24"/>
        </w:rPr>
        <w:t>, Jeremiah X. Johnson</w:t>
      </w:r>
      <w:r w:rsidRPr="0025159D">
        <w:rPr>
          <w:rFonts w:ascii="Times New Roman" w:hAnsi="Times New Roman" w:cs="Times New Roman"/>
          <w:sz w:val="24"/>
          <w:szCs w:val="24"/>
          <w:vertAlign w:val="superscript"/>
        </w:rPr>
        <w:t>1,6</w:t>
      </w:r>
    </w:p>
    <w:p w14:paraId="6D7D6959" w14:textId="77777777"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1</w:t>
      </w:r>
      <w:r w:rsidRPr="0025159D">
        <w:rPr>
          <w:rFonts w:ascii="Times New Roman" w:hAnsi="Times New Roman" w:cs="Times New Roman"/>
          <w:sz w:val="24"/>
          <w:szCs w:val="24"/>
        </w:rPr>
        <w:t>Department of Civil and Environmental Engineering, North Carolina State University, Raleigh, NC</w:t>
      </w:r>
    </w:p>
    <w:p w14:paraId="7F3F7144" w14:textId="77777777"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2</w:t>
      </w:r>
      <w:r w:rsidRPr="0025159D">
        <w:rPr>
          <w:rFonts w:ascii="Times New Roman" w:hAnsi="Times New Roman" w:cs="Times New Roman"/>
          <w:sz w:val="24"/>
          <w:szCs w:val="24"/>
        </w:rPr>
        <w:t>Department of Engineering and Public Policy, Carnegie Mellon University, Pittsburgh, PA</w:t>
      </w:r>
    </w:p>
    <w:p w14:paraId="3FE93A4F" w14:textId="77777777"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3</w:t>
      </w:r>
      <w:r w:rsidRPr="0025159D">
        <w:rPr>
          <w:rFonts w:ascii="Times New Roman" w:hAnsi="Times New Roman" w:cs="Times New Roman"/>
          <w:sz w:val="24"/>
          <w:szCs w:val="24"/>
        </w:rPr>
        <w:t>Department of Decision Sciences, North Carolina Central University, Durham, NC</w:t>
      </w:r>
    </w:p>
    <w:p w14:paraId="716EC53C" w14:textId="77777777"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4</w:t>
      </w:r>
      <w:r w:rsidRPr="0025159D">
        <w:rPr>
          <w:rFonts w:ascii="Times New Roman" w:hAnsi="Times New Roman" w:cs="Times New Roman"/>
          <w:sz w:val="24"/>
          <w:szCs w:val="24"/>
        </w:rPr>
        <w:t xml:space="preserve">Electric Power Research Institute, Palo Alto, CA </w:t>
      </w:r>
    </w:p>
    <w:p w14:paraId="41917526" w14:textId="7485E6F1"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5</w:t>
      </w:r>
      <w:r w:rsidRPr="0025159D">
        <w:rPr>
          <w:rFonts w:ascii="Times New Roman" w:hAnsi="Times New Roman" w:cs="Times New Roman"/>
          <w:sz w:val="24"/>
          <w:szCs w:val="24"/>
        </w:rPr>
        <w:t>Sutubra Research Inc., Nova Scotia, Can</w:t>
      </w:r>
      <w:r w:rsidR="0069683E">
        <w:rPr>
          <w:rFonts w:ascii="Times New Roman" w:hAnsi="Times New Roman" w:cs="Times New Roman"/>
          <w:sz w:val="24"/>
          <w:szCs w:val="24"/>
        </w:rPr>
        <w:t>a</w:t>
      </w:r>
      <w:r w:rsidRPr="0025159D">
        <w:rPr>
          <w:rFonts w:ascii="Times New Roman" w:hAnsi="Times New Roman" w:cs="Times New Roman"/>
          <w:sz w:val="24"/>
          <w:szCs w:val="24"/>
        </w:rPr>
        <w:t>da</w:t>
      </w:r>
    </w:p>
    <w:p w14:paraId="04481171" w14:textId="77777777" w:rsidR="005771DD" w:rsidRPr="0025159D" w:rsidRDefault="005771DD" w:rsidP="00D0274A">
      <w:pPr>
        <w:rPr>
          <w:rFonts w:ascii="Times New Roman" w:hAnsi="Times New Roman" w:cs="Times New Roman"/>
          <w:sz w:val="24"/>
          <w:szCs w:val="24"/>
        </w:rPr>
      </w:pPr>
      <w:r w:rsidRPr="0025159D">
        <w:rPr>
          <w:rFonts w:ascii="Times New Roman" w:hAnsi="Times New Roman" w:cs="Times New Roman"/>
          <w:sz w:val="24"/>
          <w:szCs w:val="24"/>
          <w:vertAlign w:val="superscript"/>
        </w:rPr>
        <w:t>6</w:t>
      </w:r>
      <w:r w:rsidRPr="0025159D">
        <w:rPr>
          <w:rFonts w:ascii="Times New Roman" w:hAnsi="Times New Roman" w:cs="Times New Roman"/>
          <w:sz w:val="24"/>
          <w:szCs w:val="24"/>
        </w:rPr>
        <w:t>Senior author</w:t>
      </w:r>
    </w:p>
    <w:p w14:paraId="353B3EBE" w14:textId="75113975" w:rsidR="00D824F1" w:rsidRPr="0025159D" w:rsidRDefault="005771DD" w:rsidP="005771DD">
      <w:pPr>
        <w:rPr>
          <w:rFonts w:ascii="Times New Roman" w:hAnsi="Times New Roman" w:cs="Times New Roman"/>
          <w:sz w:val="24"/>
          <w:szCs w:val="24"/>
        </w:rPr>
      </w:pPr>
      <w:r w:rsidRPr="0025159D">
        <w:rPr>
          <w:rFonts w:ascii="Times New Roman" w:hAnsi="Times New Roman" w:cs="Times New Roman"/>
          <w:sz w:val="24"/>
          <w:szCs w:val="24"/>
        </w:rPr>
        <w:t xml:space="preserve">*Corresponding author and lead contact: </w:t>
      </w:r>
      <w:hyperlink r:id="rId8" w:history="1">
        <w:r w:rsidR="0094118C" w:rsidRPr="0094118C">
          <w:rPr>
            <w:rStyle w:val="Hyperlink"/>
            <w:rFonts w:ascii="Times New Roman" w:hAnsi="Times New Roman" w:cs="Times New Roman"/>
            <w:sz w:val="24"/>
            <w:szCs w:val="24"/>
          </w:rPr>
          <w:t>asinha2@ncsu.edu</w:t>
        </w:r>
      </w:hyperlink>
    </w:p>
    <w:p w14:paraId="66A63C72" w14:textId="77777777" w:rsidR="00D824F1" w:rsidRPr="0025159D" w:rsidRDefault="00D824F1">
      <w:pPr>
        <w:rPr>
          <w:rFonts w:ascii="Times New Roman" w:hAnsi="Times New Roman" w:cs="Times New Roman"/>
          <w:sz w:val="24"/>
          <w:szCs w:val="24"/>
        </w:rPr>
      </w:pPr>
      <w:r w:rsidRPr="0025159D">
        <w:rPr>
          <w:rFonts w:ascii="Times New Roman" w:hAnsi="Times New Roman" w:cs="Times New Roman"/>
          <w:sz w:val="24"/>
          <w:szCs w:val="24"/>
        </w:rPr>
        <w:br w:type="page"/>
      </w:r>
    </w:p>
    <w:bookmarkEnd w:id="2"/>
    <w:bookmarkEnd w:id="3"/>
    <w:p w14:paraId="085586BD" w14:textId="77777777" w:rsidR="00CF5E57" w:rsidRPr="0025159D" w:rsidRDefault="00CF5E57" w:rsidP="005771DD">
      <w:pPr>
        <w:rPr>
          <w:rFonts w:ascii="Times New Roman" w:hAnsi="Times New Roman" w:cs="Times New Roman"/>
          <w:b/>
          <w:bCs/>
          <w:sz w:val="24"/>
          <w:szCs w:val="24"/>
        </w:rPr>
      </w:pPr>
    </w:p>
    <w:p w14:paraId="050D2EE9" w14:textId="0851F9DA" w:rsidR="00253D04" w:rsidRPr="0025159D" w:rsidRDefault="003369A3" w:rsidP="00D0274A">
      <w:pPr>
        <w:pStyle w:val="Caption"/>
        <w:rPr>
          <w:rFonts w:ascii="Times New Roman" w:hAnsi="Times New Roman" w:cs="Times New Roman"/>
          <w:b/>
          <w:bCs/>
          <w:sz w:val="24"/>
          <w:szCs w:val="24"/>
        </w:rPr>
      </w:pPr>
      <w:r w:rsidRPr="0025159D">
        <w:rPr>
          <w:rFonts w:ascii="Times New Roman" w:hAnsi="Times New Roman" w:cs="Times New Roman"/>
          <w:b/>
          <w:bCs/>
          <w:i w:val="0"/>
          <w:iCs w:val="0"/>
          <w:color w:val="auto"/>
          <w:sz w:val="24"/>
          <w:szCs w:val="24"/>
        </w:rPr>
        <w:t>Section S</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Section_S \* ARABIC </w:instrText>
      </w:r>
      <w:r w:rsidRPr="0025159D">
        <w:rPr>
          <w:rFonts w:ascii="Times New Roman" w:hAnsi="Times New Roman" w:cs="Times New Roman"/>
          <w:b/>
          <w:bCs/>
          <w:i w:val="0"/>
          <w:iCs w:val="0"/>
          <w:color w:val="auto"/>
          <w:sz w:val="24"/>
          <w:szCs w:val="24"/>
        </w:rPr>
        <w:fldChar w:fldCharType="separate"/>
      </w:r>
      <w:r w:rsidR="007A62DB" w:rsidRPr="0025159D">
        <w:rPr>
          <w:rFonts w:ascii="Times New Roman" w:hAnsi="Times New Roman" w:cs="Times New Roman"/>
          <w:b/>
          <w:bCs/>
          <w:i w:val="0"/>
          <w:iCs w:val="0"/>
          <w:noProof/>
          <w:color w:val="auto"/>
          <w:sz w:val="24"/>
          <w:szCs w:val="24"/>
        </w:rPr>
        <w:t>1</w:t>
      </w:r>
      <w:r w:rsidRPr="0025159D">
        <w:rPr>
          <w:rFonts w:ascii="Times New Roman" w:hAnsi="Times New Roman" w:cs="Times New Roman"/>
          <w:b/>
          <w:bCs/>
          <w:i w:val="0"/>
          <w:iCs w:val="0"/>
          <w:color w:val="auto"/>
          <w:sz w:val="24"/>
          <w:szCs w:val="24"/>
        </w:rPr>
        <w:fldChar w:fldCharType="end"/>
      </w:r>
      <w:r w:rsidR="00253D04" w:rsidRPr="0025159D">
        <w:rPr>
          <w:rFonts w:ascii="Times New Roman" w:hAnsi="Times New Roman" w:cs="Times New Roman"/>
          <w:b/>
          <w:bCs/>
          <w:i w:val="0"/>
          <w:iCs w:val="0"/>
          <w:color w:val="auto"/>
          <w:sz w:val="24"/>
          <w:szCs w:val="24"/>
        </w:rPr>
        <w:t xml:space="preserve">:  </w:t>
      </w:r>
      <w:r w:rsidR="0005267E" w:rsidRPr="0025159D">
        <w:rPr>
          <w:rFonts w:ascii="Times New Roman" w:hAnsi="Times New Roman" w:cs="Times New Roman"/>
          <w:b/>
          <w:bCs/>
          <w:i w:val="0"/>
          <w:iCs w:val="0"/>
          <w:color w:val="auto"/>
          <w:sz w:val="24"/>
          <w:szCs w:val="24"/>
        </w:rPr>
        <w:t xml:space="preserve">Model </w:t>
      </w:r>
      <w:r w:rsidR="00343399">
        <w:rPr>
          <w:rFonts w:ascii="Times New Roman" w:hAnsi="Times New Roman" w:cs="Times New Roman"/>
          <w:b/>
          <w:bCs/>
          <w:i w:val="0"/>
          <w:iCs w:val="0"/>
          <w:color w:val="auto"/>
          <w:sz w:val="24"/>
          <w:szCs w:val="24"/>
        </w:rPr>
        <w:t>S</w:t>
      </w:r>
      <w:r w:rsidR="0005267E" w:rsidRPr="0025159D">
        <w:rPr>
          <w:rFonts w:ascii="Times New Roman" w:hAnsi="Times New Roman" w:cs="Times New Roman"/>
          <w:b/>
          <w:bCs/>
          <w:i w:val="0"/>
          <w:iCs w:val="0"/>
          <w:color w:val="auto"/>
          <w:sz w:val="24"/>
          <w:szCs w:val="24"/>
        </w:rPr>
        <w:t xml:space="preserve">tructure and Description of Deterministic </w:t>
      </w:r>
      <w:r w:rsidR="007870DC" w:rsidRPr="0025159D">
        <w:rPr>
          <w:rFonts w:ascii="Times New Roman" w:hAnsi="Times New Roman" w:cs="Times New Roman"/>
          <w:b/>
          <w:bCs/>
          <w:i w:val="0"/>
          <w:iCs w:val="0"/>
          <w:color w:val="auto"/>
          <w:sz w:val="24"/>
          <w:szCs w:val="24"/>
        </w:rPr>
        <w:t>Scenarios</w:t>
      </w:r>
      <w:r w:rsidR="00253D04" w:rsidRPr="0025159D">
        <w:rPr>
          <w:rFonts w:ascii="Times New Roman" w:hAnsi="Times New Roman" w:cs="Times New Roman"/>
          <w:b/>
          <w:bCs/>
          <w:i w:val="0"/>
          <w:iCs w:val="0"/>
          <w:color w:val="auto"/>
          <w:sz w:val="24"/>
          <w:szCs w:val="24"/>
        </w:rPr>
        <w:t>.</w:t>
      </w:r>
    </w:p>
    <w:p w14:paraId="707E0E9E" w14:textId="0B66F55E" w:rsidR="00FA16C5" w:rsidRPr="0025159D" w:rsidRDefault="0005267E" w:rsidP="0003686F">
      <w:pPr>
        <w:rPr>
          <w:rFonts w:ascii="Times New Roman" w:hAnsi="Times New Roman" w:cs="Times New Roman"/>
          <w:sz w:val="24"/>
          <w:szCs w:val="24"/>
        </w:rPr>
      </w:pPr>
      <w:r w:rsidRPr="0025159D">
        <w:rPr>
          <w:rFonts w:ascii="Times New Roman" w:hAnsi="Times New Roman" w:cs="Times New Roman"/>
          <w:b/>
          <w:bCs/>
          <w:sz w:val="24"/>
          <w:szCs w:val="24"/>
        </w:rPr>
        <w:t xml:space="preserve">Description of the main constraints: </w:t>
      </w:r>
      <w:r w:rsidR="00D0274A" w:rsidRPr="0025159D">
        <w:rPr>
          <w:rFonts w:ascii="Times New Roman" w:hAnsi="Times New Roman" w:cs="Times New Roman"/>
          <w:sz w:val="24"/>
          <w:szCs w:val="24"/>
        </w:rPr>
        <w:t>Our</w:t>
      </w:r>
      <w:r w:rsidRPr="0025159D">
        <w:rPr>
          <w:rFonts w:ascii="Times New Roman" w:hAnsi="Times New Roman" w:cs="Times New Roman"/>
          <w:sz w:val="24"/>
          <w:szCs w:val="24"/>
        </w:rPr>
        <w:t xml:space="preserve"> optimization model </w:t>
      </w:r>
      <w:r w:rsidR="00D0274A" w:rsidRPr="0025159D">
        <w:rPr>
          <w:rFonts w:ascii="Times New Roman" w:hAnsi="Times New Roman" w:cs="Times New Roman"/>
          <w:sz w:val="24"/>
          <w:szCs w:val="24"/>
        </w:rPr>
        <w:t>is constructed</w:t>
      </w:r>
      <w:r w:rsidRPr="0025159D">
        <w:rPr>
          <w:rFonts w:ascii="Times New Roman" w:hAnsi="Times New Roman" w:cs="Times New Roman"/>
          <w:sz w:val="24"/>
          <w:szCs w:val="24"/>
        </w:rPr>
        <w:t xml:space="preserve"> as a linear program in Temoa.</w:t>
      </w:r>
      <w:r w:rsidR="007A62DB"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ADDIN ZOTERO_ITEM CSL_CITATION {"citationID":"PTmeusRH","properties":{"formattedCitation":"\\super 1\\nosupersub{}","plainCitation":"1","noteIndex":0},"citationItems":[{"id":5059,"uris":["http://zotero.org/users/3151432/items/RG22X4TI"],"itemData":{"id":5059,"type":"article-journal","abstract":"This paper introduces Tools for Energy Model Optimization and Analysis (Temoa), an open source framework for conducting energy system analysis. The core component of Temoa is an energy economy optimization (EEO) model, which minimizes the system-wide cost of energy supply by optimizing the deployment and utilization of energy technologies over a user-speciﬁed time horizon. The design of Temoa is intended to ﬁll a unique niche within the energy modeling landscape by addressing two critical shortcomings associated with existing models: an inability to perform third party veriﬁcation of published model results and the difﬁculty of conducting uncertainty analysis with large, complex models. Temoa leverages a modern revision control system to publicly archive model source code and data, which ensures repeatability of all published modeling work. From its initial conceptualization, Temoa was also designed for operation within a high performance computing environment to enable rigorous uncertainty analysis. We present the algebraic formulation of Temoa and conduct a veriﬁcation exercise by implementing a simple test system in both Temoa and MARKAL, a widely used commercial model of the same type. In addition, a stochastic optimization of the test system is presented as a proof-of-concept application of uncertainty analysis using the Temoa framework.","container-title":"Energy Economics","DOI":"10.1016/j.eneco.2013.07.014","ISSN":"01409883","journalAbbreviation":"Energy Economics","language":"en","page":"339-349","source":"DOI.org (Crossref)","title":"Modeling for insight using Tools for Energy Model Optimization and Analysis (Temoa)","volume":"40","author":[{"family":"Hunter","given":"Kevin"},{"family":"Sreepathi","given":"Sarat"},{"family":"DeCarolis","given":"Joseph F."}],"issued":{"date-parts":[["2013",11]]}}}],"schema":"https://github.com/citation-style-language/schema/raw/master/csl-citation.json"} </w:instrText>
      </w:r>
      <w:r w:rsidR="007A62DB"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vertAlign w:val="superscript"/>
        </w:rPr>
        <w:t>1</w:t>
      </w:r>
      <w:r w:rsidR="007A62DB"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t>
      </w:r>
      <w:r w:rsidR="00764387">
        <w:rPr>
          <w:rFonts w:ascii="Times New Roman" w:hAnsi="Times New Roman" w:cs="Times New Roman"/>
          <w:sz w:val="24"/>
          <w:szCs w:val="24"/>
        </w:rPr>
        <w:t>Four main equations govern</w:t>
      </w:r>
      <w:r w:rsidR="00FA16C5" w:rsidRPr="0025159D">
        <w:rPr>
          <w:rFonts w:ascii="Times New Roman" w:hAnsi="Times New Roman" w:cs="Times New Roman"/>
          <w:sz w:val="24"/>
          <w:szCs w:val="24"/>
        </w:rPr>
        <w:t xml:space="preserve"> the flow of energy through the model network. The </w:t>
      </w:r>
      <w:r w:rsidR="00FA16C5" w:rsidRPr="0025159D">
        <w:rPr>
          <w:rFonts w:ascii="Times New Roman" w:hAnsi="Times New Roman" w:cs="Times New Roman"/>
          <w:i/>
          <w:iCs/>
          <w:sz w:val="24"/>
          <w:szCs w:val="24"/>
        </w:rPr>
        <w:t>Demand_Constrant</w:t>
      </w:r>
      <w:r w:rsidR="00FA16C5" w:rsidRPr="0025159D">
        <w:rPr>
          <w:rFonts w:ascii="Times New Roman" w:hAnsi="Times New Roman" w:cs="Times New Roman"/>
          <w:sz w:val="24"/>
          <w:szCs w:val="24"/>
        </w:rPr>
        <w:t xml:space="preserve"> </w:t>
      </w:r>
      <w:r w:rsidR="00D0274A" w:rsidRPr="0025159D">
        <w:rPr>
          <w:rFonts w:ascii="Times New Roman" w:hAnsi="Times New Roman" w:cs="Times New Roman"/>
          <w:sz w:val="24"/>
          <w:szCs w:val="24"/>
        </w:rPr>
        <w:t xml:space="preserve">(Equation 1) </w:t>
      </w:r>
      <w:r w:rsidR="00FA16C5" w:rsidRPr="0025159D">
        <w:rPr>
          <w:rFonts w:ascii="Times New Roman" w:hAnsi="Times New Roman" w:cs="Times New Roman"/>
          <w:sz w:val="24"/>
          <w:szCs w:val="24"/>
        </w:rPr>
        <w:t xml:space="preserve">ensures that the supply meets demand in </w:t>
      </w:r>
      <w:r w:rsidR="00D0274A" w:rsidRPr="0025159D">
        <w:rPr>
          <w:rFonts w:ascii="Times New Roman" w:hAnsi="Times New Roman" w:cs="Times New Roman"/>
          <w:sz w:val="24"/>
          <w:szCs w:val="24"/>
        </w:rPr>
        <w:t>all time intervals</w:t>
      </w:r>
      <w:r w:rsidR="00FA16C5" w:rsidRPr="0025159D">
        <w:rPr>
          <w:rFonts w:ascii="Times New Roman" w:hAnsi="Times New Roman" w:cs="Times New Roman"/>
          <w:sz w:val="24"/>
          <w:szCs w:val="24"/>
        </w:rPr>
        <w:t xml:space="preserve">. For each process, the </w:t>
      </w:r>
      <w:r w:rsidR="00FA16C5" w:rsidRPr="0025159D">
        <w:rPr>
          <w:rFonts w:ascii="Times New Roman" w:hAnsi="Times New Roman" w:cs="Times New Roman"/>
          <w:i/>
          <w:iCs/>
          <w:sz w:val="24"/>
          <w:szCs w:val="24"/>
        </w:rPr>
        <w:t>Capacity_Constraint</w:t>
      </w:r>
      <w:r w:rsidR="00FA16C5" w:rsidRPr="0025159D">
        <w:rPr>
          <w:rFonts w:ascii="Times New Roman" w:hAnsi="Times New Roman" w:cs="Times New Roman"/>
          <w:sz w:val="24"/>
          <w:szCs w:val="24"/>
        </w:rPr>
        <w:t xml:space="preserve"> </w:t>
      </w:r>
      <w:r w:rsidR="00D0274A" w:rsidRPr="0025159D">
        <w:rPr>
          <w:rFonts w:ascii="Times New Roman" w:hAnsi="Times New Roman" w:cs="Times New Roman"/>
          <w:sz w:val="24"/>
          <w:szCs w:val="24"/>
        </w:rPr>
        <w:t xml:space="preserve">(Equation 2) </w:t>
      </w:r>
      <w:r w:rsidR="00FA16C5" w:rsidRPr="0025159D">
        <w:rPr>
          <w:rFonts w:ascii="Times New Roman" w:hAnsi="Times New Roman" w:cs="Times New Roman"/>
          <w:sz w:val="24"/>
          <w:szCs w:val="24"/>
        </w:rPr>
        <w:t xml:space="preserve">ensures sufficient capacity to meet the commodity flows </w:t>
      </w:r>
      <w:r w:rsidR="00D0274A" w:rsidRPr="0025159D">
        <w:rPr>
          <w:rFonts w:ascii="Times New Roman" w:hAnsi="Times New Roman" w:cs="Times New Roman"/>
          <w:sz w:val="24"/>
          <w:szCs w:val="24"/>
        </w:rPr>
        <w:t>in all time intervals</w:t>
      </w:r>
      <w:r w:rsidR="00FA16C5" w:rsidRPr="0025159D">
        <w:rPr>
          <w:rFonts w:ascii="Times New Roman" w:hAnsi="Times New Roman" w:cs="Times New Roman"/>
          <w:sz w:val="24"/>
          <w:szCs w:val="24"/>
        </w:rPr>
        <w:t xml:space="preserve">. Between processes, the </w:t>
      </w:r>
      <w:r w:rsidR="00FA16C5" w:rsidRPr="0025159D">
        <w:rPr>
          <w:rFonts w:ascii="Times New Roman" w:hAnsi="Times New Roman" w:cs="Times New Roman"/>
          <w:i/>
          <w:iCs/>
          <w:sz w:val="24"/>
          <w:szCs w:val="24"/>
        </w:rPr>
        <w:t>CommodityBalance_Constraint</w:t>
      </w:r>
      <w:r w:rsidR="00FA16C5" w:rsidRPr="0025159D">
        <w:rPr>
          <w:rFonts w:ascii="Times New Roman" w:hAnsi="Times New Roman" w:cs="Times New Roman"/>
          <w:sz w:val="24"/>
          <w:szCs w:val="24"/>
        </w:rPr>
        <w:t xml:space="preserve"> </w:t>
      </w:r>
      <w:r w:rsidR="00D0274A" w:rsidRPr="0025159D">
        <w:rPr>
          <w:rFonts w:ascii="Times New Roman" w:hAnsi="Times New Roman" w:cs="Times New Roman"/>
          <w:sz w:val="24"/>
          <w:szCs w:val="24"/>
        </w:rPr>
        <w:t xml:space="preserve">(Equation 3) </w:t>
      </w:r>
      <w:r w:rsidR="00FA16C5" w:rsidRPr="0025159D">
        <w:rPr>
          <w:rFonts w:ascii="Times New Roman" w:hAnsi="Times New Roman" w:cs="Times New Roman"/>
          <w:sz w:val="24"/>
          <w:szCs w:val="24"/>
        </w:rPr>
        <w:t xml:space="preserve">ensures that global commodity production across the energy system is sufficient to meet the endogenous demands for that commodity. Finally, the </w:t>
      </w:r>
      <w:r w:rsidR="00FA16C5" w:rsidRPr="0025159D">
        <w:rPr>
          <w:rFonts w:ascii="Times New Roman" w:hAnsi="Times New Roman" w:cs="Times New Roman"/>
          <w:i/>
          <w:iCs/>
          <w:sz w:val="24"/>
          <w:szCs w:val="24"/>
        </w:rPr>
        <w:t>objective function</w:t>
      </w:r>
      <w:r w:rsidR="00FA16C5" w:rsidRPr="0025159D">
        <w:rPr>
          <w:rFonts w:ascii="Times New Roman" w:hAnsi="Times New Roman" w:cs="Times New Roman"/>
          <w:sz w:val="24"/>
          <w:szCs w:val="24"/>
        </w:rPr>
        <w:t xml:space="preserve"> </w:t>
      </w:r>
      <w:r w:rsidR="00D0274A" w:rsidRPr="0025159D">
        <w:rPr>
          <w:rFonts w:ascii="Times New Roman" w:hAnsi="Times New Roman" w:cs="Times New Roman"/>
          <w:sz w:val="24"/>
          <w:szCs w:val="24"/>
        </w:rPr>
        <w:t xml:space="preserve">(Equation 4) </w:t>
      </w:r>
      <w:r w:rsidR="00FA16C5" w:rsidRPr="0025159D">
        <w:rPr>
          <w:rFonts w:ascii="Times New Roman" w:hAnsi="Times New Roman" w:cs="Times New Roman"/>
          <w:sz w:val="24"/>
          <w:szCs w:val="24"/>
        </w:rPr>
        <w:t>drives the model to minimize the system-wide cost of energy supply by optimizing the deployment and utilization of energy technologies across the system.</w:t>
      </w:r>
    </w:p>
    <w:p w14:paraId="1556C2AF" w14:textId="7645B54F" w:rsidR="00FA16C5" w:rsidRPr="0025159D" w:rsidRDefault="00FA16C5" w:rsidP="0003686F">
      <w:pPr>
        <w:rPr>
          <w:rFonts w:ascii="Times New Roman" w:hAnsi="Times New Roman" w:cs="Times New Roman"/>
          <w:i/>
          <w:iCs/>
          <w:sz w:val="24"/>
          <w:szCs w:val="24"/>
        </w:rPr>
      </w:pPr>
      <w:bookmarkStart w:id="4" w:name="_Hlk149733165"/>
      <w:r w:rsidRPr="0025159D">
        <w:rPr>
          <w:rFonts w:ascii="Times New Roman" w:hAnsi="Times New Roman" w:cs="Times New Roman"/>
          <w:i/>
          <w:iCs/>
          <w:sz w:val="24"/>
          <w:szCs w:val="24"/>
        </w:rPr>
        <w:t>Demand_Constrant:</w:t>
      </w:r>
    </w:p>
    <w:p w14:paraId="1B2E6603" w14:textId="74A08BA2" w:rsidR="00C86722" w:rsidRPr="0025159D" w:rsidRDefault="00FA16C5" w:rsidP="00D0274A">
      <w:pPr>
        <w:pStyle w:val="HTMLPreformatted"/>
        <w:keepNext/>
        <w:rPr>
          <w:rFonts w:ascii="Times New Roman" w:hAnsi="Times New Roman" w:cs="Times New Roman"/>
          <w:sz w:val="24"/>
          <w:szCs w:val="24"/>
        </w:rPr>
      </w:pPr>
      <w:r w:rsidRPr="0025159D">
        <w:rPr>
          <w:rStyle w:val="sd"/>
          <w:rFonts w:ascii="Times New Roman" w:hAnsi="Times New Roman" w:cs="Times New Roman"/>
          <w:sz w:val="24"/>
          <w:szCs w:val="24"/>
        </w:rPr>
        <w:t xml:space="preserve">       </w:t>
      </w:r>
      <m:oMath>
        <m:nary>
          <m:naryPr>
            <m:chr m:val="∑"/>
            <m:supHide m:val="1"/>
            <m:ctrlPr>
              <w:rPr>
                <w:rStyle w:val="sd"/>
                <w:rFonts w:ascii="Cambria Math" w:hAnsi="Cambria Math" w:cs="Times New Roman"/>
                <w:sz w:val="24"/>
                <w:szCs w:val="24"/>
              </w:rPr>
            </m:ctrlPr>
          </m:naryPr>
          <m:sub>
            <m:r>
              <w:rPr>
                <w:rStyle w:val="sd"/>
                <w:rFonts w:ascii="Cambria Math" w:hAnsi="Cambria Math" w:cs="Times New Roman"/>
                <w:sz w:val="24"/>
                <w:szCs w:val="24"/>
              </w:rPr>
              <m:t>I,T-</m:t>
            </m:r>
            <m:sSup>
              <m:sSupPr>
                <m:ctrlPr>
                  <w:rPr>
                    <w:rStyle w:val="sd"/>
                    <w:rFonts w:ascii="Cambria Math" w:hAnsi="Cambria Math" w:cs="Times New Roman"/>
                    <w:i/>
                    <w:sz w:val="24"/>
                    <w:szCs w:val="24"/>
                  </w:rPr>
                </m:ctrlPr>
              </m:sSupPr>
              <m:e>
                <m:r>
                  <w:rPr>
                    <w:rStyle w:val="sd"/>
                    <w:rFonts w:ascii="Cambria Math" w:hAnsi="Cambria Math" w:cs="Times New Roman"/>
                    <w:sz w:val="24"/>
                    <w:szCs w:val="24"/>
                  </w:rPr>
                  <m:t>T</m:t>
                </m:r>
              </m:e>
              <m:sup>
                <m:r>
                  <w:rPr>
                    <w:rStyle w:val="sd"/>
                    <w:rFonts w:ascii="Cambria Math" w:hAnsi="Cambria Math" w:cs="Times New Roman"/>
                    <w:sz w:val="24"/>
                    <w:szCs w:val="24"/>
                  </w:rPr>
                  <m:t>a</m:t>
                </m:r>
              </m:sup>
            </m:sSup>
            <m:r>
              <w:rPr>
                <w:rStyle w:val="sd"/>
                <w:rFonts w:ascii="Cambria Math" w:hAnsi="Cambria Math" w:cs="Times New Roman"/>
                <w:sz w:val="24"/>
                <w:szCs w:val="24"/>
              </w:rPr>
              <m:t>,V</m:t>
            </m:r>
            <m:ctrlPr>
              <w:rPr>
                <w:rStyle w:val="sd"/>
                <w:rFonts w:ascii="Cambria Math" w:hAnsi="Cambria Math" w:cs="Times New Roman"/>
                <w:i/>
                <w:sz w:val="24"/>
                <w:szCs w:val="24"/>
              </w:rPr>
            </m:ctrlPr>
          </m:sub>
          <m:sup>
            <m:ctrlPr>
              <w:rPr>
                <w:rStyle w:val="sd"/>
                <w:rFonts w:ascii="Cambria Math" w:hAnsi="Cambria Math" w:cs="Times New Roman"/>
                <w:i/>
                <w:sz w:val="24"/>
                <w:szCs w:val="24"/>
              </w:rPr>
            </m:ctrlPr>
          </m:sup>
          <m:e>
            <m:r>
              <w:rPr>
                <w:rStyle w:val="sd"/>
                <w:rFonts w:ascii="Cambria Math" w:hAnsi="Cambria Math" w:cs="Times New Roman"/>
                <w:sz w:val="24"/>
                <w:szCs w:val="24"/>
              </w:rPr>
              <m:t>F</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O</m:t>
                </m:r>
              </m:e>
              <m:sub>
                <m:r>
                  <w:rPr>
                    <w:rStyle w:val="sd"/>
                    <w:rFonts w:ascii="Cambria Math" w:hAnsi="Cambria Math" w:cs="Times New Roman"/>
                    <w:sz w:val="24"/>
                    <w:szCs w:val="24"/>
                  </w:rPr>
                  <m:t>r,p,s,d,i,t</m:t>
                </m:r>
              </m:sub>
            </m:sSub>
            <m:ctrlPr>
              <w:rPr>
                <w:rStyle w:val="sd"/>
                <w:rFonts w:ascii="Cambria Math" w:hAnsi="Cambria Math" w:cs="Times New Roman"/>
                <w:i/>
                <w:sz w:val="24"/>
                <w:szCs w:val="24"/>
              </w:rPr>
            </m:ctrlPr>
          </m:e>
        </m:nary>
        <m:r>
          <w:rPr>
            <w:rStyle w:val="sd"/>
            <w:rFonts w:ascii="Cambria Math" w:hAnsi="Cambria Math" w:cs="Times New Roman"/>
            <w:sz w:val="24"/>
            <w:szCs w:val="24"/>
          </w:rPr>
          <m:t>+SE</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G</m:t>
            </m:r>
          </m:e>
          <m:sub>
            <m:r>
              <w:rPr>
                <w:rStyle w:val="sd"/>
                <w:rFonts w:ascii="Cambria Math" w:hAnsi="Cambria Math" w:cs="Times New Roman"/>
                <w:sz w:val="24"/>
                <w:szCs w:val="24"/>
              </w:rPr>
              <m:t>s,d</m:t>
            </m:r>
          </m:sub>
        </m:sSub>
        <m:r>
          <m:rPr>
            <m:sty m:val="p"/>
          </m:rPr>
          <w:rPr>
            <w:rStyle w:val="sd"/>
            <w:rFonts w:ascii="Cambria Math" w:hAnsi="Cambria Math" w:cs="Times New Roman"/>
            <w:sz w:val="24"/>
            <w:szCs w:val="24"/>
          </w:rPr>
          <m:t>⋅</m:t>
        </m:r>
        <m:nary>
          <m:naryPr>
            <m:chr m:val="∑"/>
            <m:supHide m:val="1"/>
            <m:ctrlPr>
              <w:rPr>
                <w:rStyle w:val="sd"/>
                <w:rFonts w:ascii="Cambria Math" w:hAnsi="Cambria Math" w:cs="Times New Roman"/>
                <w:sz w:val="24"/>
                <w:szCs w:val="24"/>
              </w:rPr>
            </m:ctrlPr>
          </m:naryPr>
          <m:sub>
            <m:r>
              <w:rPr>
                <w:rStyle w:val="sd"/>
                <w:rFonts w:ascii="Cambria Math" w:hAnsi="Cambria Math" w:cs="Times New Roman"/>
                <w:sz w:val="24"/>
                <w:szCs w:val="24"/>
              </w:rPr>
              <m:t>I,</m:t>
            </m:r>
            <m:sSup>
              <m:sSupPr>
                <m:ctrlPr>
                  <w:rPr>
                    <w:rStyle w:val="sd"/>
                    <w:rFonts w:ascii="Cambria Math" w:hAnsi="Cambria Math" w:cs="Times New Roman"/>
                    <w:i/>
                    <w:sz w:val="24"/>
                    <w:szCs w:val="24"/>
                  </w:rPr>
                </m:ctrlPr>
              </m:sSupPr>
              <m:e>
                <m:r>
                  <w:rPr>
                    <w:rStyle w:val="sd"/>
                    <w:rFonts w:ascii="Cambria Math" w:hAnsi="Cambria Math" w:cs="Times New Roman"/>
                    <w:sz w:val="24"/>
                    <w:szCs w:val="24"/>
                  </w:rPr>
                  <m:t>T</m:t>
                </m:r>
              </m:e>
              <m:sup>
                <m:r>
                  <w:rPr>
                    <w:rStyle w:val="sd"/>
                    <w:rFonts w:ascii="Cambria Math" w:hAnsi="Cambria Math" w:cs="Times New Roman"/>
                    <w:sz w:val="24"/>
                    <w:szCs w:val="24"/>
                  </w:rPr>
                  <m:t>a</m:t>
                </m:r>
              </m:sup>
            </m:sSup>
            <m:r>
              <w:rPr>
                <w:rStyle w:val="sd"/>
                <w:rFonts w:ascii="Cambria Math" w:hAnsi="Cambria Math" w:cs="Times New Roman"/>
                <w:sz w:val="24"/>
                <w:szCs w:val="24"/>
              </w:rPr>
              <m:t>,V</m:t>
            </m:r>
            <m:ctrlPr>
              <w:rPr>
                <w:rStyle w:val="sd"/>
                <w:rFonts w:ascii="Cambria Math" w:hAnsi="Cambria Math" w:cs="Times New Roman"/>
                <w:i/>
                <w:sz w:val="24"/>
                <w:szCs w:val="24"/>
              </w:rPr>
            </m:ctrlPr>
          </m:sub>
          <m:sup>
            <m:ctrlPr>
              <w:rPr>
                <w:rStyle w:val="sd"/>
                <w:rFonts w:ascii="Cambria Math" w:hAnsi="Cambria Math" w:cs="Times New Roman"/>
                <w:i/>
                <w:sz w:val="24"/>
                <w:szCs w:val="24"/>
              </w:rPr>
            </m:ctrlPr>
          </m:sup>
          <m:e>
            <m:r>
              <w:rPr>
                <w:rStyle w:val="sd"/>
                <w:rFonts w:ascii="Cambria Math" w:hAnsi="Cambria Math" w:cs="Times New Roman"/>
                <w:sz w:val="24"/>
                <w:szCs w:val="24"/>
              </w:rPr>
              <m:t>FO</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A</m:t>
                </m:r>
              </m:e>
              <m:sub>
                <m:r>
                  <w:rPr>
                    <w:rStyle w:val="sd"/>
                    <w:rFonts w:ascii="Cambria Math" w:hAnsi="Cambria Math" w:cs="Times New Roman"/>
                    <w:sz w:val="24"/>
                    <w:szCs w:val="24"/>
                  </w:rPr>
                  <m:t>r,p,i,t</m:t>
                </m:r>
              </m:sub>
            </m:sSub>
            <m:ctrlPr>
              <w:rPr>
                <w:rStyle w:val="sd"/>
                <w:rFonts w:ascii="Cambria Math" w:hAnsi="Cambria Math" w:cs="Times New Roman"/>
                <w:i/>
                <w:sz w:val="24"/>
                <w:szCs w:val="24"/>
              </w:rPr>
            </m:ctrlPr>
          </m:e>
        </m:nary>
        <m:r>
          <w:rPr>
            <w:rStyle w:val="sd"/>
            <w:rFonts w:ascii="Cambria Math" w:hAnsi="Cambria Math" w:cs="Times New Roman"/>
            <w:sz w:val="24"/>
            <w:szCs w:val="24"/>
          </w:rPr>
          <m:t>=DE</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M</m:t>
            </m:r>
          </m:e>
          <m:sub>
            <m:r>
              <w:rPr>
                <w:rStyle w:val="sd"/>
                <w:rFonts w:ascii="Cambria Math" w:hAnsi="Cambria Math" w:cs="Times New Roman"/>
                <w:sz w:val="24"/>
                <w:szCs w:val="24"/>
              </w:rPr>
              <m:t>r,p,dem</m:t>
            </m:r>
          </m:sub>
        </m:sSub>
        <m:r>
          <m:rPr>
            <m:sty m:val="p"/>
          </m:rPr>
          <w:rPr>
            <w:rStyle w:val="sd"/>
            <w:rFonts w:ascii="Cambria Math" w:hAnsi="Cambria Math" w:cs="Times New Roman"/>
            <w:sz w:val="24"/>
            <w:szCs w:val="24"/>
          </w:rPr>
          <m:t>⋅</m:t>
        </m:r>
        <m:r>
          <w:rPr>
            <w:rStyle w:val="sd"/>
            <w:rFonts w:ascii="Cambria Math" w:hAnsi="Cambria Math" w:cs="Times New Roman"/>
            <w:sz w:val="24"/>
            <w:szCs w:val="24"/>
          </w:rPr>
          <m:t>DS</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D</m:t>
            </m:r>
          </m:e>
          <m:sub>
            <m:r>
              <w:rPr>
                <w:rStyle w:val="sd"/>
                <w:rFonts w:ascii="Cambria Math" w:hAnsi="Cambria Math" w:cs="Times New Roman"/>
                <w:sz w:val="24"/>
                <w:szCs w:val="24"/>
              </w:rPr>
              <m:t>r,s,d,dem</m:t>
            </m:r>
          </m:sub>
        </m:sSub>
      </m:oMath>
      <w:bookmarkEnd w:id="4"/>
    </w:p>
    <w:p w14:paraId="1EF3B627" w14:textId="7ADC5209" w:rsidR="00FA16C5" w:rsidRPr="0025159D" w:rsidRDefault="00C86722" w:rsidP="00D0274A">
      <w:pPr>
        <w:pStyle w:val="Caption"/>
        <w:jc w:val="right"/>
        <w:rPr>
          <w:rStyle w:val="sd"/>
          <w:rFonts w:ascii="Times New Roman" w:hAnsi="Times New Roman" w:cs="Times New Roman"/>
          <w:b/>
          <w:bCs/>
          <w:sz w:val="24"/>
          <w:szCs w:val="24"/>
        </w:rPr>
      </w:pPr>
      <w:bookmarkStart w:id="5" w:name="_Ref149831749"/>
      <w:r w:rsidRPr="0025159D">
        <w:rPr>
          <w:rFonts w:ascii="Times New Roman" w:hAnsi="Times New Roman" w:cs="Times New Roman"/>
          <w:b/>
          <w:bCs/>
          <w:i w:val="0"/>
          <w:iCs w:val="0"/>
          <w:color w:val="auto"/>
          <w:sz w:val="24"/>
          <w:szCs w:val="24"/>
        </w:rPr>
        <w:t xml:space="preserve">Equation </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Equation \* ARABIC </w:instrText>
      </w:r>
      <w:r w:rsidRPr="0025159D">
        <w:rPr>
          <w:rFonts w:ascii="Times New Roman" w:hAnsi="Times New Roman" w:cs="Times New Roman"/>
          <w:b/>
          <w:bCs/>
          <w:i w:val="0"/>
          <w:iCs w:val="0"/>
          <w:color w:val="auto"/>
          <w:sz w:val="24"/>
          <w:szCs w:val="24"/>
        </w:rPr>
        <w:fldChar w:fldCharType="separate"/>
      </w:r>
      <w:r w:rsidR="00E367B7" w:rsidRPr="0025159D">
        <w:rPr>
          <w:rFonts w:ascii="Times New Roman" w:hAnsi="Times New Roman" w:cs="Times New Roman"/>
          <w:b/>
          <w:bCs/>
          <w:i w:val="0"/>
          <w:iCs w:val="0"/>
          <w:noProof/>
          <w:color w:val="auto"/>
          <w:sz w:val="24"/>
          <w:szCs w:val="24"/>
        </w:rPr>
        <w:t>1</w:t>
      </w:r>
      <w:r w:rsidRPr="0025159D">
        <w:rPr>
          <w:rFonts w:ascii="Times New Roman" w:hAnsi="Times New Roman" w:cs="Times New Roman"/>
          <w:b/>
          <w:bCs/>
          <w:i w:val="0"/>
          <w:iCs w:val="0"/>
          <w:color w:val="auto"/>
          <w:sz w:val="24"/>
          <w:szCs w:val="24"/>
        </w:rPr>
        <w:fldChar w:fldCharType="end"/>
      </w:r>
      <w:bookmarkEnd w:id="5"/>
    </w:p>
    <w:p w14:paraId="3592E718" w14:textId="536D3011" w:rsidR="00A95B4B" w:rsidRPr="0025159D" w:rsidRDefault="00015C55" w:rsidP="00FA16C5">
      <w:pPr>
        <w:pStyle w:val="HTMLPreformatted"/>
        <w:rPr>
          <w:rStyle w:val="sd"/>
          <w:rFonts w:ascii="Times New Roman" w:hAnsi="Times New Roman" w:cs="Times New Roman"/>
          <w:sz w:val="24"/>
          <w:szCs w:val="24"/>
        </w:rPr>
      </w:pPr>
      <w:r w:rsidRPr="0025159D">
        <w:rPr>
          <w:rStyle w:val="sd"/>
          <w:rFonts w:ascii="Times New Roman" w:hAnsi="Times New Roman" w:cs="Times New Roman"/>
          <w:sz w:val="24"/>
          <w:szCs w:val="24"/>
        </w:rPr>
        <w:t>Where</w:t>
      </w:r>
      <w:r w:rsidR="00DE0121" w:rsidRPr="0025159D">
        <w:rPr>
          <w:rStyle w:val="sd"/>
          <w:rFonts w:ascii="Times New Roman" w:hAnsi="Times New Roman" w:cs="Times New Roman"/>
          <w:sz w:val="24"/>
          <w:szCs w:val="24"/>
        </w:rPr>
        <w:t xml:space="preserve"> </w:t>
      </w:r>
      <m:oMath>
        <m:r>
          <w:rPr>
            <w:rStyle w:val="sd"/>
            <w:rFonts w:ascii="Cambria Math" w:hAnsi="Cambria Math" w:cs="Times New Roman"/>
            <w:sz w:val="24"/>
            <w:szCs w:val="24"/>
          </w:rPr>
          <m:t>F</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O</m:t>
            </m:r>
          </m:e>
          <m:sub>
            <m:r>
              <w:rPr>
                <w:rStyle w:val="sd"/>
                <w:rFonts w:ascii="Cambria Math" w:hAnsi="Cambria Math" w:cs="Times New Roman"/>
                <w:sz w:val="24"/>
                <w:szCs w:val="24"/>
              </w:rPr>
              <m:t>r,p,s,d,i,t</m:t>
            </m:r>
          </m:sub>
        </m:sSub>
      </m:oMath>
      <w:r w:rsidR="00DE0121" w:rsidRPr="0025159D">
        <w:rPr>
          <w:rStyle w:val="sd"/>
          <w:rFonts w:ascii="Times New Roman" w:hAnsi="Times New Roman" w:cs="Times New Roman"/>
          <w:sz w:val="24"/>
          <w:szCs w:val="24"/>
        </w:rPr>
        <w:t xml:space="preserve"> is the commodity flow by time slice out of a tech</w:t>
      </w:r>
      <w:r w:rsidR="004E75A0">
        <w:rPr>
          <w:rStyle w:val="sd"/>
          <w:rFonts w:ascii="Times New Roman" w:hAnsi="Times New Roman" w:cs="Times New Roman"/>
          <w:sz w:val="24"/>
          <w:szCs w:val="24"/>
        </w:rPr>
        <w:t>nology</w:t>
      </w:r>
      <w:r w:rsidR="00DE0121" w:rsidRPr="0025159D">
        <w:rPr>
          <w:rStyle w:val="sd"/>
          <w:rFonts w:ascii="Times New Roman" w:hAnsi="Times New Roman" w:cs="Times New Roman"/>
          <w:sz w:val="24"/>
          <w:szCs w:val="24"/>
        </w:rPr>
        <w:t xml:space="preserve"> based on a given input, </w:t>
      </w:r>
      <m:oMath>
        <m:r>
          <w:rPr>
            <w:rStyle w:val="sd"/>
            <w:rFonts w:ascii="Cambria Math" w:hAnsi="Cambria Math" w:cs="Times New Roman"/>
            <w:sz w:val="24"/>
            <w:szCs w:val="24"/>
          </w:rPr>
          <m:t>SE</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G</m:t>
            </m:r>
          </m:e>
          <m:sub>
            <m:r>
              <w:rPr>
                <w:rStyle w:val="sd"/>
                <w:rFonts w:ascii="Cambria Math" w:hAnsi="Cambria Math" w:cs="Times New Roman"/>
                <w:sz w:val="24"/>
                <w:szCs w:val="24"/>
              </w:rPr>
              <m:t>s,d</m:t>
            </m:r>
          </m:sub>
        </m:sSub>
      </m:oMath>
      <w:r w:rsidR="00DE0121" w:rsidRPr="0025159D">
        <w:rPr>
          <w:rStyle w:val="sd"/>
          <w:rFonts w:ascii="Times New Roman" w:hAnsi="Times New Roman" w:cs="Times New Roman"/>
          <w:sz w:val="24"/>
          <w:szCs w:val="24"/>
        </w:rPr>
        <w:t xml:space="preserve"> is the fraction of year represented by each (season (s), day (d)) tuple, </w:t>
      </w:r>
      <m:oMath>
        <m:r>
          <w:rPr>
            <w:rStyle w:val="sd"/>
            <w:rFonts w:ascii="Cambria Math" w:hAnsi="Cambria Math" w:cs="Times New Roman"/>
            <w:sz w:val="24"/>
            <w:szCs w:val="24"/>
          </w:rPr>
          <m:t>FO</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A</m:t>
            </m:r>
          </m:e>
          <m:sub>
            <m:r>
              <w:rPr>
                <w:rStyle w:val="sd"/>
                <w:rFonts w:ascii="Cambria Math" w:hAnsi="Cambria Math" w:cs="Times New Roman"/>
                <w:sz w:val="24"/>
                <w:szCs w:val="24"/>
              </w:rPr>
              <m:t>r,p,i,t</m:t>
            </m:r>
          </m:sub>
        </m:sSub>
      </m:oMath>
      <w:r w:rsidR="00DE0121" w:rsidRPr="0025159D">
        <w:rPr>
          <w:rStyle w:val="sd"/>
          <w:rFonts w:ascii="Times New Roman" w:hAnsi="Times New Roman" w:cs="Times New Roman"/>
          <w:sz w:val="24"/>
          <w:szCs w:val="24"/>
        </w:rPr>
        <w:t xml:space="preserve"> is the annual commodity flow out of a tech</w:t>
      </w:r>
      <w:r w:rsidR="004E75A0">
        <w:rPr>
          <w:rStyle w:val="sd"/>
          <w:rFonts w:ascii="Times New Roman" w:hAnsi="Times New Roman" w:cs="Times New Roman"/>
          <w:sz w:val="24"/>
          <w:szCs w:val="24"/>
        </w:rPr>
        <w:t>nology</w:t>
      </w:r>
      <w:r w:rsidR="00DE0121" w:rsidRPr="0025159D">
        <w:rPr>
          <w:rStyle w:val="sd"/>
          <w:rFonts w:ascii="Times New Roman" w:hAnsi="Times New Roman" w:cs="Times New Roman"/>
          <w:sz w:val="24"/>
          <w:szCs w:val="24"/>
        </w:rPr>
        <w:t xml:space="preserve"> based on a given input, </w:t>
      </w:r>
      <m:oMath>
        <m:r>
          <w:rPr>
            <w:rStyle w:val="sd"/>
            <w:rFonts w:ascii="Cambria Math" w:hAnsi="Cambria Math" w:cs="Times New Roman"/>
            <w:sz w:val="24"/>
            <w:szCs w:val="24"/>
          </w:rPr>
          <m:t>DE</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M</m:t>
            </m:r>
          </m:e>
          <m:sub>
            <m:r>
              <w:rPr>
                <w:rStyle w:val="sd"/>
                <w:rFonts w:ascii="Cambria Math" w:hAnsi="Cambria Math" w:cs="Times New Roman"/>
                <w:sz w:val="24"/>
                <w:szCs w:val="24"/>
              </w:rPr>
              <m:t>r,p,dem</m:t>
            </m:r>
          </m:sub>
        </m:sSub>
      </m:oMath>
      <w:r w:rsidR="00DE0121" w:rsidRPr="0025159D">
        <w:rPr>
          <w:rFonts w:ascii="Times New Roman" w:hAnsi="Times New Roman" w:cs="Times New Roman"/>
          <w:sz w:val="24"/>
          <w:szCs w:val="24"/>
        </w:rPr>
        <w:t xml:space="preserve"> is the end-use demands, by period (p) and </w:t>
      </w:r>
      <m:oMath>
        <m:r>
          <w:rPr>
            <w:rStyle w:val="sd"/>
            <w:rFonts w:ascii="Cambria Math" w:hAnsi="Cambria Math" w:cs="Times New Roman"/>
            <w:sz w:val="24"/>
            <w:szCs w:val="24"/>
          </w:rPr>
          <m:t>DS</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D</m:t>
            </m:r>
          </m:e>
          <m:sub>
            <m:r>
              <w:rPr>
                <w:rStyle w:val="sd"/>
                <w:rFonts w:ascii="Cambria Math" w:hAnsi="Cambria Math" w:cs="Times New Roman"/>
                <w:sz w:val="24"/>
                <w:szCs w:val="24"/>
              </w:rPr>
              <m:t>r,s,d,dem</m:t>
            </m:r>
          </m:sub>
        </m:sSub>
      </m:oMath>
      <w:r w:rsidR="00DE0121" w:rsidRPr="0025159D">
        <w:rPr>
          <w:rStyle w:val="sd"/>
          <w:rFonts w:ascii="Times New Roman" w:hAnsi="Times New Roman" w:cs="Times New Roman"/>
          <w:sz w:val="24"/>
          <w:szCs w:val="24"/>
        </w:rPr>
        <w:t xml:space="preserve"> is the demand-specific distribution.</w:t>
      </w:r>
      <w:r w:rsidR="0005267E" w:rsidRPr="0025159D">
        <w:rPr>
          <w:rStyle w:val="sd"/>
          <w:rFonts w:ascii="Times New Roman" w:hAnsi="Times New Roman" w:cs="Times New Roman"/>
          <w:sz w:val="24"/>
          <w:szCs w:val="24"/>
        </w:rPr>
        <w:t xml:space="preserve"> </w:t>
      </w:r>
      <w:r w:rsidR="00A95B4B" w:rsidRPr="0025159D">
        <w:rPr>
          <w:rStyle w:val="sd"/>
          <w:rFonts w:ascii="Times New Roman" w:hAnsi="Times New Roman" w:cs="Times New Roman"/>
          <w:sz w:val="24"/>
          <w:szCs w:val="24"/>
        </w:rPr>
        <w:t xml:space="preserve">The subscripts </w:t>
      </w:r>
      <m:oMath>
        <m:r>
          <w:rPr>
            <w:rStyle w:val="sd"/>
            <w:rFonts w:ascii="Cambria Math" w:hAnsi="Cambria Math" w:cs="Times New Roman"/>
            <w:sz w:val="24"/>
            <w:szCs w:val="24"/>
          </w:rPr>
          <m:t>r,p,s,d,i,t, o</m:t>
        </m:r>
      </m:oMath>
      <w:r w:rsidR="00A95B4B" w:rsidRPr="0025159D">
        <w:rPr>
          <w:rStyle w:val="sd"/>
          <w:rFonts w:ascii="Times New Roman" w:hAnsi="Times New Roman" w:cs="Times New Roman"/>
          <w:sz w:val="24"/>
          <w:szCs w:val="24"/>
        </w:rPr>
        <w:t xml:space="preserve"> belong to sets defined on the regions in the model (</w:t>
      </w:r>
      <m:oMath>
        <m:r>
          <w:rPr>
            <w:rStyle w:val="sd"/>
            <w:rFonts w:ascii="Cambria Math" w:hAnsi="Cambria Math" w:cs="Times New Roman"/>
            <w:sz w:val="24"/>
            <w:szCs w:val="24"/>
          </w:rPr>
          <m:t>r</m:t>
        </m:r>
      </m:oMath>
      <w:r w:rsidR="00A95B4B" w:rsidRPr="0025159D">
        <w:rPr>
          <w:rStyle w:val="sd"/>
          <w:rFonts w:ascii="Times New Roman" w:hAnsi="Times New Roman" w:cs="Times New Roman"/>
          <w:sz w:val="24"/>
          <w:szCs w:val="24"/>
        </w:rPr>
        <w:t>), the time periods in the model (</w:t>
      </w:r>
      <m:oMath>
        <m:r>
          <w:rPr>
            <w:rStyle w:val="sd"/>
            <w:rFonts w:ascii="Cambria Math" w:hAnsi="Cambria Math" w:cs="Times New Roman"/>
            <w:sz w:val="24"/>
            <w:szCs w:val="24"/>
          </w:rPr>
          <m:t>p</m:t>
        </m:r>
      </m:oMath>
      <w:r w:rsidR="00A95B4B" w:rsidRPr="0025159D">
        <w:rPr>
          <w:rStyle w:val="sd"/>
          <w:rFonts w:ascii="Times New Roman" w:hAnsi="Times New Roman" w:cs="Times New Roman"/>
          <w:sz w:val="24"/>
          <w:szCs w:val="24"/>
        </w:rPr>
        <w:t>), the season (</w:t>
      </w:r>
      <m:oMath>
        <m:r>
          <w:rPr>
            <w:rStyle w:val="sd"/>
            <w:rFonts w:ascii="Cambria Math" w:hAnsi="Cambria Math" w:cs="Times New Roman"/>
            <w:sz w:val="24"/>
            <w:szCs w:val="24"/>
          </w:rPr>
          <m:t>s</m:t>
        </m:r>
      </m:oMath>
      <w:r w:rsidR="00A95B4B" w:rsidRPr="0025159D">
        <w:rPr>
          <w:rStyle w:val="sd"/>
          <w:rFonts w:ascii="Times New Roman" w:hAnsi="Times New Roman" w:cs="Times New Roman"/>
          <w:sz w:val="24"/>
          <w:szCs w:val="24"/>
        </w:rPr>
        <w:t>), time of day (</w:t>
      </w:r>
      <m:oMath>
        <m:r>
          <w:rPr>
            <w:rStyle w:val="sd"/>
            <w:rFonts w:ascii="Cambria Math" w:hAnsi="Cambria Math" w:cs="Times New Roman"/>
            <w:sz w:val="24"/>
            <w:szCs w:val="24"/>
          </w:rPr>
          <m:t>d</m:t>
        </m:r>
      </m:oMath>
      <w:r w:rsidR="00A95B4B" w:rsidRPr="0025159D">
        <w:rPr>
          <w:rStyle w:val="sd"/>
          <w:rFonts w:ascii="Times New Roman" w:hAnsi="Times New Roman" w:cs="Times New Roman"/>
          <w:sz w:val="24"/>
          <w:szCs w:val="24"/>
        </w:rPr>
        <w:t>), input commodity (</w:t>
      </w:r>
      <m:oMath>
        <m:r>
          <w:rPr>
            <w:rStyle w:val="sd"/>
            <w:rFonts w:ascii="Cambria Math" w:hAnsi="Cambria Math" w:cs="Times New Roman"/>
            <w:sz w:val="24"/>
            <w:szCs w:val="24"/>
          </w:rPr>
          <m:t>i</m:t>
        </m:r>
      </m:oMath>
      <w:r w:rsidR="00A95B4B" w:rsidRPr="0025159D">
        <w:rPr>
          <w:rStyle w:val="sd"/>
          <w:rFonts w:ascii="Times New Roman" w:hAnsi="Times New Roman" w:cs="Times New Roman"/>
          <w:sz w:val="24"/>
          <w:szCs w:val="24"/>
        </w:rPr>
        <w:t>), technology (</w:t>
      </w:r>
      <m:oMath>
        <m:r>
          <w:rPr>
            <w:rStyle w:val="sd"/>
            <w:rFonts w:ascii="Cambria Math" w:hAnsi="Cambria Math" w:cs="Times New Roman"/>
            <w:sz w:val="24"/>
            <w:szCs w:val="24"/>
          </w:rPr>
          <m:t>t</m:t>
        </m:r>
      </m:oMath>
      <w:r w:rsidR="00A95B4B" w:rsidRPr="0025159D">
        <w:rPr>
          <w:rStyle w:val="sd"/>
          <w:rFonts w:ascii="Times New Roman" w:hAnsi="Times New Roman" w:cs="Times New Roman"/>
          <w:sz w:val="24"/>
          <w:szCs w:val="24"/>
        </w:rPr>
        <w:t>) and output commodity (</w:t>
      </w:r>
      <m:oMath>
        <m:r>
          <w:rPr>
            <w:rStyle w:val="sd"/>
            <w:rFonts w:ascii="Cambria Math" w:hAnsi="Cambria Math" w:cs="Times New Roman"/>
            <w:sz w:val="24"/>
            <w:szCs w:val="24"/>
          </w:rPr>
          <m:t>o</m:t>
        </m:r>
      </m:oMath>
      <w:r w:rsidR="00A95B4B" w:rsidRPr="0025159D">
        <w:rPr>
          <w:rStyle w:val="sd"/>
          <w:rFonts w:ascii="Times New Roman" w:hAnsi="Times New Roman" w:cs="Times New Roman"/>
          <w:sz w:val="24"/>
          <w:szCs w:val="24"/>
        </w:rPr>
        <w:t>).</w:t>
      </w:r>
    </w:p>
    <w:p w14:paraId="1C181FF8" w14:textId="77777777" w:rsidR="00DE0121" w:rsidRPr="0025159D" w:rsidRDefault="00DE0121" w:rsidP="00FA16C5">
      <w:pPr>
        <w:pStyle w:val="HTMLPreformatted"/>
        <w:rPr>
          <w:rFonts w:ascii="Times New Roman" w:hAnsi="Times New Roman" w:cs="Times New Roman"/>
          <w:sz w:val="24"/>
          <w:szCs w:val="24"/>
        </w:rPr>
      </w:pPr>
    </w:p>
    <w:p w14:paraId="6D6112E3" w14:textId="401DC791" w:rsidR="00015C55" w:rsidRPr="0025159D" w:rsidRDefault="00015C55" w:rsidP="00015C55">
      <w:pPr>
        <w:rPr>
          <w:rFonts w:ascii="Times New Roman" w:hAnsi="Times New Roman" w:cs="Times New Roman"/>
          <w:i/>
          <w:iCs/>
          <w:sz w:val="24"/>
          <w:szCs w:val="24"/>
        </w:rPr>
      </w:pPr>
      <w:r w:rsidRPr="0025159D">
        <w:rPr>
          <w:rFonts w:ascii="Times New Roman" w:hAnsi="Times New Roman" w:cs="Times New Roman"/>
          <w:i/>
          <w:iCs/>
          <w:sz w:val="24"/>
          <w:szCs w:val="24"/>
        </w:rPr>
        <w:t>Capacity_Constraint:</w:t>
      </w:r>
    </w:p>
    <w:p w14:paraId="0D6B4EB3" w14:textId="4E19AA1B" w:rsidR="00015C55" w:rsidRPr="0025159D" w:rsidRDefault="00000000" w:rsidP="00D0274A">
      <w:pPr>
        <w:pStyle w:val="HTMLPreformatted"/>
        <w:keepNext/>
        <w:jc w:val="center"/>
        <w:rPr>
          <w:rFonts w:ascii="Cambria Math" w:hAnsi="Cambria Math" w:cs="Times New Roman"/>
          <w:sz w:val="24"/>
          <w:szCs w:val="24"/>
          <w:oMath/>
        </w:rPr>
      </w:pPr>
      <m:oMathPara>
        <m:oMathParaPr>
          <m:jc m:val="right"/>
        </m:oMathParaPr>
        <m:oMath>
          <m:d>
            <m:dPr>
              <m:ctrlPr>
                <w:rPr>
                  <w:rStyle w:val="sd"/>
                  <w:rFonts w:ascii="Cambria Math" w:hAnsi="Cambria Math" w:cs="Times New Roman"/>
                  <w:sz w:val="24"/>
                  <w:szCs w:val="24"/>
                </w:rPr>
              </m:ctrlPr>
            </m:dPr>
            <m:e>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CFP</m:t>
                  </m:r>
                  <m:ctrlPr>
                    <w:rPr>
                      <w:rStyle w:val="sd"/>
                      <w:rFonts w:ascii="Cambria Math" w:hAnsi="Cambria Math" w:cs="Times New Roman"/>
                      <w:sz w:val="24"/>
                      <w:szCs w:val="24"/>
                    </w:rPr>
                  </m:ctrlPr>
                </m:e>
                <m:sub>
                  <m:r>
                    <w:rPr>
                      <w:rStyle w:val="sd"/>
                      <w:rFonts w:ascii="Cambria Math" w:hAnsi="Cambria Math" w:cs="Times New Roman"/>
                      <w:sz w:val="24"/>
                      <w:szCs w:val="24"/>
                    </w:rPr>
                    <m:t>r,t,v</m:t>
                  </m:r>
                </m:sub>
              </m:sSub>
              <m:r>
                <m:rPr>
                  <m:sty m:val="p"/>
                </m:rPr>
                <w:rPr>
                  <w:rStyle w:val="sd"/>
                  <w:rFonts w:ascii="Cambria Math" w:hAnsi="Cambria Math" w:cs="Times New Roman"/>
                  <w:sz w:val="24"/>
                  <w:szCs w:val="24"/>
                </w:rPr>
                <m:t>⋅</m:t>
              </m:r>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C2A</m:t>
                  </m:r>
                  <m:ctrlPr>
                    <w:rPr>
                      <w:rStyle w:val="sd"/>
                      <w:rFonts w:ascii="Cambria Math" w:hAnsi="Cambria Math" w:cs="Times New Roman"/>
                      <w:sz w:val="24"/>
                      <w:szCs w:val="24"/>
                    </w:rPr>
                  </m:ctrlPr>
                </m:e>
                <m:sub>
                  <m:r>
                    <w:rPr>
                      <w:rStyle w:val="sd"/>
                      <w:rFonts w:ascii="Cambria Math" w:hAnsi="Cambria Math" w:cs="Times New Roman"/>
                      <w:sz w:val="24"/>
                      <w:szCs w:val="24"/>
                    </w:rPr>
                    <m:t>r,t</m:t>
                  </m:r>
                </m:sub>
              </m:sSub>
              <m:r>
                <m:rPr>
                  <m:sty m:val="p"/>
                </m:rPr>
                <w:rPr>
                  <w:rStyle w:val="sd"/>
                  <w:rFonts w:ascii="Cambria Math" w:hAnsi="Cambria Math" w:cs="Times New Roman"/>
                  <w:sz w:val="24"/>
                  <w:szCs w:val="24"/>
                </w:rPr>
                <m:t>⋅</m:t>
              </m:r>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SEG</m:t>
                  </m:r>
                  <m:ctrlPr>
                    <w:rPr>
                      <w:rStyle w:val="sd"/>
                      <w:rFonts w:ascii="Cambria Math" w:hAnsi="Cambria Math" w:cs="Times New Roman"/>
                      <w:sz w:val="24"/>
                      <w:szCs w:val="24"/>
                    </w:rPr>
                  </m:ctrlPr>
                </m:e>
                <m:sub>
                  <m:r>
                    <w:rPr>
                      <w:rStyle w:val="sd"/>
                      <w:rFonts w:ascii="Cambria Math" w:hAnsi="Cambria Math" w:cs="Times New Roman"/>
                      <w:sz w:val="24"/>
                      <w:szCs w:val="24"/>
                    </w:rPr>
                    <m:t>s,d</m:t>
                  </m:r>
                </m:sub>
              </m:sSub>
              <m:r>
                <m:rPr>
                  <m:sty m:val="p"/>
                </m:rPr>
                <w:rPr>
                  <w:rStyle w:val="sd"/>
                  <w:rFonts w:ascii="Cambria Math" w:hAnsi="Cambria Math" w:cs="Times New Roman"/>
                  <w:sz w:val="24"/>
                  <w:szCs w:val="24"/>
                </w:rPr>
                <m:t>⋅</m:t>
              </m:r>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PLF</m:t>
                  </m:r>
                  <m:ctrlPr>
                    <w:rPr>
                      <w:rStyle w:val="sd"/>
                      <w:rFonts w:ascii="Cambria Math" w:hAnsi="Cambria Math" w:cs="Times New Roman"/>
                      <w:sz w:val="24"/>
                      <w:szCs w:val="24"/>
                    </w:rPr>
                  </m:ctrlPr>
                </m:e>
                <m:sub>
                  <m:r>
                    <w:rPr>
                      <w:rStyle w:val="sd"/>
                      <w:rFonts w:ascii="Cambria Math" w:hAnsi="Cambria Math" w:cs="Times New Roman"/>
                      <w:sz w:val="24"/>
                      <w:szCs w:val="24"/>
                    </w:rPr>
                    <m:t>r,p,t,v</m:t>
                  </m:r>
                </m:sub>
              </m:sSub>
              <m:ctrlPr>
                <w:rPr>
                  <w:rStyle w:val="sd"/>
                  <w:rFonts w:ascii="Cambria Math" w:hAnsi="Cambria Math" w:cs="Times New Roman"/>
                  <w:i/>
                  <w:sz w:val="24"/>
                  <w:szCs w:val="24"/>
                </w:rPr>
              </m:ctrlPr>
            </m:e>
          </m:d>
          <m:r>
            <m:rPr>
              <m:sty m:val="p"/>
            </m:rPr>
            <w:rPr>
              <w:rStyle w:val="sd"/>
              <w:rFonts w:ascii="Cambria Math" w:hAnsi="Cambria Math" w:cs="Times New Roman"/>
              <w:sz w:val="24"/>
              <w:szCs w:val="24"/>
            </w:rPr>
            <m:t>⋅</m:t>
          </m:r>
          <m:r>
            <w:rPr>
              <w:rStyle w:val="sd"/>
              <w:rFonts w:ascii="Cambria Math" w:hAnsi="Cambria Math" w:cs="Times New Roman"/>
              <w:sz w:val="24"/>
              <w:szCs w:val="24"/>
            </w:rPr>
            <m:t>CA</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P</m:t>
              </m:r>
            </m:e>
            <m:sub>
              <m:r>
                <w:rPr>
                  <w:rStyle w:val="sd"/>
                  <w:rFonts w:ascii="Cambria Math" w:hAnsi="Cambria Math" w:cs="Times New Roman"/>
                  <w:sz w:val="24"/>
                  <w:szCs w:val="24"/>
                </w:rPr>
                <m:t>r,t,v</m:t>
              </m:r>
            </m:sub>
          </m:sSub>
          <m:r>
            <w:rPr>
              <w:rStyle w:val="sd"/>
              <w:rFonts w:ascii="Cambria Math" w:hAnsi="Cambria Math" w:cs="Times New Roman"/>
              <w:sz w:val="24"/>
              <w:szCs w:val="24"/>
            </w:rPr>
            <m:t>=</m:t>
          </m:r>
          <m:nary>
            <m:naryPr>
              <m:chr m:val="∑"/>
              <m:supHide m:val="1"/>
              <m:ctrlPr>
                <w:rPr>
                  <w:rStyle w:val="sd"/>
                  <w:rFonts w:ascii="Cambria Math" w:hAnsi="Cambria Math" w:cs="Times New Roman"/>
                  <w:sz w:val="24"/>
                  <w:szCs w:val="24"/>
                </w:rPr>
              </m:ctrlPr>
            </m:naryPr>
            <m:sub>
              <m:r>
                <w:rPr>
                  <w:rStyle w:val="sd"/>
                  <w:rFonts w:ascii="Cambria Math" w:hAnsi="Cambria Math" w:cs="Times New Roman"/>
                  <w:sz w:val="24"/>
                  <w:szCs w:val="24"/>
                </w:rPr>
                <m:t>I,O</m:t>
              </m:r>
              <m:ctrlPr>
                <w:rPr>
                  <w:rStyle w:val="sd"/>
                  <w:rFonts w:ascii="Cambria Math" w:hAnsi="Cambria Math" w:cs="Times New Roman"/>
                  <w:i/>
                  <w:sz w:val="24"/>
                  <w:szCs w:val="24"/>
                </w:rPr>
              </m:ctrlPr>
            </m:sub>
            <m:sup>
              <m:ctrlPr>
                <w:rPr>
                  <w:rStyle w:val="sd"/>
                  <w:rFonts w:ascii="Cambria Math" w:hAnsi="Cambria Math" w:cs="Times New Roman"/>
                  <w:i/>
                  <w:sz w:val="24"/>
                  <w:szCs w:val="24"/>
                </w:rPr>
              </m:ctrlPr>
            </m:sup>
            <m:e>
              <m:r>
                <w:rPr>
                  <w:rStyle w:val="sd"/>
                  <w:rFonts w:ascii="Cambria Math" w:hAnsi="Cambria Math" w:cs="Times New Roman"/>
                  <w:sz w:val="24"/>
                  <w:szCs w:val="24"/>
                </w:rPr>
                <m:t>F</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O</m:t>
                  </m:r>
                </m:e>
                <m:sub>
                  <m:r>
                    <w:rPr>
                      <w:rStyle w:val="sd"/>
                      <w:rFonts w:ascii="Cambria Math" w:hAnsi="Cambria Math" w:cs="Times New Roman"/>
                      <w:sz w:val="24"/>
                      <w:szCs w:val="24"/>
                    </w:rPr>
                    <m:t>r,p,s,d,i,t,v,o</m:t>
                  </m:r>
                </m:sub>
              </m:sSub>
              <m:ctrlPr>
                <w:rPr>
                  <w:rStyle w:val="sd"/>
                  <w:rFonts w:ascii="Cambria Math" w:hAnsi="Cambria Math" w:cs="Times New Roman"/>
                  <w:i/>
                  <w:sz w:val="24"/>
                  <w:szCs w:val="24"/>
                </w:rPr>
              </m:ctrlPr>
            </m:e>
          </m:nary>
          <m:r>
            <w:rPr>
              <w:rStyle w:val="sd"/>
              <w:rFonts w:ascii="Cambria Math" w:hAnsi="Cambria Math" w:cs="Times New Roman"/>
              <w:sz w:val="24"/>
              <w:szCs w:val="24"/>
            </w:rPr>
            <m:t>+</m:t>
          </m:r>
          <m:nary>
            <m:naryPr>
              <m:chr m:val="∑"/>
              <m:supHide m:val="1"/>
              <m:ctrlPr>
                <w:rPr>
                  <w:rStyle w:val="sd"/>
                  <w:rFonts w:ascii="Cambria Math" w:hAnsi="Cambria Math" w:cs="Times New Roman"/>
                  <w:sz w:val="24"/>
                  <w:szCs w:val="24"/>
                </w:rPr>
              </m:ctrlPr>
            </m:naryPr>
            <m:sub>
              <m:r>
                <w:rPr>
                  <w:rStyle w:val="sd"/>
                  <w:rFonts w:ascii="Cambria Math" w:hAnsi="Cambria Math" w:cs="Times New Roman"/>
                  <w:sz w:val="24"/>
                  <w:szCs w:val="24"/>
                </w:rPr>
                <m:t>I,O</m:t>
              </m:r>
              <m:ctrlPr>
                <w:rPr>
                  <w:rStyle w:val="sd"/>
                  <w:rFonts w:ascii="Cambria Math" w:hAnsi="Cambria Math" w:cs="Times New Roman"/>
                  <w:i/>
                  <w:sz w:val="24"/>
                  <w:szCs w:val="24"/>
                </w:rPr>
              </m:ctrlPr>
            </m:sub>
            <m:sup>
              <m:ctrlPr>
                <w:rPr>
                  <w:rStyle w:val="sd"/>
                  <w:rFonts w:ascii="Cambria Math" w:hAnsi="Cambria Math" w:cs="Times New Roman"/>
                  <w:i/>
                  <w:sz w:val="24"/>
                  <w:szCs w:val="24"/>
                </w:rPr>
              </m:ctrlPr>
            </m:sup>
            <m:e>
              <m:r>
                <w:rPr>
                  <w:rStyle w:val="sd"/>
                  <w:rFonts w:ascii="Cambria Math" w:hAnsi="Cambria Math" w:cs="Times New Roman"/>
                  <w:sz w:val="24"/>
                  <w:szCs w:val="24"/>
                </w:rPr>
                <m:t>CU</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R</m:t>
                  </m:r>
                </m:e>
                <m:sub>
                  <m:r>
                    <w:rPr>
                      <w:rStyle w:val="sd"/>
                      <w:rFonts w:ascii="Cambria Math" w:hAnsi="Cambria Math" w:cs="Times New Roman"/>
                      <w:sz w:val="24"/>
                      <w:szCs w:val="24"/>
                    </w:rPr>
                    <m:t>r,p,s,d,i,t,v,o</m:t>
                  </m:r>
                </m:sub>
              </m:sSub>
              <m:ctrlPr>
                <w:rPr>
                  <w:rStyle w:val="sd"/>
                  <w:rFonts w:ascii="Cambria Math" w:hAnsi="Cambria Math" w:cs="Times New Roman"/>
                  <w:i/>
                  <w:sz w:val="24"/>
                  <w:szCs w:val="24"/>
                </w:rPr>
              </m:ctrlPr>
            </m:e>
          </m:nary>
        </m:oMath>
      </m:oMathPara>
    </w:p>
    <w:p w14:paraId="40AF27A6" w14:textId="28DC5379" w:rsidR="004B372C" w:rsidRPr="0025159D" w:rsidRDefault="00C86722" w:rsidP="00C86722">
      <w:pPr>
        <w:pStyle w:val="Caption"/>
        <w:jc w:val="right"/>
        <w:rPr>
          <w:rFonts w:ascii="Times New Roman" w:hAnsi="Times New Roman" w:cs="Times New Roman"/>
          <w:b/>
          <w:bCs/>
          <w:i w:val="0"/>
          <w:iCs w:val="0"/>
          <w:color w:val="auto"/>
          <w:sz w:val="24"/>
          <w:szCs w:val="24"/>
        </w:rPr>
      </w:pPr>
      <w:bookmarkStart w:id="6" w:name="_Ref149832113"/>
      <w:r w:rsidRPr="0025159D">
        <w:rPr>
          <w:rFonts w:ascii="Times New Roman" w:hAnsi="Times New Roman" w:cs="Times New Roman"/>
          <w:b/>
          <w:bCs/>
          <w:i w:val="0"/>
          <w:iCs w:val="0"/>
          <w:color w:val="auto"/>
          <w:sz w:val="24"/>
          <w:szCs w:val="24"/>
        </w:rPr>
        <w:t xml:space="preserve">Equation </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Equation \* ARABIC </w:instrText>
      </w:r>
      <w:r w:rsidRPr="0025159D">
        <w:rPr>
          <w:rFonts w:ascii="Times New Roman" w:hAnsi="Times New Roman" w:cs="Times New Roman"/>
          <w:b/>
          <w:bCs/>
          <w:i w:val="0"/>
          <w:iCs w:val="0"/>
          <w:color w:val="auto"/>
          <w:sz w:val="24"/>
          <w:szCs w:val="24"/>
        </w:rPr>
        <w:fldChar w:fldCharType="separate"/>
      </w:r>
      <w:r w:rsidR="00E367B7" w:rsidRPr="0025159D">
        <w:rPr>
          <w:rFonts w:ascii="Times New Roman" w:hAnsi="Times New Roman" w:cs="Times New Roman"/>
          <w:b/>
          <w:bCs/>
          <w:i w:val="0"/>
          <w:iCs w:val="0"/>
          <w:noProof/>
          <w:color w:val="auto"/>
          <w:sz w:val="24"/>
          <w:szCs w:val="24"/>
        </w:rPr>
        <w:t>2</w:t>
      </w:r>
      <w:r w:rsidRPr="0025159D">
        <w:rPr>
          <w:rFonts w:ascii="Times New Roman" w:hAnsi="Times New Roman" w:cs="Times New Roman"/>
          <w:b/>
          <w:bCs/>
          <w:i w:val="0"/>
          <w:iCs w:val="0"/>
          <w:color w:val="auto"/>
          <w:sz w:val="24"/>
          <w:szCs w:val="24"/>
        </w:rPr>
        <w:fldChar w:fldCharType="end"/>
      </w:r>
      <w:bookmarkEnd w:id="6"/>
    </w:p>
    <w:p w14:paraId="778A4ED9" w14:textId="2E641C89" w:rsidR="00DE0121" w:rsidRPr="0025159D" w:rsidRDefault="00DE0121" w:rsidP="00E50835">
      <w:pPr>
        <w:pStyle w:val="HTMLPreformatted"/>
        <w:rPr>
          <w:rFonts w:ascii="Times New Roman" w:hAnsi="Times New Roman" w:cs="Times New Roman"/>
          <w:sz w:val="24"/>
          <w:szCs w:val="24"/>
        </w:rPr>
      </w:pPr>
      <w:r w:rsidRPr="0025159D">
        <w:rPr>
          <w:rStyle w:val="sd"/>
          <w:rFonts w:ascii="Times New Roman" w:hAnsi="Times New Roman" w:cs="Times New Roman"/>
          <w:sz w:val="24"/>
          <w:szCs w:val="24"/>
        </w:rPr>
        <w:t xml:space="preserve">Where </w:t>
      </w:r>
      <m:oMath>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CFP</m:t>
            </m:r>
            <m:ctrlPr>
              <w:rPr>
                <w:rStyle w:val="sd"/>
                <w:rFonts w:ascii="Cambria Math" w:hAnsi="Cambria Math" w:cs="Times New Roman"/>
                <w:sz w:val="24"/>
                <w:szCs w:val="24"/>
              </w:rPr>
            </m:ctrlPr>
          </m:e>
          <m:sub>
            <m:r>
              <w:rPr>
                <w:rStyle w:val="sd"/>
                <w:rFonts w:ascii="Cambria Math" w:hAnsi="Cambria Math" w:cs="Times New Roman"/>
                <w:sz w:val="24"/>
                <w:szCs w:val="24"/>
              </w:rPr>
              <m:t>r,t,v</m:t>
            </m:r>
          </m:sub>
        </m:sSub>
      </m:oMath>
      <w:r w:rsidRPr="0025159D">
        <w:rPr>
          <w:rStyle w:val="sd"/>
          <w:rFonts w:ascii="Times New Roman" w:hAnsi="Times New Roman" w:cs="Times New Roman"/>
          <w:sz w:val="24"/>
          <w:szCs w:val="24"/>
        </w:rPr>
        <w:t xml:space="preserve"> is the process-specific capacity factor, </w:t>
      </w:r>
      <m:oMath>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C2A</m:t>
            </m:r>
            <m:ctrlPr>
              <w:rPr>
                <w:rStyle w:val="sd"/>
                <w:rFonts w:ascii="Cambria Math" w:hAnsi="Cambria Math" w:cs="Times New Roman"/>
                <w:sz w:val="24"/>
                <w:szCs w:val="24"/>
              </w:rPr>
            </m:ctrlPr>
          </m:e>
          <m:sub>
            <m:r>
              <w:rPr>
                <w:rStyle w:val="sd"/>
                <w:rFonts w:ascii="Cambria Math" w:hAnsi="Cambria Math" w:cs="Times New Roman"/>
                <w:sz w:val="24"/>
                <w:szCs w:val="24"/>
              </w:rPr>
              <m:t>r,t</m:t>
            </m:r>
          </m:sub>
        </m:sSub>
      </m:oMath>
      <w:r w:rsidRPr="0025159D">
        <w:rPr>
          <w:rStyle w:val="sd"/>
          <w:rFonts w:ascii="Times New Roman" w:hAnsi="Times New Roman" w:cs="Times New Roman"/>
          <w:sz w:val="24"/>
          <w:szCs w:val="24"/>
        </w:rPr>
        <w:t xml:space="preserve"> converts from capacity to activity units, </w:t>
      </w:r>
      <m:oMath>
        <m:r>
          <w:rPr>
            <w:rStyle w:val="sd"/>
            <w:rFonts w:ascii="Cambria Math" w:hAnsi="Cambria Math" w:cs="Times New Roman"/>
            <w:sz w:val="24"/>
            <w:szCs w:val="24"/>
          </w:rPr>
          <m:t>SE</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G</m:t>
            </m:r>
          </m:e>
          <m:sub>
            <m:r>
              <w:rPr>
                <w:rStyle w:val="sd"/>
                <w:rFonts w:ascii="Cambria Math" w:hAnsi="Cambria Math" w:cs="Times New Roman"/>
                <w:sz w:val="24"/>
                <w:szCs w:val="24"/>
              </w:rPr>
              <m:t>s,d</m:t>
            </m:r>
          </m:sub>
        </m:sSub>
      </m:oMath>
      <w:r w:rsidRPr="0025159D">
        <w:rPr>
          <w:rStyle w:val="sd"/>
          <w:rFonts w:ascii="Times New Roman" w:hAnsi="Times New Roman" w:cs="Times New Roman"/>
          <w:sz w:val="24"/>
          <w:szCs w:val="24"/>
        </w:rPr>
        <w:t xml:space="preserve"> like in </w:t>
      </w:r>
      <w:r w:rsidRPr="0025159D">
        <w:rPr>
          <w:rStyle w:val="sd"/>
          <w:rFonts w:ascii="Times New Roman" w:hAnsi="Times New Roman" w:cs="Times New Roman"/>
          <w:sz w:val="24"/>
          <w:szCs w:val="24"/>
        </w:rPr>
        <w:fldChar w:fldCharType="begin"/>
      </w:r>
      <w:r w:rsidRPr="0025159D">
        <w:rPr>
          <w:rStyle w:val="sd"/>
          <w:rFonts w:ascii="Times New Roman" w:hAnsi="Times New Roman" w:cs="Times New Roman"/>
          <w:sz w:val="24"/>
          <w:szCs w:val="24"/>
        </w:rPr>
        <w:instrText xml:space="preserve"> REF _Ref149831749 \h  \* MERGEFORMAT </w:instrText>
      </w:r>
      <w:r w:rsidRPr="0025159D">
        <w:rPr>
          <w:rStyle w:val="sd"/>
          <w:rFonts w:ascii="Times New Roman" w:hAnsi="Times New Roman" w:cs="Times New Roman"/>
          <w:sz w:val="24"/>
          <w:szCs w:val="24"/>
        </w:rPr>
      </w:r>
      <w:r w:rsidRPr="0025159D">
        <w:rPr>
          <w:rStyle w:val="sd"/>
          <w:rFonts w:ascii="Times New Roman" w:hAnsi="Times New Roman" w:cs="Times New Roman"/>
          <w:sz w:val="24"/>
          <w:szCs w:val="24"/>
        </w:rPr>
        <w:fldChar w:fldCharType="separate"/>
      </w:r>
      <w:r w:rsidRPr="0025159D">
        <w:rPr>
          <w:rFonts w:ascii="Times New Roman" w:hAnsi="Times New Roman" w:cs="Times New Roman"/>
          <w:sz w:val="24"/>
          <w:szCs w:val="24"/>
        </w:rPr>
        <w:t xml:space="preserve">Equation </w:t>
      </w:r>
      <w:r w:rsidRPr="0025159D">
        <w:rPr>
          <w:rFonts w:ascii="Times New Roman" w:hAnsi="Times New Roman" w:cs="Times New Roman"/>
          <w:noProof/>
          <w:sz w:val="24"/>
          <w:szCs w:val="24"/>
        </w:rPr>
        <w:t>1</w:t>
      </w:r>
      <w:r w:rsidRPr="0025159D">
        <w:rPr>
          <w:rStyle w:val="sd"/>
          <w:rFonts w:ascii="Times New Roman" w:hAnsi="Times New Roman" w:cs="Times New Roman"/>
          <w:sz w:val="24"/>
          <w:szCs w:val="24"/>
        </w:rPr>
        <w:fldChar w:fldCharType="end"/>
      </w:r>
      <w:r w:rsidRPr="0025159D">
        <w:rPr>
          <w:rStyle w:val="sd"/>
          <w:rFonts w:ascii="Times New Roman" w:hAnsi="Times New Roman" w:cs="Times New Roman"/>
          <w:sz w:val="24"/>
          <w:szCs w:val="24"/>
        </w:rPr>
        <w:t xml:space="preserve"> is the fraction of year represented by each (season (s), day (d)) tuple, </w:t>
      </w:r>
      <m:oMath>
        <m:sSub>
          <m:sSubPr>
            <m:ctrlPr>
              <w:rPr>
                <w:rStyle w:val="sd"/>
                <w:rFonts w:ascii="Cambria Math" w:hAnsi="Cambria Math" w:cs="Times New Roman"/>
                <w:i/>
                <w:sz w:val="24"/>
                <w:szCs w:val="24"/>
              </w:rPr>
            </m:ctrlPr>
          </m:sSubPr>
          <m:e>
            <m:r>
              <m:rPr>
                <m:nor/>
              </m:rPr>
              <w:rPr>
                <w:rStyle w:val="sd"/>
                <w:rFonts w:ascii="Times New Roman" w:hAnsi="Times New Roman" w:cs="Times New Roman"/>
                <w:sz w:val="24"/>
                <w:szCs w:val="24"/>
              </w:rPr>
              <m:t>PLF</m:t>
            </m:r>
            <m:ctrlPr>
              <w:rPr>
                <w:rStyle w:val="sd"/>
                <w:rFonts w:ascii="Cambria Math" w:hAnsi="Cambria Math" w:cs="Times New Roman"/>
                <w:sz w:val="24"/>
                <w:szCs w:val="24"/>
              </w:rPr>
            </m:ctrlPr>
          </m:e>
          <m:sub>
            <m:r>
              <w:rPr>
                <w:rStyle w:val="sd"/>
                <w:rFonts w:ascii="Cambria Math" w:hAnsi="Cambria Math" w:cs="Times New Roman"/>
                <w:sz w:val="24"/>
                <w:szCs w:val="24"/>
              </w:rPr>
              <m:t>r,p,t,v</m:t>
            </m:r>
          </m:sub>
        </m:sSub>
      </m:oMath>
      <w:r w:rsidRPr="0025159D">
        <w:rPr>
          <w:rStyle w:val="sd"/>
          <w:rFonts w:ascii="Times New Roman" w:hAnsi="Times New Roman" w:cs="Times New Roman"/>
          <w:sz w:val="24"/>
          <w:szCs w:val="24"/>
        </w:rPr>
        <w:t xml:space="preserve"> is the </w:t>
      </w:r>
      <w:r w:rsidR="00E50835" w:rsidRPr="0025159D">
        <w:rPr>
          <w:rStyle w:val="sd"/>
          <w:rFonts w:ascii="Times New Roman" w:hAnsi="Times New Roman" w:cs="Times New Roman"/>
          <w:sz w:val="24"/>
          <w:szCs w:val="24"/>
        </w:rPr>
        <w:t xml:space="preserve">process life fraction active in a time period, </w:t>
      </w:r>
      <m:oMath>
        <m:r>
          <w:rPr>
            <w:rStyle w:val="sd"/>
            <w:rFonts w:ascii="Cambria Math" w:hAnsi="Cambria Math" w:cs="Times New Roman"/>
            <w:sz w:val="24"/>
            <w:szCs w:val="24"/>
          </w:rPr>
          <m:t>F</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O</m:t>
            </m:r>
          </m:e>
          <m:sub>
            <m:r>
              <w:rPr>
                <w:rStyle w:val="sd"/>
                <w:rFonts w:ascii="Cambria Math" w:hAnsi="Cambria Math" w:cs="Times New Roman"/>
                <w:sz w:val="24"/>
                <w:szCs w:val="24"/>
              </w:rPr>
              <m:t>r,p,s,d,i,t,v,o</m:t>
            </m:r>
          </m:sub>
        </m:sSub>
      </m:oMath>
      <w:r w:rsidR="00E50835" w:rsidRPr="0025159D">
        <w:rPr>
          <w:rStyle w:val="sd"/>
          <w:rFonts w:ascii="Times New Roman" w:hAnsi="Times New Roman" w:cs="Times New Roman"/>
          <w:sz w:val="24"/>
          <w:szCs w:val="24"/>
        </w:rPr>
        <w:t xml:space="preserve"> is defined in </w:t>
      </w:r>
      <w:r w:rsidR="00E50835" w:rsidRPr="0025159D">
        <w:rPr>
          <w:rFonts w:ascii="Times New Roman" w:hAnsi="Times New Roman" w:cs="Times New Roman"/>
          <w:sz w:val="24"/>
          <w:szCs w:val="24"/>
        </w:rPr>
        <w:fldChar w:fldCharType="begin"/>
      </w:r>
      <w:r w:rsidR="00E50835" w:rsidRPr="0025159D">
        <w:rPr>
          <w:rFonts w:ascii="Times New Roman" w:hAnsi="Times New Roman" w:cs="Times New Roman"/>
          <w:sz w:val="24"/>
          <w:szCs w:val="24"/>
        </w:rPr>
        <w:instrText xml:space="preserve"> REF _Ref149831749 \h  \* MERGEFORMAT </w:instrText>
      </w:r>
      <w:r w:rsidR="00E50835" w:rsidRPr="0025159D">
        <w:rPr>
          <w:rFonts w:ascii="Times New Roman" w:hAnsi="Times New Roman" w:cs="Times New Roman"/>
          <w:sz w:val="24"/>
          <w:szCs w:val="24"/>
        </w:rPr>
      </w:r>
      <w:r w:rsidR="00E50835" w:rsidRPr="0025159D">
        <w:rPr>
          <w:rFonts w:ascii="Times New Roman" w:hAnsi="Times New Roman" w:cs="Times New Roman"/>
          <w:sz w:val="24"/>
          <w:szCs w:val="24"/>
        </w:rPr>
        <w:fldChar w:fldCharType="separate"/>
      </w:r>
      <w:r w:rsidR="00E50835" w:rsidRPr="0025159D">
        <w:rPr>
          <w:rFonts w:ascii="Times New Roman" w:hAnsi="Times New Roman" w:cs="Times New Roman"/>
          <w:sz w:val="24"/>
          <w:szCs w:val="24"/>
        </w:rPr>
        <w:t>Equation 1</w:t>
      </w:r>
      <w:r w:rsidR="00E50835" w:rsidRPr="0025159D">
        <w:rPr>
          <w:rFonts w:ascii="Times New Roman" w:hAnsi="Times New Roman" w:cs="Times New Roman"/>
          <w:sz w:val="24"/>
          <w:szCs w:val="24"/>
        </w:rPr>
        <w:fldChar w:fldCharType="end"/>
      </w:r>
      <w:r w:rsidR="00E50835" w:rsidRPr="0025159D">
        <w:rPr>
          <w:rFonts w:ascii="Times New Roman" w:hAnsi="Times New Roman" w:cs="Times New Roman"/>
          <w:sz w:val="24"/>
          <w:szCs w:val="24"/>
        </w:rPr>
        <w:t xml:space="preserve"> and</w:t>
      </w:r>
      <w:r w:rsidR="00E50835" w:rsidRPr="0025159D">
        <w:rPr>
          <w:rStyle w:val="sd"/>
          <w:rFonts w:ascii="Times New Roman" w:hAnsi="Times New Roman" w:cs="Times New Roman"/>
          <w:sz w:val="24"/>
          <w:szCs w:val="24"/>
        </w:rPr>
        <w:t xml:space="preserve"> </w:t>
      </w:r>
      <m:oMath>
        <m:r>
          <w:rPr>
            <w:rStyle w:val="sd"/>
            <w:rFonts w:ascii="Cambria Math" w:hAnsi="Cambria Math" w:cs="Times New Roman"/>
            <w:sz w:val="24"/>
            <w:szCs w:val="24"/>
          </w:rPr>
          <m:t>CU</m:t>
        </m:r>
        <m:sSub>
          <m:sSubPr>
            <m:ctrlPr>
              <w:rPr>
                <w:rStyle w:val="sd"/>
                <w:rFonts w:ascii="Cambria Math" w:hAnsi="Cambria Math" w:cs="Times New Roman"/>
                <w:i/>
                <w:sz w:val="24"/>
                <w:szCs w:val="24"/>
              </w:rPr>
            </m:ctrlPr>
          </m:sSubPr>
          <m:e>
            <m:r>
              <w:rPr>
                <w:rStyle w:val="sd"/>
                <w:rFonts w:ascii="Cambria Math" w:hAnsi="Cambria Math" w:cs="Times New Roman"/>
                <w:sz w:val="24"/>
                <w:szCs w:val="24"/>
              </w:rPr>
              <m:t>R</m:t>
            </m:r>
          </m:e>
          <m:sub>
            <m:r>
              <w:rPr>
                <w:rStyle w:val="sd"/>
                <w:rFonts w:ascii="Cambria Math" w:hAnsi="Cambria Math" w:cs="Times New Roman"/>
                <w:sz w:val="24"/>
                <w:szCs w:val="24"/>
              </w:rPr>
              <m:t>r,p,s,d,i,t,v,o</m:t>
            </m:r>
          </m:sub>
        </m:sSub>
      </m:oMath>
      <w:r w:rsidR="00E50835" w:rsidRPr="0025159D">
        <w:rPr>
          <w:rStyle w:val="sd"/>
          <w:rFonts w:ascii="Times New Roman" w:hAnsi="Times New Roman" w:cs="Times New Roman"/>
          <w:sz w:val="24"/>
          <w:szCs w:val="24"/>
        </w:rPr>
        <w:t xml:space="preserve"> is the commodity flow out of a tech</w:t>
      </w:r>
      <w:r w:rsidR="00764387">
        <w:rPr>
          <w:rStyle w:val="sd"/>
          <w:rFonts w:ascii="Times New Roman" w:hAnsi="Times New Roman" w:cs="Times New Roman"/>
          <w:sz w:val="24"/>
          <w:szCs w:val="24"/>
        </w:rPr>
        <w:t>nology</w:t>
      </w:r>
      <w:r w:rsidR="00E50835" w:rsidRPr="0025159D">
        <w:rPr>
          <w:rStyle w:val="sd"/>
          <w:rFonts w:ascii="Times New Roman" w:hAnsi="Times New Roman" w:cs="Times New Roman"/>
          <w:sz w:val="24"/>
          <w:szCs w:val="24"/>
        </w:rPr>
        <w:t xml:space="preserve"> that is curtailed.</w:t>
      </w:r>
      <w:r w:rsidR="00E50835" w:rsidRPr="0025159D">
        <w:rPr>
          <w:rStyle w:val="sd"/>
          <w:rFonts w:ascii="Times New Roman" w:hAnsi="Times New Roman" w:cs="Times New Roman"/>
          <w:sz w:val="24"/>
          <w:szCs w:val="24"/>
        </w:rPr>
        <w:br/>
      </w:r>
    </w:p>
    <w:p w14:paraId="4276ABA1" w14:textId="19EDC6BA" w:rsidR="00015C55" w:rsidRPr="0025159D" w:rsidRDefault="004B372C" w:rsidP="00015C55">
      <w:pPr>
        <w:pStyle w:val="HTMLPreformatted"/>
        <w:rPr>
          <w:rFonts w:ascii="Times New Roman" w:hAnsi="Times New Roman" w:cs="Times New Roman"/>
          <w:i/>
          <w:iCs/>
          <w:sz w:val="24"/>
          <w:szCs w:val="24"/>
        </w:rPr>
      </w:pPr>
      <w:r w:rsidRPr="0025159D">
        <w:rPr>
          <w:rFonts w:ascii="Times New Roman" w:hAnsi="Times New Roman" w:cs="Times New Roman"/>
          <w:i/>
          <w:iCs/>
          <w:sz w:val="24"/>
          <w:szCs w:val="24"/>
        </w:rPr>
        <w:t>CommodityBalance_Constraint:</w:t>
      </w:r>
    </w:p>
    <w:p w14:paraId="56ED0F68" w14:textId="77777777" w:rsidR="004B372C" w:rsidRPr="0025159D" w:rsidRDefault="004B372C" w:rsidP="00015C55">
      <w:pPr>
        <w:pStyle w:val="HTMLPreformatted"/>
        <w:rPr>
          <w:rFonts w:ascii="Times New Roman" w:hAnsi="Times New Roman" w:cs="Times New Roman"/>
          <w:i/>
          <w:iCs/>
          <w:sz w:val="24"/>
          <w:szCs w:val="24"/>
        </w:rPr>
      </w:pPr>
    </w:p>
    <w:p w14:paraId="541D3F4F" w14:textId="499FA925" w:rsidR="004B372C" w:rsidRPr="0025159D" w:rsidRDefault="00000000" w:rsidP="00D0274A">
      <w:pPr>
        <w:pStyle w:val="HTMLPreformatted"/>
        <w:keepNext/>
        <w:rPr>
          <w:rFonts w:ascii="Times New Roman" w:hAnsi="Times New Roman" w:cs="Times New Roman"/>
          <w:sz w:val="24"/>
          <w:szCs w:val="24"/>
        </w:rPr>
      </w:pPr>
      <m:oMathPara>
        <m:oMathParaPr>
          <m:jc m:val="right"/>
        </m:oMathParaPr>
        <m:oMath>
          <m:d>
            <m:dPr>
              <m:ctrlPr>
                <w:rPr>
                  <w:rFonts w:ascii="Cambria Math" w:hAnsi="Cambria Math" w:cs="Times New Roman"/>
                  <w:sz w:val="24"/>
                  <w:szCs w:val="24"/>
                </w:rPr>
              </m:ctrlPr>
            </m:dPr>
            <m:e>
              <m:sSub>
                <m:sSubPr>
                  <m:ctrlPr>
                    <w:rPr>
                      <w:rFonts w:ascii="Cambria Math" w:hAnsi="Cambria Math" w:cs="Times New Roman"/>
                      <w:i/>
                      <w:sz w:val="24"/>
                      <w:szCs w:val="24"/>
                    </w:rPr>
                  </m:ctrlPr>
                </m:sSubPr>
                <m:e>
                  <m:r>
                    <m:rPr>
                      <m:nor/>
                    </m:rPr>
                    <w:rPr>
                      <w:rFonts w:ascii="Times New Roman" w:hAnsi="Times New Roman" w:cs="Times New Roman"/>
                      <w:sz w:val="24"/>
                      <w:szCs w:val="24"/>
                    </w:rPr>
                    <m:t>CFP</m:t>
                  </m:r>
                  <m:ctrlPr>
                    <w:rPr>
                      <w:rFonts w:ascii="Cambria Math" w:hAnsi="Cambria Math" w:cs="Times New Roman"/>
                      <w:sz w:val="24"/>
                      <w:szCs w:val="24"/>
                    </w:rPr>
                  </m:ctrlPr>
                </m:e>
                <m:sub>
                  <m:r>
                    <w:rPr>
                      <w:rFonts w:ascii="Cambria Math" w:hAnsi="Cambria Math" w:cs="Times New Roman"/>
                      <w:sz w:val="24"/>
                      <w:szCs w:val="24"/>
                    </w:rPr>
                    <m:t>r,t,v</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nor/>
                    </m:rPr>
                    <w:rPr>
                      <w:rFonts w:ascii="Times New Roman" w:hAnsi="Times New Roman" w:cs="Times New Roman"/>
                      <w:sz w:val="24"/>
                      <w:szCs w:val="24"/>
                    </w:rPr>
                    <m:t>C2A</m:t>
                  </m:r>
                  <m:ctrlPr>
                    <w:rPr>
                      <w:rFonts w:ascii="Cambria Math" w:hAnsi="Cambria Math" w:cs="Times New Roman"/>
                      <w:sz w:val="24"/>
                      <w:szCs w:val="24"/>
                    </w:rPr>
                  </m:ctrlPr>
                </m:e>
                <m:sub>
                  <m:r>
                    <w:rPr>
                      <w:rFonts w:ascii="Cambria Math" w:hAnsi="Cambria Math" w:cs="Times New Roman"/>
                      <w:sz w:val="24"/>
                      <w:szCs w:val="24"/>
                    </w:rPr>
                    <m:t>r,t</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nor/>
                    </m:rPr>
                    <w:rPr>
                      <w:rFonts w:ascii="Times New Roman" w:hAnsi="Times New Roman" w:cs="Times New Roman"/>
                      <w:sz w:val="24"/>
                      <w:szCs w:val="24"/>
                    </w:rPr>
                    <m:t>SEG</m:t>
                  </m:r>
                  <m:ctrlPr>
                    <w:rPr>
                      <w:rFonts w:ascii="Cambria Math" w:hAnsi="Cambria Math" w:cs="Times New Roman"/>
                      <w:sz w:val="24"/>
                      <w:szCs w:val="24"/>
                    </w:rPr>
                  </m:ctrlPr>
                </m:e>
                <m:sub>
                  <m:r>
                    <w:rPr>
                      <w:rFonts w:ascii="Cambria Math" w:hAnsi="Cambria Math" w:cs="Times New Roman"/>
                      <w:sz w:val="24"/>
                      <w:szCs w:val="24"/>
                    </w:rPr>
                    <m:t>s,d</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nor/>
                    </m:rPr>
                    <w:rPr>
                      <w:rFonts w:ascii="Times New Roman" w:hAnsi="Times New Roman" w:cs="Times New Roman"/>
                      <w:sz w:val="24"/>
                      <w:szCs w:val="24"/>
                    </w:rPr>
                    <m:t>PLF</m:t>
                  </m:r>
                  <m:ctrlPr>
                    <w:rPr>
                      <w:rFonts w:ascii="Cambria Math" w:hAnsi="Cambria Math" w:cs="Times New Roman"/>
                      <w:sz w:val="24"/>
                      <w:szCs w:val="24"/>
                    </w:rPr>
                  </m:ctrlPr>
                </m:e>
                <m:sub>
                  <m:r>
                    <w:rPr>
                      <w:rFonts w:ascii="Cambria Math" w:hAnsi="Cambria Math" w:cs="Times New Roman"/>
                      <w:sz w:val="24"/>
                      <w:szCs w:val="24"/>
                    </w:rPr>
                    <m:t>r,p,t,v</m:t>
                  </m:r>
                </m:sub>
              </m:sSub>
              <m:ctrlPr>
                <w:rPr>
                  <w:rFonts w:ascii="Cambria Math" w:hAnsi="Cambria Math" w:cs="Times New Roman"/>
                  <w:i/>
                  <w:sz w:val="24"/>
                  <w:szCs w:val="24"/>
                </w:rPr>
              </m:ctrlPr>
            </m:e>
          </m:d>
          <m:r>
            <m:rPr>
              <m:sty m:val="p"/>
            </m:rPr>
            <w:rPr>
              <w:rFonts w:ascii="Cambria Math" w:hAnsi="Cambria Math" w:cs="Times New Roman"/>
              <w:sz w:val="24"/>
              <w:szCs w:val="24"/>
            </w:rPr>
            <m:t>⋅</m:t>
          </m:r>
          <m:r>
            <w:rPr>
              <w:rFonts w:ascii="Cambria Math" w:hAnsi="Cambria Math" w:cs="Times New Roman"/>
              <w:sz w:val="24"/>
              <w:szCs w:val="24"/>
            </w:rPr>
            <m:t>CA</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r,t,v</m:t>
              </m:r>
            </m:sub>
          </m:sSub>
          <m:r>
            <w:rPr>
              <w:rFonts w:ascii="Cambria Math" w:hAnsi="Cambria Math" w:cs="Times New Roman"/>
              <w:sz w:val="24"/>
              <w:szCs w:val="24"/>
            </w:rPr>
            <m:t>=</m:t>
          </m:r>
          <m:nary>
            <m:naryPr>
              <m:chr m:val="∑"/>
              <m:supHide m:val="1"/>
              <m:ctrlPr>
                <w:rPr>
                  <w:rFonts w:ascii="Cambria Math" w:hAnsi="Cambria Math" w:cs="Times New Roman"/>
                  <w:sz w:val="24"/>
                  <w:szCs w:val="24"/>
                </w:rPr>
              </m:ctrlPr>
            </m:naryPr>
            <m:sub>
              <m:r>
                <w:rPr>
                  <w:rFonts w:ascii="Cambria Math" w:hAnsi="Cambria Math" w:cs="Times New Roman"/>
                  <w:sz w:val="24"/>
                  <w:szCs w:val="24"/>
                </w:rPr>
                <m:t>I,O</m:t>
              </m:r>
              <m:ctrlPr>
                <w:rPr>
                  <w:rFonts w:ascii="Cambria Math" w:hAnsi="Cambria Math" w:cs="Times New Roman"/>
                  <w:i/>
                  <w:sz w:val="24"/>
                  <w:szCs w:val="24"/>
                </w:rPr>
              </m:ctrlPr>
            </m:sub>
            <m:sup>
              <m:ctrlPr>
                <w:rPr>
                  <w:rFonts w:ascii="Cambria Math" w:hAnsi="Cambria Math" w:cs="Times New Roman"/>
                  <w:i/>
                  <w:sz w:val="24"/>
                  <w:szCs w:val="24"/>
                </w:rPr>
              </m:ctrlPr>
            </m:sup>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r,p,s,d,i,t,v,o</m:t>
                  </m:r>
                </m:sub>
              </m:sSub>
              <m:ctrlPr>
                <w:rPr>
                  <w:rFonts w:ascii="Cambria Math" w:hAnsi="Cambria Math" w:cs="Times New Roman"/>
                  <w:i/>
                  <w:sz w:val="24"/>
                  <w:szCs w:val="24"/>
                </w:rPr>
              </m:ctrlPr>
            </m:e>
          </m:nary>
          <m:r>
            <w:rPr>
              <w:rFonts w:ascii="Cambria Math" w:hAnsi="Cambria Math" w:cs="Times New Roman"/>
              <w:sz w:val="24"/>
              <w:szCs w:val="24"/>
            </w:rPr>
            <m:t>+</m:t>
          </m:r>
          <m:nary>
            <m:naryPr>
              <m:chr m:val="∑"/>
              <m:supHide m:val="1"/>
              <m:ctrlPr>
                <w:rPr>
                  <w:rFonts w:ascii="Cambria Math" w:hAnsi="Cambria Math" w:cs="Times New Roman"/>
                  <w:sz w:val="24"/>
                  <w:szCs w:val="24"/>
                </w:rPr>
              </m:ctrlPr>
            </m:naryPr>
            <m:sub>
              <m:r>
                <w:rPr>
                  <w:rFonts w:ascii="Cambria Math" w:hAnsi="Cambria Math" w:cs="Times New Roman"/>
                  <w:sz w:val="24"/>
                  <w:szCs w:val="24"/>
                </w:rPr>
                <m:t>I,O</m:t>
              </m:r>
              <m:ctrlPr>
                <w:rPr>
                  <w:rFonts w:ascii="Cambria Math" w:hAnsi="Cambria Math" w:cs="Times New Roman"/>
                  <w:i/>
                  <w:sz w:val="24"/>
                  <w:szCs w:val="24"/>
                </w:rPr>
              </m:ctrlPr>
            </m:sub>
            <m:sup>
              <m:ctrlPr>
                <w:rPr>
                  <w:rFonts w:ascii="Cambria Math" w:hAnsi="Cambria Math" w:cs="Times New Roman"/>
                  <w:i/>
                  <w:sz w:val="24"/>
                  <w:szCs w:val="24"/>
                </w:rPr>
              </m:ctrlPr>
            </m:sup>
            <m:e>
              <m:r>
                <w:rPr>
                  <w:rFonts w:ascii="Cambria Math" w:hAnsi="Cambria Math" w:cs="Times New Roman"/>
                  <w:sz w:val="24"/>
                  <w:szCs w:val="24"/>
                </w:rPr>
                <m:t>CU</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r,p,s,d,i,t,v,o</m:t>
                  </m:r>
                </m:sub>
              </m:sSub>
              <m:ctrlPr>
                <w:rPr>
                  <w:rFonts w:ascii="Cambria Math" w:hAnsi="Cambria Math" w:cs="Times New Roman"/>
                  <w:i/>
                  <w:sz w:val="24"/>
                  <w:szCs w:val="24"/>
                </w:rPr>
              </m:ctrlPr>
            </m:e>
          </m:nary>
        </m:oMath>
      </m:oMathPara>
    </w:p>
    <w:p w14:paraId="794CD2B3" w14:textId="4A18D634" w:rsidR="004B372C" w:rsidRPr="0025159D" w:rsidRDefault="00C86722" w:rsidP="00D0274A">
      <w:pPr>
        <w:pStyle w:val="Caption"/>
        <w:jc w:val="right"/>
        <w:rPr>
          <w:rFonts w:ascii="Times New Roman" w:hAnsi="Times New Roman" w:cs="Times New Roman"/>
          <w:b/>
          <w:bCs/>
          <w:sz w:val="24"/>
          <w:szCs w:val="24"/>
        </w:rPr>
      </w:pPr>
      <w:bookmarkStart w:id="7" w:name="_Ref149833557"/>
      <w:r w:rsidRPr="0025159D">
        <w:rPr>
          <w:rFonts w:ascii="Times New Roman" w:hAnsi="Times New Roman" w:cs="Times New Roman"/>
          <w:b/>
          <w:bCs/>
          <w:i w:val="0"/>
          <w:iCs w:val="0"/>
          <w:color w:val="auto"/>
          <w:sz w:val="24"/>
          <w:szCs w:val="24"/>
        </w:rPr>
        <w:t xml:space="preserve">Equation </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Equation \* ARABIC </w:instrText>
      </w:r>
      <w:r w:rsidRPr="0025159D">
        <w:rPr>
          <w:rFonts w:ascii="Times New Roman" w:hAnsi="Times New Roman" w:cs="Times New Roman"/>
          <w:b/>
          <w:bCs/>
          <w:i w:val="0"/>
          <w:iCs w:val="0"/>
          <w:color w:val="auto"/>
          <w:sz w:val="24"/>
          <w:szCs w:val="24"/>
        </w:rPr>
        <w:fldChar w:fldCharType="separate"/>
      </w:r>
      <w:r w:rsidR="00E367B7" w:rsidRPr="0025159D">
        <w:rPr>
          <w:rFonts w:ascii="Times New Roman" w:hAnsi="Times New Roman" w:cs="Times New Roman"/>
          <w:b/>
          <w:bCs/>
          <w:i w:val="0"/>
          <w:iCs w:val="0"/>
          <w:noProof/>
          <w:color w:val="auto"/>
          <w:sz w:val="24"/>
          <w:szCs w:val="24"/>
        </w:rPr>
        <w:t>3</w:t>
      </w:r>
      <w:r w:rsidRPr="0025159D">
        <w:rPr>
          <w:rFonts w:ascii="Times New Roman" w:hAnsi="Times New Roman" w:cs="Times New Roman"/>
          <w:b/>
          <w:bCs/>
          <w:i w:val="0"/>
          <w:iCs w:val="0"/>
          <w:color w:val="auto"/>
          <w:sz w:val="24"/>
          <w:szCs w:val="24"/>
        </w:rPr>
        <w:fldChar w:fldCharType="end"/>
      </w:r>
      <w:bookmarkEnd w:id="7"/>
    </w:p>
    <w:p w14:paraId="744C5BB9" w14:textId="1FBD9DB3" w:rsidR="00E50835" w:rsidRPr="0025159D" w:rsidRDefault="00E50835" w:rsidP="0003686F">
      <w:pPr>
        <w:rPr>
          <w:rFonts w:ascii="Times New Roman" w:hAnsi="Times New Roman" w:cs="Times New Roman"/>
          <w:sz w:val="24"/>
          <w:szCs w:val="24"/>
        </w:rPr>
      </w:pPr>
      <w:r w:rsidRPr="0025159D">
        <w:rPr>
          <w:rFonts w:ascii="Times New Roman" w:hAnsi="Times New Roman" w:cs="Times New Roman"/>
          <w:sz w:val="24"/>
          <w:szCs w:val="24"/>
        </w:rPr>
        <w:lastRenderedPageBreak/>
        <w:t xml:space="preserve">Where </w:t>
      </w:r>
      <m:oMath>
        <m:sSub>
          <m:sSubPr>
            <m:ctrlPr>
              <w:rPr>
                <w:rFonts w:ascii="Cambria Math" w:hAnsi="Cambria Math" w:cs="Times New Roman"/>
                <w:sz w:val="24"/>
                <w:szCs w:val="24"/>
              </w:rPr>
            </m:ctrlPr>
          </m:sSubPr>
          <m:e>
            <m:r>
              <m:rPr>
                <m:nor/>
              </m:rPr>
              <w:rPr>
                <w:rFonts w:ascii="Times New Roman" w:hAnsi="Times New Roman" w:cs="Times New Roman"/>
                <w:sz w:val="24"/>
                <w:szCs w:val="24"/>
              </w:rPr>
              <m:t>CFP</m:t>
            </m:r>
          </m:e>
          <m:sub>
            <m:r>
              <m:rPr>
                <m:sty m:val="p"/>
              </m:rPr>
              <w:rPr>
                <w:rFonts w:ascii="Cambria Math" w:hAnsi="Cambria Math" w:cs="Times New Roman"/>
                <w:sz w:val="24"/>
                <w:szCs w:val="24"/>
              </w:rPr>
              <m:t>r,t,v</m:t>
            </m:r>
          </m:sub>
        </m:sSub>
      </m:oMath>
      <w:r w:rsidRPr="0025159D">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m:rPr>
                <m:nor/>
              </m:rPr>
              <w:rPr>
                <w:rFonts w:ascii="Times New Roman" w:hAnsi="Times New Roman" w:cs="Times New Roman"/>
                <w:sz w:val="24"/>
                <w:szCs w:val="24"/>
              </w:rPr>
              <m:t>C2A</m:t>
            </m:r>
          </m:e>
          <m:sub>
            <m:r>
              <m:rPr>
                <m:sty m:val="p"/>
              </m:rPr>
              <w:rPr>
                <w:rFonts w:ascii="Cambria Math" w:hAnsi="Cambria Math" w:cs="Times New Roman"/>
                <w:sz w:val="24"/>
                <w:szCs w:val="24"/>
              </w:rPr>
              <m:t>r,t</m:t>
            </m:r>
          </m:sub>
        </m:sSub>
      </m:oMath>
      <w:r w:rsidRPr="0025159D">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m:rPr>
                <m:nor/>
              </m:rPr>
              <w:rPr>
                <w:rFonts w:ascii="Times New Roman" w:hAnsi="Times New Roman" w:cs="Times New Roman"/>
                <w:sz w:val="24"/>
                <w:szCs w:val="24"/>
              </w:rPr>
              <m:t>SEG</m:t>
            </m:r>
          </m:e>
          <m:sub>
            <m:r>
              <m:rPr>
                <m:sty m:val="p"/>
              </m:rPr>
              <w:rPr>
                <w:rFonts w:ascii="Cambria Math" w:hAnsi="Cambria Math" w:cs="Times New Roman"/>
                <w:sz w:val="24"/>
                <w:szCs w:val="24"/>
              </w:rPr>
              <m:t>s,d</m:t>
            </m:r>
          </m:sub>
        </m:sSub>
      </m:oMath>
      <w:r w:rsidRPr="0025159D">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m:rPr>
                <m:nor/>
              </m:rPr>
              <w:rPr>
                <w:rFonts w:ascii="Times New Roman" w:hAnsi="Times New Roman" w:cs="Times New Roman"/>
                <w:sz w:val="24"/>
                <w:szCs w:val="24"/>
              </w:rPr>
              <m:t>PLF</m:t>
            </m:r>
          </m:e>
          <m:sub>
            <m:r>
              <m:rPr>
                <m:sty m:val="p"/>
              </m:rPr>
              <w:rPr>
                <w:rFonts w:ascii="Cambria Math" w:hAnsi="Cambria Math" w:cs="Times New Roman"/>
                <w:sz w:val="24"/>
                <w:szCs w:val="24"/>
              </w:rPr>
              <m:t>r,p,t,v</m:t>
            </m:r>
          </m:sub>
        </m:sSub>
      </m:oMath>
      <w:r w:rsidRPr="0025159D">
        <w:rPr>
          <w:rFonts w:ascii="Times New Roman" w:eastAsiaTheme="minorEastAsia" w:hAnsi="Times New Roman" w:cs="Times New Roman"/>
          <w:sz w:val="24"/>
          <w:szCs w:val="24"/>
        </w:rPr>
        <w:t xml:space="preserve">, </w:t>
      </w:r>
      <m:oMath>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r,p,s,d,i,t,v,o</m:t>
            </m:r>
          </m:sub>
        </m:sSub>
      </m:oMath>
      <w:r w:rsidRPr="0025159D">
        <w:rPr>
          <w:rFonts w:ascii="Times New Roman" w:eastAsiaTheme="minorEastAsia" w:hAnsi="Times New Roman" w:cs="Times New Roman"/>
          <w:sz w:val="24"/>
          <w:szCs w:val="24"/>
        </w:rPr>
        <w:t xml:space="preserve"> and </w:t>
      </w:r>
      <m:oMath>
        <m:nary>
          <m:naryPr>
            <m:chr m:val="∑"/>
            <m:supHide m:val="1"/>
            <m:ctrlPr>
              <w:rPr>
                <w:rFonts w:ascii="Cambria Math" w:hAnsi="Cambria Math" w:cs="Times New Roman"/>
                <w:sz w:val="24"/>
                <w:szCs w:val="24"/>
              </w:rPr>
            </m:ctrlPr>
          </m:naryPr>
          <m:sub>
            <m:r>
              <w:rPr>
                <w:rFonts w:ascii="Cambria Math" w:hAnsi="Cambria Math" w:cs="Times New Roman"/>
                <w:sz w:val="24"/>
                <w:szCs w:val="24"/>
              </w:rPr>
              <m:t>I,O</m:t>
            </m:r>
            <m:ctrlPr>
              <w:rPr>
                <w:rFonts w:ascii="Cambria Math" w:hAnsi="Cambria Math" w:cs="Times New Roman"/>
                <w:i/>
                <w:sz w:val="24"/>
                <w:szCs w:val="24"/>
              </w:rPr>
            </m:ctrlPr>
          </m:sub>
          <m:sup>
            <m:ctrlPr>
              <w:rPr>
                <w:rFonts w:ascii="Cambria Math" w:hAnsi="Cambria Math" w:cs="Times New Roman"/>
                <w:i/>
                <w:sz w:val="24"/>
                <w:szCs w:val="24"/>
              </w:rPr>
            </m:ctrlPr>
          </m:sup>
          <m:e>
            <m:r>
              <w:rPr>
                <w:rFonts w:ascii="Cambria Math" w:hAnsi="Cambria Math" w:cs="Times New Roman"/>
                <w:sz w:val="24"/>
                <w:szCs w:val="24"/>
              </w:rPr>
              <m:t>CU</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r,p,s,d,i,t,v,o</m:t>
                </m:r>
              </m:sub>
            </m:sSub>
            <m:ctrlPr>
              <w:rPr>
                <w:rFonts w:ascii="Cambria Math" w:hAnsi="Cambria Math" w:cs="Times New Roman"/>
                <w:i/>
                <w:sz w:val="24"/>
                <w:szCs w:val="24"/>
              </w:rPr>
            </m:ctrlPr>
          </m:e>
        </m:nary>
      </m:oMath>
      <w:r w:rsidRPr="0025159D">
        <w:rPr>
          <w:rFonts w:ascii="Times New Roman" w:eastAsiaTheme="minorEastAsia" w:hAnsi="Times New Roman" w:cs="Times New Roman"/>
          <w:sz w:val="24"/>
          <w:szCs w:val="24"/>
        </w:rPr>
        <w:t xml:space="preserve"> have been defined above in </w:t>
      </w:r>
      <w:r w:rsidRPr="0025159D">
        <w:rPr>
          <w:rFonts w:ascii="Times New Roman" w:eastAsiaTheme="minorEastAsia" w:hAnsi="Times New Roman" w:cs="Times New Roman"/>
          <w:sz w:val="24"/>
          <w:szCs w:val="24"/>
        </w:rPr>
        <w:fldChar w:fldCharType="begin"/>
      </w:r>
      <w:r w:rsidRPr="0025159D">
        <w:rPr>
          <w:rFonts w:ascii="Times New Roman" w:eastAsiaTheme="minorEastAsia" w:hAnsi="Times New Roman" w:cs="Times New Roman"/>
          <w:sz w:val="24"/>
          <w:szCs w:val="24"/>
        </w:rPr>
        <w:instrText xml:space="preserve"> REF _Ref149831749 \h  \* MERGEFORMAT </w:instrText>
      </w:r>
      <w:r w:rsidRPr="0025159D">
        <w:rPr>
          <w:rFonts w:ascii="Times New Roman" w:eastAsiaTheme="minorEastAsia" w:hAnsi="Times New Roman" w:cs="Times New Roman"/>
          <w:sz w:val="24"/>
          <w:szCs w:val="24"/>
        </w:rPr>
      </w:r>
      <w:r w:rsidRPr="0025159D">
        <w:rPr>
          <w:rFonts w:ascii="Times New Roman" w:eastAsiaTheme="minorEastAsia" w:hAnsi="Times New Roman" w:cs="Times New Roman"/>
          <w:sz w:val="24"/>
          <w:szCs w:val="24"/>
        </w:rPr>
        <w:fldChar w:fldCharType="separate"/>
      </w:r>
      <w:r w:rsidRPr="0025159D">
        <w:rPr>
          <w:rFonts w:ascii="Times New Roman" w:hAnsi="Times New Roman" w:cs="Times New Roman"/>
          <w:sz w:val="24"/>
          <w:szCs w:val="24"/>
        </w:rPr>
        <w:t xml:space="preserve">Equation </w:t>
      </w:r>
      <w:r w:rsidRPr="0025159D">
        <w:rPr>
          <w:rFonts w:ascii="Times New Roman" w:hAnsi="Times New Roman" w:cs="Times New Roman"/>
          <w:noProof/>
          <w:sz w:val="24"/>
          <w:szCs w:val="24"/>
        </w:rPr>
        <w:t>1</w:t>
      </w:r>
      <w:r w:rsidRPr="0025159D">
        <w:rPr>
          <w:rFonts w:ascii="Times New Roman" w:eastAsiaTheme="minorEastAsia" w:hAnsi="Times New Roman" w:cs="Times New Roman"/>
          <w:sz w:val="24"/>
          <w:szCs w:val="24"/>
        </w:rPr>
        <w:fldChar w:fldCharType="end"/>
      </w:r>
      <w:r w:rsidRPr="0025159D">
        <w:rPr>
          <w:rFonts w:ascii="Times New Roman" w:eastAsiaTheme="minorEastAsia" w:hAnsi="Times New Roman" w:cs="Times New Roman"/>
          <w:sz w:val="24"/>
          <w:szCs w:val="24"/>
        </w:rPr>
        <w:t xml:space="preserve"> and </w:t>
      </w:r>
      <w:r w:rsidRPr="0025159D">
        <w:rPr>
          <w:rFonts w:ascii="Times New Roman" w:eastAsiaTheme="minorEastAsia" w:hAnsi="Times New Roman" w:cs="Times New Roman"/>
          <w:sz w:val="24"/>
          <w:szCs w:val="24"/>
        </w:rPr>
        <w:fldChar w:fldCharType="begin"/>
      </w:r>
      <w:r w:rsidRPr="0025159D">
        <w:rPr>
          <w:rFonts w:ascii="Times New Roman" w:eastAsiaTheme="minorEastAsia" w:hAnsi="Times New Roman" w:cs="Times New Roman"/>
          <w:sz w:val="24"/>
          <w:szCs w:val="24"/>
        </w:rPr>
        <w:instrText xml:space="preserve"> REF _Ref149832113 \h  \* MERGEFORMAT </w:instrText>
      </w:r>
      <w:r w:rsidRPr="0025159D">
        <w:rPr>
          <w:rFonts w:ascii="Times New Roman" w:eastAsiaTheme="minorEastAsia" w:hAnsi="Times New Roman" w:cs="Times New Roman"/>
          <w:sz w:val="24"/>
          <w:szCs w:val="24"/>
        </w:rPr>
      </w:r>
      <w:r w:rsidRPr="0025159D">
        <w:rPr>
          <w:rFonts w:ascii="Times New Roman" w:eastAsiaTheme="minorEastAsia" w:hAnsi="Times New Roman" w:cs="Times New Roman"/>
          <w:sz w:val="24"/>
          <w:szCs w:val="24"/>
        </w:rPr>
        <w:fldChar w:fldCharType="separate"/>
      </w:r>
      <w:r w:rsidRPr="0025159D">
        <w:rPr>
          <w:rFonts w:ascii="Times New Roman" w:hAnsi="Times New Roman" w:cs="Times New Roman"/>
          <w:sz w:val="24"/>
          <w:szCs w:val="24"/>
        </w:rPr>
        <w:t xml:space="preserve">Equation </w:t>
      </w:r>
      <w:r w:rsidRPr="0025159D">
        <w:rPr>
          <w:rFonts w:ascii="Times New Roman" w:hAnsi="Times New Roman" w:cs="Times New Roman"/>
          <w:noProof/>
          <w:sz w:val="24"/>
          <w:szCs w:val="24"/>
        </w:rPr>
        <w:t>2</w:t>
      </w:r>
      <w:r w:rsidRPr="0025159D">
        <w:rPr>
          <w:rFonts w:ascii="Times New Roman" w:eastAsiaTheme="minorEastAsia" w:hAnsi="Times New Roman" w:cs="Times New Roman"/>
          <w:sz w:val="24"/>
          <w:szCs w:val="24"/>
        </w:rPr>
        <w:fldChar w:fldCharType="end"/>
      </w:r>
      <w:r w:rsidRPr="0025159D">
        <w:rPr>
          <w:rFonts w:ascii="Times New Roman" w:eastAsiaTheme="minorEastAsia" w:hAnsi="Times New Roman" w:cs="Times New Roman"/>
          <w:sz w:val="24"/>
          <w:szCs w:val="24"/>
        </w:rPr>
        <w:t xml:space="preserve">. </w:t>
      </w:r>
      <m:oMath>
        <m:r>
          <w:rPr>
            <w:rFonts w:ascii="Cambria Math" w:hAnsi="Cambria Math" w:cs="Times New Roman"/>
            <w:sz w:val="24"/>
            <w:szCs w:val="24"/>
          </w:rPr>
          <m:t>CA</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r,t,v</m:t>
            </m:r>
          </m:sub>
        </m:sSub>
      </m:oMath>
      <w:r w:rsidRPr="0025159D">
        <w:rPr>
          <w:rFonts w:ascii="Times New Roman" w:eastAsiaTheme="minorEastAsia" w:hAnsi="Times New Roman" w:cs="Times New Roman"/>
          <w:sz w:val="24"/>
          <w:szCs w:val="24"/>
        </w:rPr>
        <w:t xml:space="preserve"> refers to the required tech capacity to support associated activity.</w:t>
      </w:r>
    </w:p>
    <w:p w14:paraId="5F682538" w14:textId="1D84375B" w:rsidR="00FA16C5" w:rsidRPr="0025159D" w:rsidRDefault="004B372C" w:rsidP="0003686F">
      <w:pPr>
        <w:rPr>
          <w:rFonts w:ascii="Times New Roman" w:hAnsi="Times New Roman" w:cs="Times New Roman"/>
          <w:i/>
          <w:iCs/>
          <w:sz w:val="24"/>
          <w:szCs w:val="24"/>
        </w:rPr>
      </w:pPr>
      <w:r w:rsidRPr="0025159D">
        <w:rPr>
          <w:rFonts w:ascii="Times New Roman" w:hAnsi="Times New Roman" w:cs="Times New Roman"/>
          <w:i/>
          <w:iCs/>
          <w:sz w:val="24"/>
          <w:szCs w:val="24"/>
        </w:rPr>
        <w:t>Objective Function:</w:t>
      </w:r>
    </w:p>
    <w:p w14:paraId="22332E76" w14:textId="4CC81C4D" w:rsidR="00E50835" w:rsidRPr="0025159D" w:rsidRDefault="00000000" w:rsidP="00D0274A">
      <w:pPr>
        <w:keepNext/>
        <w:rPr>
          <w:rFonts w:ascii="Times New Roman" w:eastAsiaTheme="minorEastAsia" w:hAnsi="Times New Roman" w:cs="Times New Roman"/>
          <w:i/>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Min C</m:t>
              </m:r>
            </m:e>
            <m:sub>
              <m:r>
                <w:rPr>
                  <w:rFonts w:ascii="Cambria Math" w:hAnsi="Cambria Math" w:cs="Times New Roman"/>
                  <w:sz w:val="24"/>
                  <w:szCs w:val="24"/>
                </w:rPr>
                <m:t>tot</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Min (C</m:t>
              </m:r>
            </m:e>
            <m:sub>
              <m:r>
                <w:rPr>
                  <w:rFonts w:ascii="Cambria Math" w:hAnsi="Cambria Math" w:cs="Times New Roman"/>
                  <w:sz w:val="24"/>
                  <w:szCs w:val="24"/>
                </w:rPr>
                <m:t>loans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fixed</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variable</m:t>
              </m:r>
            </m:sub>
          </m:sSub>
          <m:r>
            <w:rPr>
              <w:rFonts w:ascii="Cambria Math" w:hAnsi="Cambria Math" w:cs="Times New Roman"/>
              <w:sz w:val="24"/>
              <w:szCs w:val="24"/>
            </w:rPr>
            <m:t>)</m:t>
          </m:r>
        </m:oMath>
      </m:oMathPara>
    </w:p>
    <w:p w14:paraId="093A8067" w14:textId="63E2BB8E" w:rsidR="00C86722" w:rsidRPr="0025159D" w:rsidRDefault="00C86722" w:rsidP="00C86722">
      <w:pPr>
        <w:pStyle w:val="Caption"/>
        <w:jc w:val="right"/>
        <w:rPr>
          <w:rFonts w:ascii="Times New Roman" w:hAnsi="Times New Roman" w:cs="Times New Roman"/>
          <w:b/>
          <w:bCs/>
          <w:i w:val="0"/>
          <w:iCs w:val="0"/>
          <w:color w:val="auto"/>
          <w:sz w:val="24"/>
          <w:szCs w:val="24"/>
        </w:rPr>
      </w:pPr>
      <w:r w:rsidRPr="0025159D">
        <w:rPr>
          <w:rFonts w:ascii="Times New Roman" w:hAnsi="Times New Roman" w:cs="Times New Roman"/>
          <w:b/>
          <w:bCs/>
          <w:i w:val="0"/>
          <w:iCs w:val="0"/>
          <w:color w:val="auto"/>
          <w:sz w:val="24"/>
          <w:szCs w:val="24"/>
        </w:rPr>
        <w:t xml:space="preserve">Equation </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Equation \* ARABIC </w:instrText>
      </w:r>
      <w:r w:rsidRPr="0025159D">
        <w:rPr>
          <w:rFonts w:ascii="Times New Roman" w:hAnsi="Times New Roman" w:cs="Times New Roman"/>
          <w:b/>
          <w:bCs/>
          <w:i w:val="0"/>
          <w:iCs w:val="0"/>
          <w:color w:val="auto"/>
          <w:sz w:val="24"/>
          <w:szCs w:val="24"/>
        </w:rPr>
        <w:fldChar w:fldCharType="separate"/>
      </w:r>
      <w:r w:rsidR="00E367B7" w:rsidRPr="0025159D">
        <w:rPr>
          <w:rFonts w:ascii="Times New Roman" w:hAnsi="Times New Roman" w:cs="Times New Roman"/>
          <w:b/>
          <w:bCs/>
          <w:i w:val="0"/>
          <w:iCs w:val="0"/>
          <w:noProof/>
          <w:color w:val="auto"/>
          <w:sz w:val="24"/>
          <w:szCs w:val="24"/>
        </w:rPr>
        <w:t>4</w:t>
      </w:r>
      <w:r w:rsidRPr="0025159D">
        <w:rPr>
          <w:rFonts w:ascii="Times New Roman" w:hAnsi="Times New Roman" w:cs="Times New Roman"/>
          <w:b/>
          <w:bCs/>
          <w:i w:val="0"/>
          <w:iCs w:val="0"/>
          <w:color w:val="auto"/>
          <w:sz w:val="24"/>
          <w:szCs w:val="24"/>
        </w:rPr>
        <w:fldChar w:fldCharType="end"/>
      </w:r>
    </w:p>
    <w:p w14:paraId="6C2408A9" w14:textId="248439AE" w:rsidR="00E50835" w:rsidRPr="0025159D" w:rsidRDefault="00E50835" w:rsidP="00D0274A">
      <w:pPr>
        <w:rPr>
          <w:rFonts w:ascii="Times New Roman" w:hAnsi="Times New Roman" w:cs="Times New Roman"/>
          <w:sz w:val="24"/>
          <w:szCs w:val="24"/>
        </w:rPr>
      </w:pPr>
      <w:r w:rsidRPr="0025159D">
        <w:rPr>
          <w:rFonts w:ascii="Times New Roman" w:eastAsiaTheme="minorEastAsia" w:hAnsi="Times New Roman" w:cs="Times New Roman"/>
          <w:sz w:val="24"/>
          <w:szCs w:val="24"/>
        </w:rPr>
        <w:t xml:space="preserve">Where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tot</m:t>
            </m:r>
          </m:sub>
        </m:sSub>
      </m:oMath>
      <w:r w:rsidRPr="0025159D">
        <w:rPr>
          <w:rFonts w:ascii="Times New Roman" w:eastAsiaTheme="minorEastAsia" w:hAnsi="Times New Roman" w:cs="Times New Roman"/>
          <w:sz w:val="24"/>
          <w:szCs w:val="24"/>
        </w:rPr>
        <w:t xml:space="preserve"> refers to the total system cost, which is made up of the investment costs</w:t>
      </w:r>
      <w:r w:rsidR="003A45A6" w:rsidRPr="0025159D">
        <w:rPr>
          <w:rFonts w:ascii="Times New Roman" w:eastAsiaTheme="minorEastAsia" w:hAnsi="Times New Roman" w:cs="Times New Roman"/>
          <w:sz w:val="24"/>
          <w:szCs w:val="24"/>
        </w:rPr>
        <w:t xml:space="preserve"> </w:t>
      </w:r>
      <w:r w:rsidRPr="0025159D">
        <w:rPr>
          <w:rFonts w:ascii="Times New Roman" w:eastAsiaTheme="minorEastAsia" w:hAnsi="Times New Roman" w:cs="Times New Roman"/>
          <w:sz w:val="24"/>
          <w:szCs w:val="24"/>
        </w:rPr>
        <w:t>converted into loans</w:t>
      </w:r>
      <w:r w:rsidR="003A45A6" w:rsidRPr="0025159D">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loans</m:t>
            </m:r>
          </m:sub>
        </m:sSub>
      </m:oMath>
      <w:r w:rsidR="003A45A6" w:rsidRPr="0025159D">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 xml:space="preserve">, the fixed costs </w:t>
      </w:r>
      <w:r w:rsidR="003A45A6" w:rsidRPr="0025159D">
        <w:rPr>
          <w:rFonts w:ascii="Times New Roman" w:eastAsiaTheme="minorEastAsia" w:hAnsi="Times New Roman" w:cs="Times New Roman"/>
          <w:sz w:val="24"/>
          <w:szCs w:val="24"/>
        </w:rPr>
        <w:t>(</w:t>
      </w:r>
      <m:oMath>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fixed</m:t>
            </m:r>
          </m:sub>
        </m:sSub>
      </m:oMath>
      <w:r w:rsidR="003A45A6" w:rsidRPr="0025159D">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 xml:space="preserve"> and the variable costs </w:t>
      </w:r>
      <w:r w:rsidR="003A45A6" w:rsidRPr="0025159D">
        <w:rPr>
          <w:rFonts w:ascii="Times New Roman" w:eastAsiaTheme="minorEastAsia" w:hAnsi="Times New Roman" w:cs="Times New Roman"/>
          <w:sz w:val="24"/>
          <w:szCs w:val="24"/>
        </w:rPr>
        <w:t>(</w:t>
      </w:r>
      <m:oMath>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variable</m:t>
            </m:r>
          </m:sub>
        </m:sSub>
      </m:oMath>
      <w:r w:rsidR="003A45A6" w:rsidRPr="0025159D">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w:t>
      </w:r>
    </w:p>
    <w:p w14:paraId="2A9FD75D" w14:textId="0D28DA65" w:rsidR="00C86722" w:rsidRPr="0025159D" w:rsidRDefault="00000000" w:rsidP="0003686F">
      <w:pPr>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fixed</m:t>
              </m:r>
            </m:sub>
          </m:sSub>
          <m:r>
            <w:rPr>
              <w:rFonts w:ascii="Cambria Math" w:hAnsi="Cambria Math" w:cs="Times New Roman"/>
              <w:sz w:val="24"/>
              <w:szCs w:val="24"/>
            </w:rPr>
            <m:t>=</m:t>
          </m:r>
          <m:nary>
            <m:naryPr>
              <m:chr m:val="∑"/>
              <m:supHide m:val="1"/>
              <m:ctrlPr>
                <w:rPr>
                  <w:rFonts w:ascii="Cambria Math" w:hAnsi="Cambria Math" w:cs="Times New Roman"/>
                  <w:sz w:val="24"/>
                  <w:szCs w:val="24"/>
                </w:rPr>
              </m:ctrlPr>
            </m:naryPr>
            <m:sub>
              <m:r>
                <w:rPr>
                  <w:rFonts w:ascii="Cambria Math" w:hAnsi="Cambria Math" w:cs="Times New Roman"/>
                  <w:sz w:val="24"/>
                  <w:szCs w:val="24"/>
                </w:rPr>
                <m:t>r,p,t,v</m:t>
              </m:r>
              <m:ctrlPr>
                <w:rPr>
                  <w:rFonts w:ascii="Cambria Math" w:hAnsi="Cambria Math" w:cs="Times New Roman"/>
                  <w:i/>
                  <w:sz w:val="24"/>
                  <w:szCs w:val="24"/>
                </w:rPr>
              </m:ctrlPr>
            </m:sub>
            <m:sup>
              <m:ctrlPr>
                <w:rPr>
                  <w:rFonts w:ascii="Cambria Math" w:hAnsi="Cambria Math" w:cs="Times New Roman"/>
                  <w:i/>
                  <w:sz w:val="24"/>
                  <w:szCs w:val="24"/>
                </w:rPr>
              </m:ctrlPr>
            </m:sup>
            <m:e>
              <m:d>
                <m:dPr>
                  <m:ctrlPr>
                    <w:rPr>
                      <w:rFonts w:ascii="Cambria Math" w:hAnsi="Cambria Math" w:cs="Times New Roman"/>
                      <w:sz w:val="24"/>
                      <w:szCs w:val="24"/>
                    </w:rPr>
                  </m:ctrlPr>
                </m:dPr>
                <m:e>
                  <m:d>
                    <m:dPr>
                      <m:begChr m:val="["/>
                      <m:endChr m:val="]"/>
                      <m:ctrlPr>
                        <w:rPr>
                          <w:rFonts w:ascii="Cambria Math" w:hAnsi="Cambria Math" w:cs="Times New Roman"/>
                          <w:sz w:val="24"/>
                          <w:szCs w:val="24"/>
                        </w:rPr>
                      </m:ctrlPr>
                    </m:dPr>
                    <m:e>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r,p,t,v</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1+GDR</m:t>
                                  </m:r>
                                </m:e>
                              </m:d>
                            </m:e>
                            <m:sup>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r>
                                <w:rPr>
                                  <w:rFonts w:ascii="Cambria Math" w:hAnsi="Cambria Math" w:cs="Times New Roman"/>
                                  <w:sz w:val="24"/>
                                  <w:szCs w:val="24"/>
                                </w:rPr>
                                <m:t>-p+1</m:t>
                              </m:r>
                            </m:sup>
                          </m:sSup>
                          <m:r>
                            <m:rPr>
                              <m:sty m:val="p"/>
                            </m:rP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1+GDR</m:t>
                                      </m:r>
                                    </m:e>
                                  </m:d>
                                </m:e>
                                <m:sup>
                                  <m:r>
                                    <w:rPr>
                                      <w:rFonts w:ascii="Cambria Math" w:hAnsi="Cambria Math" w:cs="Times New Roman"/>
                                      <w:sz w:val="24"/>
                                      <w:szCs w:val="24"/>
                                    </w:rPr>
                                    <m:t>-MP</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r,t,v</m:t>
                                      </m:r>
                                    </m:sub>
                                  </m:sSub>
                                </m:sup>
                              </m:sSup>
                            </m:e>
                          </m:d>
                          <m:ctrlPr>
                            <w:rPr>
                              <w:rFonts w:ascii="Cambria Math" w:hAnsi="Cambria Math" w:cs="Times New Roman"/>
                              <w:i/>
                              <w:sz w:val="24"/>
                              <w:szCs w:val="24"/>
                            </w:rPr>
                          </m:ctrlPr>
                        </m:num>
                        <m:den>
                          <m:r>
                            <w:rPr>
                              <w:rFonts w:ascii="Cambria Math" w:hAnsi="Cambria Math" w:cs="Times New Roman"/>
                              <w:sz w:val="24"/>
                              <w:szCs w:val="24"/>
                            </w:rPr>
                            <m:t>GDR</m:t>
                          </m:r>
                          <m:ctrlPr>
                            <w:rPr>
                              <w:rFonts w:ascii="Cambria Math" w:hAnsi="Cambria Math" w:cs="Times New Roman"/>
                              <w:i/>
                              <w:sz w:val="24"/>
                              <w:szCs w:val="24"/>
                            </w:rPr>
                          </m:ctrlPr>
                        </m:den>
                      </m:f>
                      <m:ctrlPr>
                        <w:rPr>
                          <w:rFonts w:ascii="Cambria Math" w:hAnsi="Cambria Math" w:cs="Times New Roman"/>
                          <w:i/>
                          <w:sz w:val="24"/>
                          <w:szCs w:val="24"/>
                        </w:rPr>
                      </m:ctrlPr>
                    </m:e>
                  </m:d>
                  <m:r>
                    <m:rPr>
                      <m:sty m:val="p"/>
                    </m:rPr>
                    <w:rPr>
                      <w:rFonts w:ascii="Cambria Math" w:hAnsi="Cambria Math" w:cs="Times New Roman"/>
                      <w:sz w:val="24"/>
                      <w:szCs w:val="24"/>
                    </w:rPr>
                    <m:t>⋅</m:t>
                  </m:r>
                  <m:r>
                    <w:rPr>
                      <w:rFonts w:ascii="Cambria Math" w:hAnsi="Cambria Math" w:cs="Times New Roman"/>
                      <w:sz w:val="24"/>
                      <w:szCs w:val="24"/>
                    </w:rPr>
                    <m:t>CA</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r,t,v</m:t>
                      </m:r>
                    </m:sub>
                  </m:sSub>
                  <m:ctrlPr>
                    <w:rPr>
                      <w:rFonts w:ascii="Cambria Math" w:hAnsi="Cambria Math" w:cs="Times New Roman"/>
                      <w:i/>
                      <w:sz w:val="24"/>
                      <w:szCs w:val="24"/>
                    </w:rPr>
                  </m:ctrlPr>
                </m:e>
              </m:d>
              <m:ctrlPr>
                <w:rPr>
                  <w:rFonts w:ascii="Cambria Math" w:hAnsi="Cambria Math" w:cs="Times New Roman"/>
                  <w:i/>
                  <w:sz w:val="24"/>
                  <w:szCs w:val="24"/>
                </w:rPr>
              </m:ctrlPr>
            </m:e>
          </m:nary>
        </m:oMath>
      </m:oMathPara>
    </w:p>
    <w:p w14:paraId="70D7D010" w14:textId="77777777" w:rsidR="00C86722" w:rsidRPr="0025159D" w:rsidRDefault="00C86722" w:rsidP="0003686F">
      <w:pPr>
        <w:rPr>
          <w:rFonts w:ascii="Times New Roman" w:eastAsiaTheme="minorEastAsia" w:hAnsi="Times New Roman" w:cs="Times New Roman"/>
          <w:sz w:val="24"/>
          <w:szCs w:val="24"/>
        </w:rPr>
      </w:pPr>
    </w:p>
    <w:p w14:paraId="28AEC485" w14:textId="734F0205" w:rsidR="00C86722" w:rsidRPr="0025159D" w:rsidRDefault="00000000" w:rsidP="0003686F">
      <w:pPr>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loans</m:t>
              </m:r>
            </m:sub>
          </m:sSub>
          <m:r>
            <w:rPr>
              <w:rFonts w:ascii="Cambria Math" w:eastAsiaTheme="minorEastAsia" w:hAnsi="Cambria Math" w:cs="Times New Roman"/>
              <w:sz w:val="24"/>
              <w:szCs w:val="24"/>
            </w:rPr>
            <m:t>=</m:t>
          </m:r>
          <m:nary>
            <m:naryPr>
              <m:chr m:val="∑"/>
              <m:supHide m:val="1"/>
              <m:ctrlPr>
                <w:rPr>
                  <w:rFonts w:ascii="Cambria Math" w:eastAsiaTheme="minorEastAsia" w:hAnsi="Cambria Math" w:cs="Times New Roman"/>
                  <w:sz w:val="24"/>
                  <w:szCs w:val="24"/>
                </w:rPr>
              </m:ctrlPr>
            </m:naryPr>
            <m:sub>
              <m:r>
                <w:rPr>
                  <w:rFonts w:ascii="Cambria Math" w:eastAsiaTheme="minorEastAsia" w:hAnsi="Cambria Math" w:cs="Times New Roman"/>
                  <w:sz w:val="24"/>
                  <w:szCs w:val="24"/>
                </w:rPr>
                <m:t>r,t,v</m:t>
              </m:r>
              <m:ctrlPr>
                <w:rPr>
                  <w:rFonts w:ascii="Cambria Math" w:eastAsiaTheme="minorEastAsia" w:hAnsi="Cambria Math" w:cs="Times New Roman"/>
                  <w:i/>
                  <w:sz w:val="24"/>
                  <w:szCs w:val="24"/>
                </w:rPr>
              </m:ctrlPr>
            </m:sub>
            <m:sup>
              <m:ctrlPr>
                <w:rPr>
                  <w:rFonts w:ascii="Cambria Math" w:eastAsiaTheme="minorEastAsia" w:hAnsi="Cambria Math" w:cs="Times New Roman"/>
                  <w:i/>
                  <w:sz w:val="24"/>
                  <w:szCs w:val="24"/>
                </w:rPr>
              </m:ctrlPr>
            </m:sup>
            <m:e>
              <m:d>
                <m:dPr>
                  <m:endChr m:val=""/>
                  <m:ctrlPr>
                    <w:rPr>
                      <w:rFonts w:ascii="Cambria Math" w:eastAsiaTheme="minorEastAsia" w:hAnsi="Cambria Math" w:cs="Times New Roman"/>
                      <w:sz w:val="24"/>
                      <w:szCs w:val="24"/>
                    </w:rPr>
                  </m:ctrlPr>
                </m:dPr>
                <m:e>
                  <m:d>
                    <m:dPr>
                      <m:begChr m:val="["/>
                      <m:endChr m:val=""/>
                      <m:ctrlPr>
                        <w:rPr>
                          <w:rFonts w:ascii="Cambria Math" w:eastAsiaTheme="minorEastAsia" w:hAnsi="Cambria Math" w:cs="Times New Roman"/>
                          <w:sz w:val="24"/>
                          <w:szCs w:val="24"/>
                        </w:rPr>
                      </m:ctrlPr>
                    </m:dPr>
                    <m:e>
                      <m:r>
                        <w:rPr>
                          <w:rFonts w:ascii="Cambria Math" w:eastAsiaTheme="minorEastAsia" w:hAnsi="Cambria Math" w:cs="Times New Roman"/>
                          <w:sz w:val="24"/>
                          <w:szCs w:val="24"/>
                        </w:rPr>
                        <m:t>C</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r,t,v</m:t>
                          </m:r>
                        </m:sub>
                      </m:sSub>
                      <m:r>
                        <m:rPr>
                          <m:sty m:val="p"/>
                        </m:rPr>
                        <w:rPr>
                          <w:rFonts w:ascii="Cambria Math" w:eastAsiaTheme="minorEastAsia" w:hAnsi="Cambria Math" w:cs="Times New Roman"/>
                          <w:sz w:val="24"/>
                          <w:szCs w:val="24"/>
                        </w:rPr>
                        <m:t>⋅</m:t>
                      </m:r>
                      <m:r>
                        <w:rPr>
                          <w:rFonts w:ascii="Cambria Math" w:eastAsiaTheme="minorEastAsia" w:hAnsi="Cambria Math" w:cs="Times New Roman"/>
                          <w:sz w:val="24"/>
                          <w:szCs w:val="24"/>
                        </w:rPr>
                        <m:t>L</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r,t,v</m:t>
                          </m:r>
                        </m:sub>
                      </m:sSub>
                      <m:r>
                        <m:rPr>
                          <m:sty m:val="p"/>
                        </m:rPr>
                        <w:rPr>
                          <w:rFonts w:ascii="Cambria Math" w:eastAsiaTheme="minorEastAsia" w:hAnsi="Cambria Math" w:cs="Times New Roman"/>
                          <w:sz w:val="24"/>
                          <w:szCs w:val="24"/>
                        </w:rPr>
                        <m:t>⋅</m:t>
                      </m:r>
                      <m:f>
                        <m:fPr>
                          <m:ctrlPr>
                            <w:rPr>
                              <w:rFonts w:ascii="Cambria Math" w:eastAsiaTheme="minorEastAsia" w:hAnsi="Cambria Math" w:cs="Times New Roman"/>
                              <w:sz w:val="24"/>
                              <w:szCs w:val="24"/>
                            </w:rPr>
                          </m:ctrlPr>
                        </m:fPr>
                        <m:num>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-v+1</m:t>
                              </m:r>
                            </m:sup>
                          </m:sSup>
                          <m:r>
                            <m:rPr>
                              <m:sty m:val="p"/>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r>
                                    <w:rPr>
                                      <w:rFonts w:ascii="Cambria Math" w:eastAsiaTheme="minorEastAsia" w:hAnsi="Cambria Math" w:cs="Times New Roman"/>
                                      <w:sz w:val="24"/>
                                      <w:szCs w:val="24"/>
                                    </w:rPr>
                                    <m:t>-LL</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r,t,v</m:t>
                                      </m:r>
                                    </m:sub>
                                  </m:sSub>
                                </m:sup>
                              </m:sSup>
                            </m:e>
                          </m:d>
                          <m:ctrlPr>
                            <w:rPr>
                              <w:rFonts w:ascii="Cambria Math" w:eastAsiaTheme="minorEastAsia" w:hAnsi="Cambria Math" w:cs="Times New Roman"/>
                              <w:i/>
                              <w:sz w:val="24"/>
                              <w:szCs w:val="24"/>
                            </w:rPr>
                          </m:ctrlPr>
                        </m:num>
                        <m:den>
                          <m:r>
                            <w:rPr>
                              <w:rFonts w:ascii="Cambria Math" w:eastAsiaTheme="minorEastAsia" w:hAnsi="Cambria Math" w:cs="Times New Roman"/>
                              <w:sz w:val="24"/>
                              <w:szCs w:val="24"/>
                            </w:rPr>
                            <m:t>GDR</m:t>
                          </m:r>
                          <m:ctrlPr>
                            <w:rPr>
                              <w:rFonts w:ascii="Cambria Math" w:eastAsiaTheme="minorEastAsia" w:hAnsi="Cambria Math" w:cs="Times New Roman"/>
                              <w:i/>
                              <w:sz w:val="24"/>
                              <w:szCs w:val="24"/>
                            </w:rPr>
                          </m:ctrlPr>
                        </m:den>
                      </m:f>
                    </m:e>
                  </m:d>
                </m:e>
              </m:d>
              <m:ctrlPr>
                <w:rPr>
                  <w:rFonts w:ascii="Cambria Math" w:eastAsiaTheme="minorEastAsia" w:hAnsi="Cambria Math" w:cs="Times New Roman"/>
                  <w:i/>
                  <w:sz w:val="24"/>
                  <w:szCs w:val="24"/>
                </w:rPr>
              </m:ctrlPr>
            </m:e>
          </m:nary>
          <m:d>
            <m:dPr>
              <m:begChr m:val=""/>
              <m:ctrlPr>
                <w:rPr>
                  <w:rFonts w:ascii="Cambria Math" w:eastAsiaTheme="minorEastAsia" w:hAnsi="Cambria Math" w:cs="Times New Roman"/>
                  <w:sz w:val="24"/>
                  <w:szCs w:val="24"/>
                </w:rPr>
              </m:ctrlPr>
            </m:dPr>
            <m:e>
              <m:d>
                <m:dPr>
                  <m:begChr m:val=""/>
                  <m:endChr m:val="]"/>
                  <m:ctrlPr>
                    <w:rPr>
                      <w:rFonts w:ascii="Cambria Math" w:eastAsiaTheme="minorEastAsia" w:hAnsi="Cambria Math" w:cs="Times New Roman"/>
                      <w:sz w:val="24"/>
                      <w:szCs w:val="24"/>
                    </w:rPr>
                  </m:ctrlPr>
                </m:dPr>
                <m:e>
                  <m:r>
                    <m:rPr>
                      <m:sty m:val="p"/>
                    </m:rPr>
                    <w:rPr>
                      <w:rFonts w:ascii="Cambria Math" w:eastAsiaTheme="minorEastAsia" w:hAnsi="Cambria Math" w:cs="Times New Roman"/>
                      <w:sz w:val="24"/>
                      <w:szCs w:val="24"/>
                    </w:rPr>
                    <m:t>⋅</m:t>
                  </m:r>
                  <m:f>
                    <m:fPr>
                      <m:ctrlPr>
                        <w:rPr>
                          <w:rFonts w:ascii="Cambria Math" w:eastAsiaTheme="minorEastAsia" w:hAnsi="Cambria Math" w:cs="Times New Roman"/>
                          <w:sz w:val="24"/>
                          <w:szCs w:val="24"/>
                        </w:rPr>
                      </m:ctrlPr>
                    </m:fPr>
                    <m:num>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r>
                            <w:rPr>
                              <w:rFonts w:ascii="Cambria Math" w:eastAsiaTheme="minorEastAsia" w:hAnsi="Cambria Math" w:cs="Times New Roman"/>
                              <w:sz w:val="24"/>
                              <w:szCs w:val="24"/>
                            </w:rPr>
                            <m:t>-LP</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r,t,v</m:t>
                              </m:r>
                            </m:sub>
                          </m:sSub>
                        </m:sup>
                      </m:sSup>
                      <m:ctrlPr>
                        <w:rPr>
                          <w:rFonts w:ascii="Cambria Math" w:eastAsiaTheme="minorEastAsia" w:hAnsi="Cambria Math" w:cs="Times New Roman"/>
                          <w:i/>
                          <w:sz w:val="24"/>
                          <w:szCs w:val="24"/>
                        </w:rPr>
                      </m:ctrlPr>
                    </m:num>
                    <m:den>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r>
                            <w:rPr>
                              <w:rFonts w:ascii="Cambria Math" w:eastAsiaTheme="minorEastAsia" w:hAnsi="Cambria Math" w:cs="Times New Roman"/>
                              <w:sz w:val="24"/>
                              <w:szCs w:val="24"/>
                            </w:rPr>
                            <m:t>-LT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r,t,v</m:t>
                              </m:r>
                            </m:sub>
                          </m:sSub>
                        </m:sup>
                      </m:sSup>
                      <m:ctrlPr>
                        <w:rPr>
                          <w:rFonts w:ascii="Cambria Math" w:eastAsiaTheme="minorEastAsia" w:hAnsi="Cambria Math" w:cs="Times New Roman"/>
                          <w:i/>
                          <w:sz w:val="24"/>
                          <w:szCs w:val="24"/>
                        </w:rPr>
                      </m:ctrlPr>
                    </m:den>
                  </m:f>
                  <m:ctrlPr>
                    <w:rPr>
                      <w:rFonts w:ascii="Cambria Math" w:eastAsiaTheme="minorEastAsia" w:hAnsi="Cambria Math" w:cs="Times New Roman"/>
                      <w:i/>
                      <w:sz w:val="24"/>
                      <w:szCs w:val="24"/>
                    </w:rPr>
                  </m:ctrlPr>
                </m:e>
              </m:d>
              <m:r>
                <m:rPr>
                  <m:sty m:val="p"/>
                </m:rPr>
                <w:rPr>
                  <w:rFonts w:ascii="Cambria Math" w:eastAsiaTheme="minorEastAsia" w:hAnsi="Cambria Math" w:cs="Times New Roman"/>
                  <w:sz w:val="24"/>
                  <w:szCs w:val="24"/>
                </w:rPr>
                <m:t>⋅</m:t>
              </m:r>
              <m:r>
                <w:rPr>
                  <w:rFonts w:ascii="Cambria Math" w:eastAsiaTheme="minorEastAsia" w:hAnsi="Cambria Math" w:cs="Times New Roman"/>
                  <w:sz w:val="24"/>
                  <w:szCs w:val="24"/>
                </w:rPr>
                <m:t>CA</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r,t,v</m:t>
                  </m:r>
                </m:sub>
              </m:sSub>
              <m:ctrlPr>
                <w:rPr>
                  <w:rFonts w:ascii="Cambria Math" w:eastAsiaTheme="minorEastAsia" w:hAnsi="Cambria Math" w:cs="Times New Roman"/>
                  <w:i/>
                  <w:sz w:val="24"/>
                  <w:szCs w:val="24"/>
                </w:rPr>
              </m:ctrlPr>
            </m:e>
          </m:d>
        </m:oMath>
      </m:oMathPara>
    </w:p>
    <w:p w14:paraId="368DA75C" w14:textId="137E4A8C" w:rsidR="00C86722" w:rsidRPr="00053CCC" w:rsidRDefault="00000000" w:rsidP="0003686F">
      <w:pPr>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variable</m:t>
              </m:r>
            </m:sub>
          </m:sSub>
          <m:r>
            <w:rPr>
              <w:rFonts w:ascii="Cambria Math" w:eastAsiaTheme="minorEastAsia" w:hAnsi="Cambria Math" w:cs="Times New Roman"/>
              <w:sz w:val="24"/>
              <w:szCs w:val="24"/>
            </w:rPr>
            <m:t>=</m:t>
          </m:r>
          <m:nary>
            <m:naryPr>
              <m:chr m:val="∑"/>
              <m:supHide m:val="1"/>
              <m:ctrlPr>
                <w:rPr>
                  <w:rFonts w:ascii="Cambria Math" w:eastAsiaTheme="minorEastAsia" w:hAnsi="Cambria Math" w:cs="Times New Roman"/>
                  <w:sz w:val="24"/>
                  <w:szCs w:val="24"/>
                </w:rPr>
              </m:ctrlPr>
            </m:naryPr>
            <m:sub>
              <m:r>
                <w:rPr>
                  <w:rFonts w:ascii="Cambria Math" w:eastAsiaTheme="minorEastAsia" w:hAnsi="Cambria Math" w:cs="Times New Roman"/>
                  <w:sz w:val="24"/>
                  <w:szCs w:val="24"/>
                </w:rPr>
                <m:t>r,p,t,v</m:t>
              </m:r>
              <m:ctrlPr>
                <w:rPr>
                  <w:rFonts w:ascii="Cambria Math" w:eastAsiaTheme="minorEastAsia" w:hAnsi="Cambria Math" w:cs="Times New Roman"/>
                  <w:i/>
                  <w:sz w:val="24"/>
                  <w:szCs w:val="24"/>
                </w:rPr>
              </m:ctrlPr>
            </m:sub>
            <m:sup>
              <m:ctrlPr>
                <w:rPr>
                  <w:rFonts w:ascii="Cambria Math" w:eastAsiaTheme="minorEastAsia" w:hAnsi="Cambria Math" w:cs="Times New Roman"/>
                  <w:i/>
                  <w:sz w:val="24"/>
                  <w:szCs w:val="24"/>
                </w:rPr>
              </m:ctrlPr>
            </m:sup>
            <m:e>
              <m:d>
                <m:dPr>
                  <m:ctrlPr>
                    <w:rPr>
                      <w:rFonts w:ascii="Cambria Math" w:eastAsiaTheme="minorEastAsia" w:hAnsi="Cambria Math" w:cs="Times New Roman"/>
                      <w:sz w:val="24"/>
                      <w:szCs w:val="24"/>
                    </w:rPr>
                  </m:ctrlPr>
                </m:dPr>
                <m:e>
                  <m:r>
                    <w:rPr>
                      <w:rFonts w:ascii="Cambria Math" w:eastAsiaTheme="minorEastAsia" w:hAnsi="Cambria Math" w:cs="Times New Roman"/>
                      <w:sz w:val="24"/>
                      <w:szCs w:val="24"/>
                    </w:rPr>
                    <m:t>C</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r,p,t,v</m:t>
                      </m:r>
                    </m:sub>
                  </m:sSub>
                  <m:r>
                    <m:rPr>
                      <m:sty m:val="p"/>
                    </m:rPr>
                    <w:rPr>
                      <w:rFonts w:ascii="Cambria Math" w:eastAsiaTheme="minorEastAsia" w:hAnsi="Cambria Math" w:cs="Times New Roman"/>
                      <w:sz w:val="24"/>
                      <w:szCs w:val="24"/>
                    </w:rPr>
                    <m:t>⋅</m:t>
                  </m:r>
                  <m:f>
                    <m:fPr>
                      <m:ctrlPr>
                        <w:rPr>
                          <w:rFonts w:ascii="Cambria Math" w:eastAsiaTheme="minorEastAsia" w:hAnsi="Cambria Math" w:cs="Times New Roman"/>
                          <w:sz w:val="24"/>
                          <w:szCs w:val="24"/>
                        </w:rPr>
                      </m:ctrlPr>
                    </m:fPr>
                    <m:num>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-p+1</m:t>
                          </m:r>
                        </m:sup>
                      </m:sSup>
                      <m:r>
                        <m:rPr>
                          <m:sty m:val="p"/>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r>
                                <w:rPr>
                                  <w:rFonts w:ascii="Cambria Math" w:eastAsiaTheme="minorEastAsia" w:hAnsi="Cambria Math" w:cs="Times New Roman"/>
                                  <w:sz w:val="24"/>
                                  <w:szCs w:val="24"/>
                                </w:rPr>
                                <m:t>-MP</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r,p,t,v</m:t>
                                  </m:r>
                                </m:sub>
                              </m:sSub>
                            </m:sup>
                          </m:sSup>
                        </m:e>
                      </m:d>
                      <m:ctrlPr>
                        <w:rPr>
                          <w:rFonts w:ascii="Cambria Math" w:eastAsiaTheme="minorEastAsia" w:hAnsi="Cambria Math" w:cs="Times New Roman"/>
                          <w:i/>
                          <w:sz w:val="24"/>
                          <w:szCs w:val="24"/>
                        </w:rPr>
                      </m:ctrlPr>
                    </m:num>
                    <m:den>
                      <m:r>
                        <w:rPr>
                          <w:rFonts w:ascii="Cambria Math" w:eastAsiaTheme="minorEastAsia" w:hAnsi="Cambria Math" w:cs="Times New Roman"/>
                          <w:sz w:val="24"/>
                          <w:szCs w:val="24"/>
                        </w:rPr>
                        <m:t>GDR</m:t>
                      </m:r>
                      <m:ctrlPr>
                        <w:rPr>
                          <w:rFonts w:ascii="Cambria Math" w:eastAsiaTheme="minorEastAsia" w:hAnsi="Cambria Math" w:cs="Times New Roman"/>
                          <w:i/>
                          <w:sz w:val="24"/>
                          <w:szCs w:val="24"/>
                        </w:rPr>
                      </m:ctrlPr>
                    </m:den>
                  </m:f>
                  <m:r>
                    <m:rPr>
                      <m:sty m:val="p"/>
                    </m:rPr>
                    <w:rPr>
                      <w:rFonts w:ascii="Cambria Math" w:eastAsiaTheme="minorEastAsia" w:hAnsi="Cambria Math" w:cs="Times New Roman"/>
                      <w:sz w:val="24"/>
                      <w:szCs w:val="24"/>
                    </w:rPr>
                    <m:t>⋅</m:t>
                  </m:r>
                  <m:nary>
                    <m:naryPr>
                      <m:chr m:val="∑"/>
                      <m:supHide m:val="1"/>
                      <m:ctrlPr>
                        <w:rPr>
                          <w:rFonts w:ascii="Cambria Math" w:eastAsiaTheme="minorEastAsia" w:hAnsi="Cambria Math" w:cs="Times New Roman"/>
                          <w:sz w:val="24"/>
                          <w:szCs w:val="24"/>
                        </w:rPr>
                      </m:ctrlPr>
                    </m:naryPr>
                    <m:sub>
                      <m:r>
                        <w:rPr>
                          <w:rFonts w:ascii="Cambria Math" w:eastAsiaTheme="minorEastAsia" w:hAnsi="Cambria Math" w:cs="Times New Roman"/>
                          <w:sz w:val="24"/>
                          <w:szCs w:val="24"/>
                        </w:rPr>
                        <m:t>S,D,I,O</m:t>
                      </m:r>
                      <m:ctrlPr>
                        <w:rPr>
                          <w:rFonts w:ascii="Cambria Math" w:eastAsiaTheme="minorEastAsia" w:hAnsi="Cambria Math" w:cs="Times New Roman"/>
                          <w:i/>
                          <w:sz w:val="24"/>
                          <w:szCs w:val="24"/>
                        </w:rPr>
                      </m:ctrlPr>
                    </m:sub>
                    <m:sup>
                      <m:ctrlPr>
                        <w:rPr>
                          <w:rFonts w:ascii="Cambria Math" w:eastAsiaTheme="minorEastAsia" w:hAnsi="Cambria Math" w:cs="Times New Roman"/>
                          <w:i/>
                          <w:sz w:val="24"/>
                          <w:szCs w:val="24"/>
                        </w:rPr>
                      </m:ctrlPr>
                    </m:sup>
                    <m:e>
                      <m:r>
                        <w:rPr>
                          <w:rFonts w:ascii="Cambria Math" w:eastAsiaTheme="minorEastAsia" w:hAnsi="Cambria Math" w:cs="Times New Roman"/>
                          <w:sz w:val="24"/>
                          <w:szCs w:val="24"/>
                        </w:rPr>
                        <m:t>F</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O</m:t>
                          </m:r>
                        </m:e>
                        <m:sub>
                          <m:r>
                            <w:rPr>
                              <w:rFonts w:ascii="Cambria Math" w:eastAsiaTheme="minorEastAsia" w:hAnsi="Cambria Math" w:cs="Times New Roman"/>
                              <w:sz w:val="24"/>
                              <w:szCs w:val="24"/>
                            </w:rPr>
                            <m:t>r,p,s,d,i,t,v,o</m:t>
                          </m:r>
                        </m:sub>
                      </m:sSub>
                      <m:ctrlPr>
                        <w:rPr>
                          <w:rFonts w:ascii="Cambria Math" w:eastAsiaTheme="minorEastAsia" w:hAnsi="Cambria Math" w:cs="Times New Roman"/>
                          <w:i/>
                          <w:sz w:val="24"/>
                          <w:szCs w:val="24"/>
                        </w:rPr>
                      </m:ctrlPr>
                    </m:e>
                  </m:nary>
                  <m:ctrlPr>
                    <w:rPr>
                      <w:rFonts w:ascii="Cambria Math" w:eastAsiaTheme="minorEastAsia" w:hAnsi="Cambria Math" w:cs="Times New Roman"/>
                      <w:i/>
                      <w:sz w:val="24"/>
                      <w:szCs w:val="24"/>
                    </w:rPr>
                  </m:ctrlPr>
                </m:e>
              </m:d>
              <m:ctrlPr>
                <w:rPr>
                  <w:rFonts w:ascii="Cambria Math" w:eastAsiaTheme="minorEastAsia" w:hAnsi="Cambria Math" w:cs="Times New Roman"/>
                  <w:i/>
                  <w:sz w:val="24"/>
                  <w:szCs w:val="24"/>
                </w:rPr>
              </m:ctrlPr>
            </m:e>
          </m:nary>
          <m:r>
            <w:rPr>
              <w:rFonts w:ascii="Cambria Math" w:eastAsiaTheme="minorEastAsia" w:hAnsi="Cambria Math" w:cs="Times New Roman"/>
              <w:sz w:val="24"/>
              <w:szCs w:val="24"/>
            </w:rPr>
            <m:t>+</m:t>
          </m:r>
          <m:nary>
            <m:naryPr>
              <m:chr m:val="∑"/>
              <m:supHide m:val="1"/>
              <m:ctrlPr>
                <w:rPr>
                  <w:rFonts w:ascii="Cambria Math" w:eastAsiaTheme="minorEastAsia" w:hAnsi="Cambria Math" w:cs="Times New Roman"/>
                  <w:sz w:val="24"/>
                  <w:szCs w:val="24"/>
                </w:rPr>
              </m:ctrlPr>
            </m:naryPr>
            <m:sub>
              <m:r>
                <w:rPr>
                  <w:rFonts w:ascii="Cambria Math" w:eastAsiaTheme="minorEastAsia" w:hAnsi="Cambria Math" w:cs="Times New Roman"/>
                  <w:sz w:val="24"/>
                  <w:szCs w:val="24"/>
                </w:rPr>
                <m:t>r,p,t,v</m:t>
              </m:r>
              <m:ctrlPr>
                <w:rPr>
                  <w:rFonts w:ascii="Cambria Math" w:eastAsiaTheme="minorEastAsia" w:hAnsi="Cambria Math" w:cs="Times New Roman"/>
                  <w:i/>
                  <w:sz w:val="24"/>
                  <w:szCs w:val="24"/>
                </w:rPr>
              </m:ctrlPr>
            </m:sub>
            <m:sup>
              <m:ctrlPr>
                <w:rPr>
                  <w:rFonts w:ascii="Cambria Math" w:eastAsiaTheme="minorEastAsia" w:hAnsi="Cambria Math" w:cs="Times New Roman"/>
                  <w:i/>
                  <w:sz w:val="24"/>
                  <w:szCs w:val="24"/>
                </w:rPr>
              </m:ctrlPr>
            </m:sup>
            <m:e>
              <m:d>
                <m:dPr>
                  <m:ctrlPr>
                    <w:rPr>
                      <w:rFonts w:ascii="Cambria Math" w:eastAsiaTheme="minorEastAsia" w:hAnsi="Cambria Math" w:cs="Times New Roman"/>
                      <w:sz w:val="24"/>
                      <w:szCs w:val="24"/>
                    </w:rPr>
                  </m:ctrlPr>
                </m:dPr>
                <m:e>
                  <m:r>
                    <w:rPr>
                      <w:rFonts w:ascii="Cambria Math" w:eastAsiaTheme="minorEastAsia" w:hAnsi="Cambria Math" w:cs="Times New Roman"/>
                      <w:sz w:val="24"/>
                      <w:szCs w:val="24"/>
                    </w:rPr>
                    <m:t>C</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r,p,t,v</m:t>
                      </m:r>
                    </m:sub>
                  </m:sSub>
                  <m:r>
                    <m:rPr>
                      <m:sty m:val="p"/>
                    </m:rPr>
                    <w:rPr>
                      <w:rFonts w:ascii="Cambria Math" w:eastAsiaTheme="minorEastAsia" w:hAnsi="Cambria Math" w:cs="Times New Roman"/>
                      <w:sz w:val="24"/>
                      <w:szCs w:val="24"/>
                    </w:rPr>
                    <m:t>⋅</m:t>
                  </m:r>
                  <m:f>
                    <m:fPr>
                      <m:ctrlPr>
                        <w:rPr>
                          <w:rFonts w:ascii="Cambria Math" w:eastAsiaTheme="minorEastAsia" w:hAnsi="Cambria Math" w:cs="Times New Roman"/>
                          <w:sz w:val="24"/>
                          <w:szCs w:val="24"/>
                        </w:rPr>
                      </m:ctrlPr>
                    </m:fPr>
                    <m:num>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-p+1</m:t>
                          </m:r>
                        </m:sup>
                      </m:sSup>
                      <m:r>
                        <m:rPr>
                          <m:sty m:val="p"/>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1+GDR</m:t>
                                  </m:r>
                                </m:e>
                              </m:d>
                            </m:e>
                            <m:sup>
                              <m:r>
                                <w:rPr>
                                  <w:rFonts w:ascii="Cambria Math" w:eastAsiaTheme="minorEastAsia" w:hAnsi="Cambria Math" w:cs="Times New Roman"/>
                                  <w:sz w:val="24"/>
                                  <w:szCs w:val="24"/>
                                </w:rPr>
                                <m:t>-MP</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r,p,t,v</m:t>
                                  </m:r>
                                </m:sub>
                              </m:sSub>
                            </m:sup>
                          </m:sSup>
                        </m:e>
                      </m:d>
                      <m:ctrlPr>
                        <w:rPr>
                          <w:rFonts w:ascii="Cambria Math" w:eastAsiaTheme="minorEastAsia" w:hAnsi="Cambria Math" w:cs="Times New Roman"/>
                          <w:i/>
                          <w:sz w:val="24"/>
                          <w:szCs w:val="24"/>
                        </w:rPr>
                      </m:ctrlPr>
                    </m:num>
                    <m:den>
                      <m:r>
                        <w:rPr>
                          <w:rFonts w:ascii="Cambria Math" w:eastAsiaTheme="minorEastAsia" w:hAnsi="Cambria Math" w:cs="Times New Roman"/>
                          <w:sz w:val="24"/>
                          <w:szCs w:val="24"/>
                        </w:rPr>
                        <m:t>GDR</m:t>
                      </m:r>
                      <m:ctrlPr>
                        <w:rPr>
                          <w:rFonts w:ascii="Cambria Math" w:eastAsiaTheme="minorEastAsia" w:hAnsi="Cambria Math" w:cs="Times New Roman"/>
                          <w:i/>
                          <w:sz w:val="24"/>
                          <w:szCs w:val="24"/>
                        </w:rPr>
                      </m:ctrlPr>
                    </m:den>
                  </m:f>
                  <m:r>
                    <m:rPr>
                      <m:sty m:val="p"/>
                    </m:rPr>
                    <w:rPr>
                      <w:rFonts w:ascii="Cambria Math" w:eastAsiaTheme="minorEastAsia" w:hAnsi="Cambria Math" w:cs="Times New Roman"/>
                      <w:sz w:val="24"/>
                      <w:szCs w:val="24"/>
                    </w:rPr>
                    <m:t>⋅</m:t>
                  </m:r>
                  <m:nary>
                    <m:naryPr>
                      <m:chr m:val="∑"/>
                      <m:supHide m:val="1"/>
                      <m:ctrlPr>
                        <w:rPr>
                          <w:rFonts w:ascii="Cambria Math" w:eastAsiaTheme="minorEastAsia" w:hAnsi="Cambria Math" w:cs="Times New Roman"/>
                          <w:sz w:val="24"/>
                          <w:szCs w:val="24"/>
                        </w:rPr>
                      </m:ctrlPr>
                    </m:naryPr>
                    <m:sub>
                      <m:r>
                        <w:rPr>
                          <w:rFonts w:ascii="Cambria Math" w:eastAsiaTheme="minorEastAsia" w:hAnsi="Cambria Math" w:cs="Times New Roman"/>
                          <w:sz w:val="24"/>
                          <w:szCs w:val="24"/>
                        </w:rPr>
                        <m:t>I,O</m:t>
                      </m:r>
                      <m:ctrlPr>
                        <w:rPr>
                          <w:rFonts w:ascii="Cambria Math" w:eastAsiaTheme="minorEastAsia" w:hAnsi="Cambria Math" w:cs="Times New Roman"/>
                          <w:i/>
                          <w:sz w:val="24"/>
                          <w:szCs w:val="24"/>
                        </w:rPr>
                      </m:ctrlPr>
                    </m:sub>
                    <m:sup>
                      <m:ctrlPr>
                        <w:rPr>
                          <w:rFonts w:ascii="Cambria Math" w:eastAsiaTheme="minorEastAsia" w:hAnsi="Cambria Math" w:cs="Times New Roman"/>
                          <w:i/>
                          <w:sz w:val="24"/>
                          <w:szCs w:val="24"/>
                        </w:rPr>
                      </m:ctrlPr>
                    </m:sup>
                    <m:e>
                      <m:r>
                        <w:rPr>
                          <w:rFonts w:ascii="Cambria Math" w:eastAsiaTheme="minorEastAsia" w:hAnsi="Cambria Math" w:cs="Times New Roman"/>
                          <w:sz w:val="24"/>
                          <w:szCs w:val="24"/>
                        </w:rPr>
                        <m:t>FO</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r,p,i,t</m:t>
                          </m:r>
                          <m:r>
                            <m:rPr>
                              <m:sty m:val="p"/>
                            </m:rP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ctrlPr>
                                <w:rPr>
                                  <w:rFonts w:ascii="Cambria Math" w:eastAsiaTheme="minorEastAsia" w:hAnsi="Cambria Math" w:cs="Times New Roman"/>
                                  <w:sz w:val="24"/>
                                  <w:szCs w:val="24"/>
                                </w:rPr>
                              </m:ctrlPr>
                            </m:e>
                            <m:sup>
                              <m:r>
                                <w:rPr>
                                  <w:rFonts w:ascii="Cambria Math" w:eastAsiaTheme="minorEastAsia" w:hAnsi="Cambria Math" w:cs="Times New Roman"/>
                                  <w:sz w:val="24"/>
                                  <w:szCs w:val="24"/>
                                </w:rPr>
                                <m:t>a</m:t>
                              </m:r>
                            </m:sup>
                          </m:sSup>
                          <m:r>
                            <w:rPr>
                              <w:rFonts w:ascii="Cambria Math" w:eastAsiaTheme="minorEastAsia" w:hAnsi="Cambria Math" w:cs="Times New Roman"/>
                              <w:sz w:val="24"/>
                              <w:szCs w:val="24"/>
                            </w:rPr>
                            <m:t>,v,o</m:t>
                          </m:r>
                        </m:sub>
                      </m:sSub>
                      <m:ctrlPr>
                        <w:rPr>
                          <w:rFonts w:ascii="Cambria Math" w:eastAsiaTheme="minorEastAsia" w:hAnsi="Cambria Math" w:cs="Times New Roman"/>
                          <w:i/>
                          <w:sz w:val="24"/>
                          <w:szCs w:val="24"/>
                        </w:rPr>
                      </m:ctrlPr>
                    </m:e>
                  </m:nary>
                  <m:ctrlPr>
                    <w:rPr>
                      <w:rFonts w:ascii="Cambria Math" w:eastAsiaTheme="minorEastAsia" w:hAnsi="Cambria Math" w:cs="Times New Roman"/>
                      <w:i/>
                      <w:sz w:val="24"/>
                      <w:szCs w:val="24"/>
                    </w:rPr>
                  </m:ctrlPr>
                </m:e>
              </m:d>
              <m:ctrlPr>
                <w:rPr>
                  <w:rFonts w:ascii="Cambria Math" w:eastAsiaTheme="minorEastAsia" w:hAnsi="Cambria Math" w:cs="Times New Roman"/>
                  <w:i/>
                  <w:sz w:val="24"/>
                  <w:szCs w:val="24"/>
                </w:rPr>
              </m:ctrlPr>
            </m:e>
          </m:nary>
        </m:oMath>
      </m:oMathPara>
    </w:p>
    <w:p w14:paraId="56D677C8" w14:textId="5219C517" w:rsidR="00053CCC" w:rsidRPr="00053CCC" w:rsidRDefault="00053CCC" w:rsidP="00053CCC">
      <w:pPr>
        <w:pStyle w:val="Caption"/>
        <w:jc w:val="right"/>
        <w:rPr>
          <w:rFonts w:ascii="Times New Roman" w:hAnsi="Times New Roman" w:cs="Times New Roman"/>
          <w:b/>
          <w:bCs/>
          <w:i w:val="0"/>
          <w:iCs w:val="0"/>
          <w:color w:val="auto"/>
          <w:sz w:val="24"/>
          <w:szCs w:val="24"/>
        </w:rPr>
      </w:pPr>
      <w:r w:rsidRPr="0025159D">
        <w:rPr>
          <w:rFonts w:ascii="Times New Roman" w:hAnsi="Times New Roman" w:cs="Times New Roman"/>
          <w:b/>
          <w:bCs/>
          <w:i w:val="0"/>
          <w:iCs w:val="0"/>
          <w:color w:val="auto"/>
          <w:sz w:val="24"/>
          <w:szCs w:val="24"/>
        </w:rPr>
        <w:t xml:space="preserve">Equation </w:t>
      </w:r>
      <w:r>
        <w:rPr>
          <w:rFonts w:ascii="Times New Roman" w:hAnsi="Times New Roman" w:cs="Times New Roman"/>
          <w:b/>
          <w:bCs/>
          <w:i w:val="0"/>
          <w:iCs w:val="0"/>
          <w:color w:val="auto"/>
          <w:sz w:val="24"/>
          <w:szCs w:val="24"/>
        </w:rPr>
        <w:t>5</w:t>
      </w:r>
    </w:p>
    <w:p w14:paraId="3818FCD6" w14:textId="08653E46" w:rsidR="0005267E" w:rsidRPr="0025159D" w:rsidRDefault="00E51579" w:rsidP="0003686F">
      <w:pPr>
        <w:rPr>
          <w:rFonts w:ascii="Times New Roman" w:eastAsiaTheme="minorEastAsia" w:hAnsi="Times New Roman" w:cs="Times New Roman"/>
          <w:sz w:val="24"/>
          <w:szCs w:val="24"/>
        </w:rPr>
      </w:pPr>
      <w:r w:rsidRPr="0025159D">
        <w:rPr>
          <w:rFonts w:ascii="Times New Roman" w:eastAsiaTheme="minorEastAsia" w:hAnsi="Times New Roman" w:cs="Times New Roman"/>
          <w:sz w:val="24"/>
          <w:szCs w:val="24"/>
        </w:rPr>
        <w:t xml:space="preserve">Where </w:t>
      </w:r>
      <m:oMath>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r,p,t,v</m:t>
            </m:r>
          </m:sub>
        </m:sSub>
      </m:oMath>
      <w:r w:rsidRPr="0025159D">
        <w:rPr>
          <w:rFonts w:ascii="Times New Roman" w:eastAsiaTheme="minorEastAsia" w:hAnsi="Times New Roman" w:cs="Times New Roman"/>
          <w:sz w:val="24"/>
          <w:szCs w:val="24"/>
        </w:rPr>
        <w:t xml:space="preserve"> represents the fixed operations &amp; maintenance cost, </w:t>
      </w:r>
      <m:oMath>
        <m:r>
          <w:rPr>
            <w:rFonts w:ascii="Cambria Math" w:hAnsi="Cambria Math" w:cs="Times New Roman"/>
            <w:sz w:val="24"/>
            <w:szCs w:val="24"/>
          </w:rPr>
          <m:t>GDR</m:t>
        </m:r>
      </m:oMath>
      <w:r w:rsidRPr="0025159D">
        <w:rPr>
          <w:rFonts w:ascii="Times New Roman" w:eastAsiaTheme="minorEastAsia" w:hAnsi="Times New Roman" w:cs="Times New Roman"/>
          <w:sz w:val="24"/>
          <w:szCs w:val="24"/>
        </w:rPr>
        <w:t xml:space="preserve"> is the global discount rate used to calculate present cost,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oMath>
      <w:r w:rsidR="00A95B4B" w:rsidRPr="0025159D">
        <w:rPr>
          <w:rFonts w:ascii="Times New Roman" w:eastAsiaTheme="minorEastAsia" w:hAnsi="Times New Roman" w:cs="Times New Roman"/>
          <w:sz w:val="24"/>
          <w:szCs w:val="24"/>
        </w:rPr>
        <w:t xml:space="preserve"> is the start of the time horizon, </w:t>
      </w:r>
      <m:oMath>
        <m:r>
          <w:rPr>
            <w:rFonts w:ascii="Cambria Math" w:hAnsi="Cambria Math" w:cs="Times New Roman"/>
            <w:sz w:val="24"/>
            <w:szCs w:val="24"/>
          </w:rPr>
          <m:t>MP</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r,t,v</m:t>
            </m:r>
          </m:sub>
        </m:sSub>
      </m:oMath>
      <w:r w:rsidR="00A95B4B" w:rsidRPr="0025159D">
        <w:rPr>
          <w:rFonts w:ascii="Times New Roman" w:eastAsiaTheme="minorEastAsia" w:hAnsi="Times New Roman" w:cs="Times New Roman"/>
          <w:sz w:val="24"/>
          <w:szCs w:val="24"/>
        </w:rPr>
        <w:t xml:space="preserve"> is the smaller of the remaining model horizon or process technology life, </w:t>
      </w:r>
      <m:oMath>
        <m:r>
          <w:rPr>
            <w:rFonts w:ascii="Cambria Math" w:hAnsi="Cambria Math" w:cs="Times New Roman"/>
            <w:sz w:val="24"/>
            <w:szCs w:val="24"/>
          </w:rPr>
          <m:t>CA</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r,t,v</m:t>
            </m:r>
          </m:sub>
        </m:sSub>
      </m:oMath>
      <w:r w:rsidR="00A95B4B" w:rsidRPr="0025159D">
        <w:rPr>
          <w:rFonts w:ascii="Times New Roman" w:eastAsiaTheme="minorEastAsia" w:hAnsi="Times New Roman" w:cs="Times New Roman"/>
          <w:sz w:val="24"/>
          <w:szCs w:val="24"/>
        </w:rPr>
        <w:t xml:space="preserve"> has been defined in </w:t>
      </w:r>
      <w:r w:rsidR="00A95B4B" w:rsidRPr="0025159D">
        <w:rPr>
          <w:rFonts w:ascii="Times New Roman" w:eastAsiaTheme="minorEastAsia" w:hAnsi="Times New Roman" w:cs="Times New Roman"/>
          <w:sz w:val="24"/>
          <w:szCs w:val="24"/>
        </w:rPr>
        <w:fldChar w:fldCharType="begin"/>
      </w:r>
      <w:r w:rsidR="00A95B4B" w:rsidRPr="0025159D">
        <w:rPr>
          <w:rFonts w:ascii="Times New Roman" w:eastAsiaTheme="minorEastAsia" w:hAnsi="Times New Roman" w:cs="Times New Roman"/>
          <w:sz w:val="24"/>
          <w:szCs w:val="24"/>
        </w:rPr>
        <w:instrText xml:space="preserve"> REF _Ref149833557 \h </w:instrText>
      </w:r>
      <w:r w:rsidR="007A62DB" w:rsidRPr="0025159D">
        <w:rPr>
          <w:rFonts w:ascii="Times New Roman" w:eastAsiaTheme="minorEastAsia" w:hAnsi="Times New Roman" w:cs="Times New Roman"/>
          <w:sz w:val="24"/>
          <w:szCs w:val="24"/>
        </w:rPr>
        <w:instrText xml:space="preserve"> \* MERGEFORMAT </w:instrText>
      </w:r>
      <w:r w:rsidR="00A95B4B" w:rsidRPr="0025159D">
        <w:rPr>
          <w:rFonts w:ascii="Times New Roman" w:eastAsiaTheme="minorEastAsia" w:hAnsi="Times New Roman" w:cs="Times New Roman"/>
          <w:sz w:val="24"/>
          <w:szCs w:val="24"/>
        </w:rPr>
      </w:r>
      <w:r w:rsidR="00A95B4B" w:rsidRPr="0025159D">
        <w:rPr>
          <w:rFonts w:ascii="Times New Roman" w:eastAsiaTheme="minorEastAsia" w:hAnsi="Times New Roman" w:cs="Times New Roman"/>
          <w:sz w:val="24"/>
          <w:szCs w:val="24"/>
        </w:rPr>
        <w:fldChar w:fldCharType="separate"/>
      </w:r>
      <w:r w:rsidR="00A95B4B" w:rsidRPr="0025159D">
        <w:rPr>
          <w:rFonts w:ascii="Times New Roman" w:hAnsi="Times New Roman" w:cs="Times New Roman"/>
          <w:sz w:val="24"/>
          <w:szCs w:val="24"/>
        </w:rPr>
        <w:t xml:space="preserve">Equation </w:t>
      </w:r>
      <w:r w:rsidR="00A95B4B" w:rsidRPr="0025159D">
        <w:rPr>
          <w:rFonts w:ascii="Times New Roman" w:hAnsi="Times New Roman" w:cs="Times New Roman"/>
          <w:noProof/>
          <w:sz w:val="24"/>
          <w:szCs w:val="24"/>
        </w:rPr>
        <w:t>3</w:t>
      </w:r>
      <w:r w:rsidR="00A95B4B" w:rsidRPr="0025159D">
        <w:rPr>
          <w:rFonts w:ascii="Times New Roman" w:eastAsiaTheme="minorEastAsia" w:hAnsi="Times New Roman" w:cs="Times New Roman"/>
          <w:sz w:val="24"/>
          <w:szCs w:val="24"/>
        </w:rPr>
        <w:fldChar w:fldCharType="end"/>
      </w:r>
      <w:r w:rsidR="00A95B4B" w:rsidRPr="0025159D">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C</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r,t,v</m:t>
            </m:r>
          </m:sub>
        </m:sSub>
      </m:oMath>
      <w:r w:rsidR="00A95B4B" w:rsidRPr="0025159D">
        <w:rPr>
          <w:rFonts w:ascii="Times New Roman" w:eastAsiaTheme="minorEastAsia" w:hAnsi="Times New Roman" w:cs="Times New Roman"/>
          <w:sz w:val="24"/>
          <w:szCs w:val="24"/>
        </w:rPr>
        <w:t xml:space="preserve"> represents the technology-specific investment cost, </w:t>
      </w:r>
      <m:oMath>
        <m:r>
          <w:rPr>
            <w:rFonts w:ascii="Cambria Math" w:eastAsiaTheme="minorEastAsia" w:hAnsi="Cambria Math" w:cs="Times New Roman"/>
            <w:sz w:val="24"/>
            <w:szCs w:val="24"/>
          </w:rPr>
          <m:t>L</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r,t,v</m:t>
            </m:r>
          </m:sub>
        </m:sSub>
      </m:oMath>
      <w:r w:rsidR="00A95B4B" w:rsidRPr="0025159D">
        <w:rPr>
          <w:rFonts w:ascii="Times New Roman" w:eastAsiaTheme="minorEastAsia" w:hAnsi="Times New Roman" w:cs="Times New Roman"/>
          <w:sz w:val="24"/>
          <w:szCs w:val="24"/>
        </w:rPr>
        <w:t xml:space="preserve"> is the loan amortization by technology and vintage based on the discount rate of the technology, and </w:t>
      </w:r>
      <m:oMath>
        <m:r>
          <w:rPr>
            <w:rFonts w:ascii="Cambria Math" w:eastAsiaTheme="minorEastAsia" w:hAnsi="Cambria Math" w:cs="Times New Roman"/>
            <w:sz w:val="24"/>
            <w:szCs w:val="24"/>
          </w:rPr>
          <m:t>C</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r,p,t,v</m:t>
            </m:r>
          </m:sub>
        </m:sSub>
      </m:oMath>
      <w:r w:rsidR="00A95B4B" w:rsidRPr="0025159D">
        <w:rPr>
          <w:rFonts w:ascii="Times New Roman" w:eastAsiaTheme="minorEastAsia" w:hAnsi="Times New Roman" w:cs="Times New Roman"/>
          <w:sz w:val="24"/>
          <w:szCs w:val="24"/>
        </w:rPr>
        <w:t xml:space="preserve"> refers to the variable operations &amp; maintenance cost. </w:t>
      </w:r>
    </w:p>
    <w:p w14:paraId="1A239DBE" w14:textId="5B58E987" w:rsidR="004B372C" w:rsidRPr="0025159D" w:rsidRDefault="0005267E" w:rsidP="0003686F">
      <w:pPr>
        <w:rPr>
          <w:rFonts w:ascii="Times New Roman" w:hAnsi="Times New Roman" w:cs="Times New Roman"/>
          <w:sz w:val="24"/>
          <w:szCs w:val="24"/>
        </w:rPr>
      </w:pPr>
      <w:r w:rsidRPr="0025159D">
        <w:rPr>
          <w:rFonts w:ascii="Times New Roman" w:eastAsiaTheme="minorEastAsia" w:hAnsi="Times New Roman" w:cs="Times New Roman"/>
          <w:sz w:val="24"/>
          <w:szCs w:val="24"/>
        </w:rPr>
        <w:lastRenderedPageBreak/>
        <w:t>Along with these constraints, other constraints are also imposed in the model structure. These are network</w:t>
      </w:r>
      <w:r w:rsidR="004E75A0">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related constraints (for example</w:t>
      </w:r>
      <w:r w:rsidR="004E75A0">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 xml:space="preserve"> ensuring commodity balances throughout the model)</w:t>
      </w:r>
      <w:r w:rsidR="00F327E8">
        <w:rPr>
          <w:rFonts w:ascii="Times New Roman" w:eastAsiaTheme="minorEastAsia" w:hAnsi="Times New Roman" w:cs="Times New Roman"/>
          <w:sz w:val="24"/>
          <w:szCs w:val="24"/>
        </w:rPr>
        <w:t xml:space="preserve">, </w:t>
      </w:r>
      <w:r w:rsidRPr="0025159D">
        <w:rPr>
          <w:rFonts w:ascii="Times New Roman" w:eastAsiaTheme="minorEastAsia" w:hAnsi="Times New Roman" w:cs="Times New Roman"/>
          <w:sz w:val="24"/>
          <w:szCs w:val="24"/>
        </w:rPr>
        <w:t>physical and operational constraints (for example</w:t>
      </w:r>
      <w:r w:rsidR="00F327E8">
        <w:rPr>
          <w:rFonts w:ascii="Times New Roman" w:eastAsiaTheme="minorEastAsia" w:hAnsi="Times New Roman" w:cs="Times New Roman"/>
          <w:sz w:val="24"/>
          <w:szCs w:val="24"/>
        </w:rPr>
        <w:t>,</w:t>
      </w:r>
      <w:r w:rsidRPr="0025159D">
        <w:rPr>
          <w:rFonts w:ascii="Times New Roman" w:eastAsiaTheme="minorEastAsia" w:hAnsi="Times New Roman" w:cs="Times New Roman"/>
          <w:sz w:val="24"/>
          <w:szCs w:val="24"/>
        </w:rPr>
        <w:t xml:space="preserve"> storage, </w:t>
      </w:r>
      <w:r w:rsidR="003A45A6" w:rsidRPr="0025159D">
        <w:rPr>
          <w:rFonts w:ascii="Times New Roman" w:eastAsiaTheme="minorEastAsia" w:hAnsi="Times New Roman" w:cs="Times New Roman"/>
          <w:sz w:val="24"/>
          <w:szCs w:val="24"/>
        </w:rPr>
        <w:t xml:space="preserve">firm </w:t>
      </w:r>
      <w:r w:rsidRPr="0025159D">
        <w:rPr>
          <w:rFonts w:ascii="Times New Roman" w:eastAsiaTheme="minorEastAsia" w:hAnsi="Times New Roman" w:cs="Times New Roman"/>
          <w:sz w:val="24"/>
          <w:szCs w:val="24"/>
        </w:rPr>
        <w:t xml:space="preserve">generation, </w:t>
      </w:r>
      <w:r w:rsidR="001F06C4" w:rsidRPr="0025159D">
        <w:rPr>
          <w:rFonts w:ascii="Times New Roman" w:eastAsiaTheme="minorEastAsia" w:hAnsi="Times New Roman" w:cs="Times New Roman"/>
          <w:sz w:val="24"/>
          <w:szCs w:val="24"/>
        </w:rPr>
        <w:t>ramping,</w:t>
      </w:r>
      <w:r w:rsidRPr="0025159D">
        <w:rPr>
          <w:rFonts w:ascii="Times New Roman" w:eastAsiaTheme="minorEastAsia" w:hAnsi="Times New Roman" w:cs="Times New Roman"/>
          <w:sz w:val="24"/>
          <w:szCs w:val="24"/>
        </w:rPr>
        <w:t xml:space="preserve"> and reserve margins in the power sector).</w:t>
      </w:r>
    </w:p>
    <w:p w14:paraId="1F470E6C" w14:textId="1A62CD65" w:rsidR="00A95B4B" w:rsidRPr="0025159D" w:rsidRDefault="0005267E" w:rsidP="00A95B4B">
      <w:pPr>
        <w:rPr>
          <w:rFonts w:ascii="Times New Roman" w:hAnsi="Times New Roman" w:cs="Times New Roman"/>
          <w:b/>
          <w:bCs/>
          <w:sz w:val="24"/>
          <w:szCs w:val="24"/>
        </w:rPr>
      </w:pPr>
      <w:r w:rsidRPr="0025159D">
        <w:rPr>
          <w:rFonts w:ascii="Times New Roman" w:hAnsi="Times New Roman" w:cs="Times New Roman"/>
          <w:b/>
          <w:bCs/>
          <w:sz w:val="24"/>
          <w:szCs w:val="24"/>
        </w:rPr>
        <w:t xml:space="preserve">Scenario Descriptions: </w:t>
      </w:r>
      <w:r w:rsidR="00A95B4B" w:rsidRPr="0025159D">
        <w:rPr>
          <w:rFonts w:ascii="Times New Roman" w:hAnsi="Times New Roman" w:cs="Times New Roman"/>
          <w:sz w:val="24"/>
          <w:szCs w:val="24"/>
        </w:rPr>
        <w:t xml:space="preserve">The deterministic least-cost pathway provides solutions minimizing the total system cost of the linear program. The </w:t>
      </w:r>
      <w:r w:rsidR="003A45A6" w:rsidRPr="0025159D">
        <w:rPr>
          <w:rFonts w:ascii="Times New Roman" w:hAnsi="Times New Roman" w:cs="Times New Roman"/>
          <w:sz w:val="24"/>
          <w:szCs w:val="24"/>
        </w:rPr>
        <w:t>analysis</w:t>
      </w:r>
      <w:r w:rsidR="00A95B4B" w:rsidRPr="0025159D">
        <w:rPr>
          <w:rFonts w:ascii="Times New Roman" w:hAnsi="Times New Roman" w:cs="Times New Roman"/>
          <w:sz w:val="24"/>
          <w:szCs w:val="24"/>
        </w:rPr>
        <w:t xml:space="preserve"> spans </w:t>
      </w:r>
      <w:r w:rsidR="0052705D">
        <w:rPr>
          <w:rFonts w:ascii="Times New Roman" w:hAnsi="Times New Roman" w:cs="Times New Roman"/>
          <w:sz w:val="24"/>
          <w:szCs w:val="24"/>
        </w:rPr>
        <w:t>2</w:t>
      </w:r>
      <w:r w:rsidR="00A95B4B" w:rsidRPr="0025159D">
        <w:rPr>
          <w:rFonts w:ascii="Times New Roman" w:hAnsi="Times New Roman" w:cs="Times New Roman"/>
          <w:sz w:val="24"/>
          <w:szCs w:val="24"/>
        </w:rPr>
        <w:t>020 to 2050</w:t>
      </w:r>
      <w:r w:rsidR="003A45A6" w:rsidRPr="0025159D">
        <w:rPr>
          <w:rFonts w:ascii="Times New Roman" w:hAnsi="Times New Roman" w:cs="Times New Roman"/>
          <w:sz w:val="24"/>
          <w:szCs w:val="24"/>
        </w:rPr>
        <w:t xml:space="preserve"> in </w:t>
      </w:r>
      <w:r w:rsidR="00A95B4B" w:rsidRPr="0025159D">
        <w:rPr>
          <w:rFonts w:ascii="Times New Roman" w:hAnsi="Times New Roman" w:cs="Times New Roman"/>
          <w:sz w:val="24"/>
          <w:szCs w:val="24"/>
        </w:rPr>
        <w:t>5-year increments. All years within a given 5-year time period are assumed to be identical; thus, the optimal results represent an indicative year within the five years. The United States is represented according to the regions shown in</w:t>
      </w:r>
      <w:r w:rsidR="00E367B7" w:rsidRPr="0025159D">
        <w:rPr>
          <w:rFonts w:ascii="Times New Roman" w:hAnsi="Times New Roman" w:cs="Times New Roman"/>
          <w:sz w:val="24"/>
          <w:szCs w:val="24"/>
        </w:rPr>
        <w:t xml:space="preserve">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_Ref149838405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 xml:space="preserve">Figure S </w:t>
      </w:r>
      <w:r w:rsidR="00E367B7" w:rsidRPr="0025159D">
        <w:rPr>
          <w:rFonts w:ascii="Times New Roman" w:hAnsi="Times New Roman" w:cs="Times New Roman"/>
          <w:noProof/>
          <w:sz w:val="24"/>
          <w:szCs w:val="24"/>
        </w:rPr>
        <w:t>1</w:t>
      </w:r>
      <w:r w:rsidR="00E367B7" w:rsidRPr="0025159D">
        <w:rPr>
          <w:rFonts w:ascii="Times New Roman" w:hAnsi="Times New Roman" w:cs="Times New Roman"/>
          <w:sz w:val="24"/>
          <w:szCs w:val="24"/>
        </w:rPr>
        <w:fldChar w:fldCharType="end"/>
      </w:r>
      <w:r w:rsidR="00A95B4B" w:rsidRPr="0025159D">
        <w:rPr>
          <w:rFonts w:ascii="Times New Roman" w:hAnsi="Times New Roman" w:cs="Times New Roman"/>
          <w:sz w:val="24"/>
          <w:szCs w:val="24"/>
        </w:rPr>
        <w:t xml:space="preserve">. These regions were chosen as they represent aggregations of United States electric balancing authorities and follow U.S. state boundaries. </w:t>
      </w:r>
    </w:p>
    <w:p w14:paraId="6EE4E902" w14:textId="3AC2E74F" w:rsidR="00A95B4B" w:rsidRPr="0025159D" w:rsidRDefault="00A95B4B" w:rsidP="00A95B4B">
      <w:pPr>
        <w:rPr>
          <w:rFonts w:ascii="Times New Roman" w:hAnsi="Times New Roman" w:cs="Times New Roman"/>
          <w:sz w:val="24"/>
          <w:szCs w:val="24"/>
        </w:rPr>
      </w:pPr>
    </w:p>
    <w:p w14:paraId="6ED39E0A" w14:textId="79204000" w:rsidR="00FE0707" w:rsidRPr="0025159D" w:rsidRDefault="00FE0707" w:rsidP="00A95B4B">
      <w:pPr>
        <w:rPr>
          <w:rFonts w:ascii="Times New Roman" w:hAnsi="Times New Roman" w:cs="Times New Roman"/>
          <w:sz w:val="24"/>
          <w:szCs w:val="24"/>
        </w:rPr>
      </w:pPr>
      <w:r w:rsidRPr="0025159D">
        <w:rPr>
          <w:rFonts w:ascii="Times New Roman" w:hAnsi="Times New Roman" w:cs="Times New Roman"/>
          <w:noProof/>
          <w:sz w:val="24"/>
          <w:szCs w:val="24"/>
        </w:rPr>
        <w:drawing>
          <wp:inline distT="0" distB="0" distL="0" distR="0" wp14:anchorId="6D1DEBD5" wp14:editId="0244F11A">
            <wp:extent cx="5943600" cy="3937000"/>
            <wp:effectExtent l="0" t="0" r="0" b="6350"/>
            <wp:docPr id="1697209686" name="Picture 4" descr="A diagram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09686" name="Picture 4" descr="A diagram of a map&#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33761"/>
                    <a:stretch/>
                  </pic:blipFill>
                  <pic:spPr bwMode="auto">
                    <a:xfrm>
                      <a:off x="0" y="0"/>
                      <a:ext cx="5943600" cy="3937000"/>
                    </a:xfrm>
                    <a:prstGeom prst="rect">
                      <a:avLst/>
                    </a:prstGeom>
                    <a:noFill/>
                    <a:ln>
                      <a:noFill/>
                    </a:ln>
                    <a:extLst>
                      <a:ext uri="{53640926-AAD7-44D8-BBD7-CCE9431645EC}">
                        <a14:shadowObscured xmlns:a14="http://schemas.microsoft.com/office/drawing/2010/main"/>
                      </a:ext>
                    </a:extLst>
                  </pic:spPr>
                </pic:pic>
              </a:graphicData>
            </a:graphic>
          </wp:inline>
        </w:drawing>
      </w:r>
      <w:r w:rsidR="002A14C9" w:rsidRPr="0025159D">
        <w:rPr>
          <w:rFonts w:ascii="Times New Roman" w:hAnsi="Times New Roman" w:cs="Times New Roman"/>
          <w:sz w:val="24"/>
          <w:szCs w:val="24"/>
        </w:rPr>
        <w:t xml:space="preserve"> </w:t>
      </w:r>
    </w:p>
    <w:p w14:paraId="69DCDD4C" w14:textId="15FAFA9D" w:rsidR="002A14C9" w:rsidRPr="0025159D" w:rsidRDefault="007A62DB" w:rsidP="00A95B4B">
      <w:pPr>
        <w:rPr>
          <w:rFonts w:ascii="Times New Roman" w:hAnsi="Times New Roman" w:cs="Times New Roman"/>
          <w:b/>
          <w:bCs/>
          <w:sz w:val="24"/>
          <w:szCs w:val="24"/>
        </w:rPr>
      </w:pPr>
      <w:bookmarkStart w:id="8" w:name="_Ref149838405"/>
      <w:r w:rsidRPr="0025159D">
        <w:rPr>
          <w:rFonts w:ascii="Times New Roman" w:hAnsi="Times New Roman" w:cs="Times New Roman"/>
          <w:b/>
          <w:bCs/>
          <w:sz w:val="24"/>
          <w:szCs w:val="24"/>
        </w:rPr>
        <w:t>Figure S</w:t>
      </w:r>
      <w:r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SEQ Figure_S \* ARABIC </w:instrText>
      </w:r>
      <w:r w:rsidRPr="0025159D">
        <w:rPr>
          <w:rFonts w:ascii="Times New Roman" w:hAnsi="Times New Roman" w:cs="Times New Roman"/>
          <w:b/>
          <w:bCs/>
          <w:sz w:val="24"/>
          <w:szCs w:val="24"/>
        </w:rPr>
        <w:fldChar w:fldCharType="separate"/>
      </w:r>
      <w:r w:rsidR="00B97A3B" w:rsidRPr="0025159D">
        <w:rPr>
          <w:rFonts w:ascii="Times New Roman" w:hAnsi="Times New Roman" w:cs="Times New Roman"/>
          <w:b/>
          <w:bCs/>
          <w:noProof/>
          <w:sz w:val="24"/>
          <w:szCs w:val="24"/>
        </w:rPr>
        <w:t>1</w:t>
      </w:r>
      <w:r w:rsidRPr="0025159D">
        <w:rPr>
          <w:rFonts w:ascii="Times New Roman" w:hAnsi="Times New Roman" w:cs="Times New Roman"/>
          <w:b/>
          <w:bCs/>
          <w:sz w:val="24"/>
          <w:szCs w:val="24"/>
        </w:rPr>
        <w:fldChar w:fldCharType="end"/>
      </w:r>
      <w:bookmarkEnd w:id="8"/>
      <w:r w:rsidR="00A95B4B" w:rsidRPr="0025159D">
        <w:rPr>
          <w:rFonts w:ascii="Times New Roman" w:hAnsi="Times New Roman" w:cs="Times New Roman"/>
          <w:b/>
          <w:bCs/>
          <w:sz w:val="24"/>
          <w:szCs w:val="24"/>
        </w:rPr>
        <w:t>: A flow diagram showing the inputs from the major end-use sectors, some characteristics of the database used, application of the Temoa model</w:t>
      </w:r>
      <w:r w:rsidR="00F327E8">
        <w:rPr>
          <w:rFonts w:ascii="Times New Roman" w:hAnsi="Times New Roman" w:cs="Times New Roman"/>
          <w:b/>
          <w:bCs/>
          <w:sz w:val="24"/>
          <w:szCs w:val="24"/>
        </w:rPr>
        <w:t>,</w:t>
      </w:r>
      <w:r w:rsidR="00A95B4B" w:rsidRPr="0025159D">
        <w:rPr>
          <w:rFonts w:ascii="Times New Roman" w:hAnsi="Times New Roman" w:cs="Times New Roman"/>
          <w:b/>
          <w:bCs/>
          <w:sz w:val="24"/>
          <w:szCs w:val="24"/>
        </w:rPr>
        <w:t xml:space="preserve"> and type of runs conducted (deterministic and </w:t>
      </w:r>
      <w:r w:rsidR="002A14C9" w:rsidRPr="0025159D">
        <w:rPr>
          <w:rFonts w:ascii="Times New Roman" w:hAnsi="Times New Roman" w:cs="Times New Roman"/>
          <w:b/>
          <w:bCs/>
          <w:sz w:val="24"/>
          <w:szCs w:val="24"/>
        </w:rPr>
        <w:t>modeling to generate alternatives (MGA)</w:t>
      </w:r>
      <w:r w:rsidR="00A95B4B" w:rsidRPr="0025159D">
        <w:rPr>
          <w:rFonts w:ascii="Times New Roman" w:hAnsi="Times New Roman" w:cs="Times New Roman"/>
          <w:b/>
          <w:bCs/>
          <w:sz w:val="24"/>
          <w:szCs w:val="24"/>
        </w:rPr>
        <w:t>). The major outputs analyzed in the current work are also included. A nine-region description is used to represent the U.S.</w:t>
      </w:r>
      <w:r w:rsidR="00F327E8">
        <w:rPr>
          <w:rFonts w:ascii="Times New Roman" w:hAnsi="Times New Roman" w:cs="Times New Roman"/>
          <w:b/>
          <w:bCs/>
          <w:sz w:val="24"/>
          <w:szCs w:val="24"/>
        </w:rPr>
        <w:t>,</w:t>
      </w:r>
      <w:r w:rsidR="00A95B4B" w:rsidRPr="0025159D">
        <w:rPr>
          <w:rFonts w:ascii="Times New Roman" w:hAnsi="Times New Roman" w:cs="Times New Roman"/>
          <w:b/>
          <w:bCs/>
          <w:sz w:val="24"/>
          <w:szCs w:val="24"/>
        </w:rPr>
        <w:t xml:space="preserve"> with the regions corresponding to combinations of several states in most cases. Northwest (NW): Washington, Oregon, Idaho, Montana</w:t>
      </w:r>
      <w:r w:rsidR="00F327E8">
        <w:rPr>
          <w:rFonts w:ascii="Times New Roman" w:hAnsi="Times New Roman" w:cs="Times New Roman"/>
          <w:b/>
          <w:bCs/>
          <w:sz w:val="24"/>
          <w:szCs w:val="24"/>
        </w:rPr>
        <w:t>,</w:t>
      </w:r>
      <w:r w:rsidR="00A95B4B" w:rsidRPr="0025159D">
        <w:rPr>
          <w:rFonts w:ascii="Times New Roman" w:hAnsi="Times New Roman" w:cs="Times New Roman"/>
          <w:b/>
          <w:bCs/>
          <w:sz w:val="24"/>
          <w:szCs w:val="24"/>
        </w:rPr>
        <w:t xml:space="preserve"> and Wyoming; North Central (N_CEN): Iowa, Wisconsin, Michigan, Illinois, Minnesota, Indiana, North Dakota; Northeast (NE): New York, Massachusetts, Vermont, Connecticut, Maine, New Hampshire, Rhode Island; Southwest (SW): Net Mexico, Nevada, Utah, Colorado and </w:t>
      </w:r>
      <w:r w:rsidR="00A95B4B" w:rsidRPr="0025159D">
        <w:rPr>
          <w:rFonts w:ascii="Times New Roman" w:hAnsi="Times New Roman" w:cs="Times New Roman"/>
          <w:b/>
          <w:bCs/>
          <w:sz w:val="24"/>
          <w:szCs w:val="24"/>
        </w:rPr>
        <w:lastRenderedPageBreak/>
        <w:t>Arizona, Central (CEN): Nebraska, Arkansas, Missouri, Louisiana, Kansas, South Dakota and Oklahoma; Southeast (SE): Alabama, Kentucky, Georgia, Tennessee, Florida, North Carolina, South Carolina, Mississippi; Mid-Atlantic (MID_AT): Maryland, Delaware, Ohio, Pennsylvania, Virginia, New Jersey, District of Columbia, West Virginia; California (CA) and Texas (TX). Data sources in figure: Energy Information Administration (EIA)</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{"citationID":"Kr2NHUln","properties":{"formattedCitation":"\\super 2\\nosupersub{}","plainCitation":"2","noteIndex":0},"citationItems":[{"id":5041,"uris":["http://zotero.org/users/3151432/items/ALDVCRYC"],"itemData":{"id":5041,"type":"document","publisher":"U.S. Energy Information Administration (EIA)","title":"Annual Energy Outlook 2020 with Projections to 2050","URL":"https://www.eia.gov/outlooks/aeo/pdf/AEO2020%20Full%20Report.pdf","issued":{"date-parts":[["2020"]]}}}],"schema":"https://github.com/citation-style-language/schema/raw/master/csl-citation.json"}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2</w:t>
      </w:r>
      <w:r w:rsidR="00A95B4B" w:rsidRPr="0025159D">
        <w:rPr>
          <w:rFonts w:ascii="Times New Roman" w:hAnsi="Times New Roman" w:cs="Times New Roman"/>
          <w:b/>
          <w:bCs/>
          <w:sz w:val="24"/>
          <w:szCs w:val="24"/>
        </w:rPr>
        <w:fldChar w:fldCharType="end"/>
      </w:r>
      <w:r w:rsidR="00A95B4B" w:rsidRPr="0025159D">
        <w:rPr>
          <w:rFonts w:ascii="Times New Roman" w:hAnsi="Times New Roman" w:cs="Times New Roman"/>
          <w:b/>
          <w:bCs/>
          <w:sz w:val="24"/>
          <w:szCs w:val="24"/>
        </w:rPr>
        <w:t>; Billion Ton Report</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{"citationID":"KnRGawaJ","properties":{"formattedCitation":"\\super 3\\nosupersub{}","plainCitation":"3","noteIndex":0},"citationItems":[{"id":5043,"uris":["http://zotero.org/users/3151432/items/ZFA6KNG7"],"itemData":{"id":5043,"type":"report","language":"en","note":"DOI: 10.2172/1271651","number":"DOE/EE-1440, ORNL/TM-2016/160, 1271651","page":"DOE/EE-1440, ORNL/TM-2016/160, 1271651","source":"DOI.org (Crossref)","title":"2016 Billion-Ton Report: Advancing Domestic Resources for a Thriving Bioeconomy","title-short":"2016 Billion-Ton Report","URL":"http://www.osti.gov/servlets/purl/1271651/","author":[{"family":"Langholtz","given":"M. H."},{"family":"Stokes","given":"B. J."},{"family":"Eaton","given":"L. M."}],"accessed":{"date-parts":[["2023",3,29]]},"issued":{"date-parts":[["2016",7,6]]}}}],"schema":"https://github.com/citation-style-language/schema/raw/master/csl-citation.json"}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3</w:t>
      </w:r>
      <w:r w:rsidR="00A95B4B" w:rsidRPr="0025159D">
        <w:rPr>
          <w:rFonts w:ascii="Times New Roman" w:hAnsi="Times New Roman" w:cs="Times New Roman"/>
          <w:b/>
          <w:bCs/>
          <w:sz w:val="24"/>
          <w:szCs w:val="24"/>
        </w:rPr>
        <w:fldChar w:fldCharType="end"/>
      </w:r>
      <w:r w:rsidR="00A95B4B" w:rsidRPr="0025159D">
        <w:rPr>
          <w:rFonts w:ascii="Times New Roman" w:hAnsi="Times New Roman" w:cs="Times New Roman"/>
          <w:b/>
          <w:bCs/>
          <w:sz w:val="24"/>
          <w:szCs w:val="24"/>
        </w:rPr>
        <w:t>; Annual Technology Baseline (ATB)</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{"citationID":"60s7MUyY","properties":{"formattedCitation":"\\super 4\\nosupersub{}","plainCitation":"4","noteIndex":0},"citationItems":[{"id":4849,"uris":["http://zotero.org/users/3151432/items/FCQ5728U"],"itemData":{"id":4849,"type":"report","language":"en","note":"DOI: 10.2172/1566062","number":"NREL/PR-6A20-74273, 1566062","page":"NREL/PR-6A20-74273, 1566062","publisher":"National Renewable Energy Labs","source":"DOI.org (Crossref)","title":"2019 Annual Technology Baseline","URL":"http://www.osti.gov/servlets/purl/1566062/","author":[{"family":"Vimmerstedt","given":"Laura J"},{"family":"Akar","given":"Sertac"},{"family":"Augustine","given":"Chad R"},{"family":"Beiter","given":"Philipp C"},{"family":"Cole","given":"Wesley J"},{"family":"Feldman","given":"David J"},{"family":"Kurup","given":"Parthiv"},{"family":"Lantz","given":"Eric J"},{"family":"Margolis","given":"Robert M"},{"family":"Stehly","given":"Tyler J"},{"family":"Turchi","given":"Craig S"},{"family":"Oladosu","given":"Debo"}],"accessed":{"date-parts":[["2023",1,12]]},"issued":{"date-parts":[["2019",9,18]]}}}],"schema":"https://github.com/citation-style-language/schema/raw/master/csl-citation.json"}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4</w:t>
      </w:r>
      <w:r w:rsidR="00A95B4B" w:rsidRPr="0025159D">
        <w:rPr>
          <w:rFonts w:ascii="Times New Roman" w:hAnsi="Times New Roman" w:cs="Times New Roman"/>
          <w:b/>
          <w:bCs/>
          <w:sz w:val="24"/>
          <w:szCs w:val="24"/>
        </w:rPr>
        <w:fldChar w:fldCharType="end"/>
      </w:r>
      <w:r w:rsidR="00A95B4B" w:rsidRPr="0025159D">
        <w:rPr>
          <w:rFonts w:ascii="Times New Roman" w:hAnsi="Times New Roman" w:cs="Times New Roman"/>
          <w:b/>
          <w:bCs/>
          <w:sz w:val="24"/>
          <w:szCs w:val="24"/>
        </w:rPr>
        <w:t>; National Renewable Labs Electrification Futures Study (NREL EFS)</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{"citationID":"0ccKuFYZ","properties":{"formattedCitation":"\\super 5\\nosupersub{}","plainCitation":"5","noteIndex":0},"citationItems":[{"id":5032,"uris":["http://zotero.org/users/3151432/items/DD24E9CR"],"itemData":{"id":5032,"type":"report","language":"en","note":"DOI: 10.2172/1459351","number":"NREL/TP--6A20-71500, 1459351","page":"NREL/TP--6A20-71500, 1459351","publisher":"National Renewable Energy Labs","source":"DOI.org (Crossref)","title":"Electrification Futures Study: Scenarios of Electric Technology Adoption and Power Consumption for the United States","title-short":"Electrification Futures Study","URL":"http://www.osti.gov/servlets/purl/1459351/","author":[{"family":"Mai","given":"Trieu T."},{"family":"Jadun","given":"Paige"},{"family":"Logan","given":"Jeffrey S."},{"family":"McMillan","given":"Colin A."},{"family":"Muratori","given":"Matteo"},{"family":"Steinberg","given":"Daniel C."},{"family":"Vimmerstedt","given":"Laura J."},{"family":"Haley","given":"Benjamin"},{"family":"Jones","given":"Ryan"},{"family":"Nelson","given":"Brent"}],"accessed":{"date-parts":[["2023",3,24]]},"issued":{"date-parts":[["2018",6,29]]}}}],"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5</w:t>
      </w:r>
      <w:r w:rsidR="00A95B4B" w:rsidRPr="0025159D">
        <w:rPr>
          <w:rFonts w:ascii="Times New Roman" w:hAnsi="Times New Roman" w:cs="Times New Roman"/>
          <w:b/>
          <w:bCs/>
          <w:sz w:val="24"/>
          <w:szCs w:val="24"/>
        </w:rPr>
        <w:fldChar w:fldCharType="end"/>
      </w:r>
      <w:r w:rsidR="00A95B4B" w:rsidRPr="0025159D">
        <w:rPr>
          <w:rFonts w:ascii="Times New Roman" w:hAnsi="Times New Roman" w:cs="Times New Roman"/>
          <w:b/>
          <w:bCs/>
          <w:sz w:val="24"/>
          <w:szCs w:val="24"/>
        </w:rPr>
        <w:t>; Manufacturing Energy Consumption Survey (MECS)</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{"citationID":"AU9Z0Szs","properties":{"formattedCitation":"\\super 6\\nosupersub{}","plainCitation":"6","noteIndex":0},"citationItems":[{"id":5047,"uris":["http://zotero.org/users/3151432/items/PPQQ2CLT"],"itemData":{"id":5047,"type":"report","publisher":"U.S. Energy Inf. Adm. (EIA)","title":"Manufacturing energy consumption (MECS)","URL":"https://www.eia.gov/consumption/manufacturing/data/2018/","issued":{"date-parts":[["2018"]]}}}],"schema":"https://github.com/citation-style-language/schema/raw/master/csl-citation.json"}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6</w:t>
      </w:r>
      <w:r w:rsidR="00A95B4B" w:rsidRPr="0025159D">
        <w:rPr>
          <w:rFonts w:ascii="Times New Roman" w:hAnsi="Times New Roman" w:cs="Times New Roman"/>
          <w:b/>
          <w:bCs/>
          <w:sz w:val="24"/>
          <w:szCs w:val="24"/>
        </w:rPr>
        <w:fldChar w:fldCharType="end"/>
      </w:r>
      <w:r w:rsidR="00A95B4B" w:rsidRPr="0025159D">
        <w:rPr>
          <w:rFonts w:ascii="Times New Roman" w:hAnsi="Times New Roman" w:cs="Times New Roman"/>
          <w:b/>
          <w:bCs/>
          <w:sz w:val="24"/>
          <w:szCs w:val="24"/>
        </w:rPr>
        <w:t>; MARKAL database.</w:t>
      </w:r>
      <w:r w:rsidR="00A95B4B"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ADDIN ZOTERO_ITEM CSL_CITATION {"citationID":"lOVoKGk6","properties":{"formattedCitation":"\\super 7,8\\nosupersub{}","plainCitation":"7,8","noteIndex":0},"citationItems":[{"id":4800,"uris":["http://zotero.org/users/3151432/items/BXYUMWDV"],"itemData":{"id":4800,"type":"article-journal","abstract":"This article is a companion to “ETSAP-TIAM: the TIMES integrated assessment model. part I: model structure”. It contains three sections, presenting respectively: the simpliﬁed formulation of the TIMES Linear Program (Sect. 1), the details of the computation of the supply demand equilibrium (Sect. 2), and the Endogenous Technology Learning Formulation (Sect. 3). The full details of these three formulations are available in the complete TIMES documentation at www.etsap/org/documentation.","container-title":"Computational Management Science","DOI":"10.1007/s10287-007-0045-0","ISSN":"1619-697X, 1619-6988","issue":"1-2","journalAbbreviation":"CMS","language":"en","page":"41-66","source":"DOI.org (Crossref)","title":"ETSAP-TIAM: the TIMES integrated assessment model. part II: mathematical formulation","title-short":"ETSAP-TIAM","volume":"5","author":[{"family":"Loulou","given":"Richard"}],"issued":{"date-parts":[["2008",2]]}}},{"id":4801,"uris":["http://zotero.org/users/3151432/items/DT8NMBCI"],"itemData":{"id":4801,"type":"article-journal","abstract":"In this ﬁrst part of a two-part article, the principal characteristics of the TIMES model and of its global incarnation as ETSAP-TIAM are presented and discussed. TIMES was conceived as a descendent of the MARKAL and EFOM paradigms, to which several new features were added to extend its functionalities and its applicability to the exploration of energy systems and the analysis of energy and environmental policies. The article stresses the technological nature of the model and its economic foundation and properties. The article stays at the conceptual and practical level, while a companion article is devoted to the more detailed formulation of TIMES equations. Special sections are devoted to the description of four optional features of TIMES: lumpy investments, endogenous technology learning, stochastic programming, and the climate module. The article ends with a brief description of recent applications of the ETSAP-TIAM model.","container-title":"Computational Management Science","DOI":"10.1007/s10287-007-0046-z","ISSN":"1619-697X, 1619-6988","issue":"1-2","journalAbbreviation":"CMS","language":"en","page":"7-40","source":"DOI.org (Crossref)","title":"ETSAP-TIAM: the TIMES integrated assessment model Part I: Model structure","title-short":"ETSAP-TIAM","volume":"5","author":[{"family":"Loulou","given":"Richard"},{"family":"Labriet","given":"Maryse"}],"issued":{"date-parts":[["2008",2]]}}}],"schema":"https://github.com/citation-style-language/schema/raw/master/csl-citation.json"} </w:instrText>
      </w:r>
      <w:r w:rsidR="00A95B4B"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vertAlign w:val="superscript"/>
        </w:rPr>
        <w:t>7,8</w:t>
      </w:r>
      <w:r w:rsidR="00A95B4B" w:rsidRPr="0025159D">
        <w:rPr>
          <w:rFonts w:ascii="Times New Roman" w:hAnsi="Times New Roman" w:cs="Times New Roman"/>
          <w:b/>
          <w:bCs/>
          <w:sz w:val="24"/>
          <w:szCs w:val="24"/>
        </w:rPr>
        <w:fldChar w:fldCharType="end"/>
      </w:r>
    </w:p>
    <w:p w14:paraId="57E5EBE4" w14:textId="7E720CC5" w:rsidR="00A95B4B" w:rsidRPr="0025159D" w:rsidRDefault="00A95B4B" w:rsidP="00A95B4B">
      <w:pPr>
        <w:rPr>
          <w:rFonts w:ascii="Times New Roman" w:hAnsi="Times New Roman" w:cs="Times New Roman"/>
          <w:sz w:val="24"/>
          <w:szCs w:val="24"/>
        </w:rPr>
      </w:pPr>
      <w:r w:rsidRPr="0025159D">
        <w:rPr>
          <w:rFonts w:ascii="Times New Roman" w:hAnsi="Times New Roman" w:cs="Times New Roman"/>
          <w:sz w:val="24"/>
          <w:szCs w:val="24"/>
        </w:rPr>
        <w:t xml:space="preserve">Current-Policy scenario: This scenario assumes that all existing policies as of the end of 2022 remain in their current form and no new federal or state policies are implemented. These results indicate how projected fuel prices and technology costs will shape the energy system in the absence of </w:t>
      </w:r>
      <w:r w:rsidR="002A14C9" w:rsidRPr="0025159D">
        <w:rPr>
          <w:rFonts w:ascii="Times New Roman" w:hAnsi="Times New Roman" w:cs="Times New Roman"/>
          <w:sz w:val="24"/>
          <w:szCs w:val="24"/>
        </w:rPr>
        <w:t xml:space="preserve">additional </w:t>
      </w:r>
      <w:r w:rsidRPr="0025159D">
        <w:rPr>
          <w:rFonts w:ascii="Times New Roman" w:hAnsi="Times New Roman" w:cs="Times New Roman"/>
          <w:sz w:val="24"/>
          <w:szCs w:val="24"/>
        </w:rPr>
        <w:t xml:space="preserve">climate policies. The policies included in this scenario are state-level Renewable Portfolio Standards (RPS), the Cross-State Air Pollution Rule (CSAPR), the California </w:t>
      </w:r>
      <w:r w:rsidR="00F327E8">
        <w:rPr>
          <w:rFonts w:ascii="Times New Roman" w:hAnsi="Times New Roman" w:cs="Times New Roman"/>
          <w:sz w:val="24"/>
          <w:szCs w:val="24"/>
        </w:rPr>
        <w:t>Cap</w:t>
      </w:r>
      <w:r w:rsidRPr="0025159D">
        <w:rPr>
          <w:rFonts w:ascii="Times New Roman" w:hAnsi="Times New Roman" w:cs="Times New Roman"/>
          <w:sz w:val="24"/>
          <w:szCs w:val="24"/>
        </w:rPr>
        <w:t xml:space="preserve"> and </w:t>
      </w:r>
      <w:r w:rsidR="00F327E8">
        <w:rPr>
          <w:rFonts w:ascii="Times New Roman" w:hAnsi="Times New Roman" w:cs="Times New Roman"/>
          <w:sz w:val="24"/>
          <w:szCs w:val="24"/>
        </w:rPr>
        <w:t>Trade</w:t>
      </w:r>
      <w:r w:rsidRPr="0025159D">
        <w:rPr>
          <w:rFonts w:ascii="Times New Roman" w:hAnsi="Times New Roman" w:cs="Times New Roman"/>
          <w:sz w:val="24"/>
          <w:szCs w:val="24"/>
        </w:rPr>
        <w:t xml:space="preserve"> program, the federal Investment Tax Credit (ITC), and the provisions of the Inflation Reduction Act</w:t>
      </w:r>
      <w:r w:rsidR="007A62DB" w:rsidRPr="0025159D">
        <w:rPr>
          <w:rFonts w:ascii="Times New Roman" w:hAnsi="Times New Roman" w:cs="Times New Roman"/>
          <w:sz w:val="24"/>
          <w:szCs w:val="24"/>
        </w:rPr>
        <w:t xml:space="preserve"> (also detailed in </w:t>
      </w:r>
      <w:r w:rsidR="007A62DB"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REF _Ref149837547 \h  \* MERGEFORMAT </w:instrText>
      </w:r>
      <w:r w:rsidR="007A62DB" w:rsidRPr="0025159D">
        <w:rPr>
          <w:rFonts w:ascii="Times New Roman" w:hAnsi="Times New Roman" w:cs="Times New Roman"/>
          <w:sz w:val="24"/>
          <w:szCs w:val="24"/>
        </w:rPr>
      </w:r>
      <w:r w:rsidR="007A62DB"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rPr>
        <w:t xml:space="preserve">Section S </w:t>
      </w:r>
      <w:r w:rsidR="007A62DB" w:rsidRPr="0025159D">
        <w:rPr>
          <w:rFonts w:ascii="Times New Roman" w:hAnsi="Times New Roman" w:cs="Times New Roman"/>
          <w:noProof/>
          <w:sz w:val="24"/>
          <w:szCs w:val="24"/>
        </w:rPr>
        <w:t>5</w:t>
      </w:r>
      <w:r w:rsidR="007A62DB" w:rsidRPr="0025159D">
        <w:rPr>
          <w:rFonts w:ascii="Times New Roman" w:hAnsi="Times New Roman" w:cs="Times New Roman"/>
          <w:sz w:val="24"/>
          <w:szCs w:val="24"/>
        </w:rPr>
        <w:fldChar w:fldCharType="end"/>
      </w:r>
      <w:r w:rsidR="007A62DB" w:rsidRPr="0025159D">
        <w:rPr>
          <w:rFonts w:ascii="Times New Roman" w:hAnsi="Times New Roman" w:cs="Times New Roman"/>
          <w:sz w:val="24"/>
          <w:szCs w:val="24"/>
        </w:rPr>
        <w:t>)</w:t>
      </w:r>
      <w:r w:rsidRPr="0025159D">
        <w:rPr>
          <w:rFonts w:ascii="Times New Roman" w:hAnsi="Times New Roman" w:cs="Times New Roman"/>
          <w:sz w:val="24"/>
          <w:szCs w:val="24"/>
        </w:rPr>
        <w:t xml:space="preserve">. Note that these policies are also included in the Net-Zero deterministic run as well as the </w:t>
      </w:r>
      <w:r w:rsidR="002A14C9" w:rsidRPr="0025159D">
        <w:rPr>
          <w:rFonts w:ascii="Times New Roman" w:hAnsi="Times New Roman" w:cs="Times New Roman"/>
          <w:sz w:val="24"/>
          <w:szCs w:val="24"/>
        </w:rPr>
        <w:t>m</w:t>
      </w:r>
      <w:r w:rsidRPr="0025159D">
        <w:rPr>
          <w:rFonts w:ascii="Times New Roman" w:hAnsi="Times New Roman" w:cs="Times New Roman"/>
          <w:sz w:val="24"/>
          <w:szCs w:val="24"/>
        </w:rPr>
        <w:t xml:space="preserve">odeling to </w:t>
      </w:r>
      <w:r w:rsidR="002A14C9" w:rsidRPr="0025159D">
        <w:rPr>
          <w:rFonts w:ascii="Times New Roman" w:hAnsi="Times New Roman" w:cs="Times New Roman"/>
          <w:sz w:val="24"/>
          <w:szCs w:val="24"/>
        </w:rPr>
        <w:t xml:space="preserve">generate alternatives </w:t>
      </w:r>
      <w:r w:rsidRPr="0025159D">
        <w:rPr>
          <w:rFonts w:ascii="Times New Roman" w:hAnsi="Times New Roman" w:cs="Times New Roman"/>
          <w:sz w:val="24"/>
          <w:szCs w:val="24"/>
        </w:rPr>
        <w:t>(MGA) runs.</w:t>
      </w:r>
      <w:r w:rsidR="0052705D">
        <w:rPr>
          <w:rFonts w:ascii="Times New Roman" w:hAnsi="Times New Roman" w:cs="Times New Roman"/>
          <w:sz w:val="24"/>
          <w:szCs w:val="24"/>
        </w:rPr>
        <w:t xml:space="preserve"> Unlike in the net-zero pathways, there are no additional policies to </w:t>
      </w:r>
      <w:r w:rsidR="00F327E8">
        <w:rPr>
          <w:rFonts w:ascii="Times New Roman" w:hAnsi="Times New Roman" w:cs="Times New Roman"/>
          <w:sz w:val="24"/>
          <w:szCs w:val="24"/>
        </w:rPr>
        <w:t>constrain</w:t>
      </w:r>
      <w:r w:rsidR="0052705D">
        <w:rPr>
          <w:rFonts w:ascii="Times New Roman" w:hAnsi="Times New Roman" w:cs="Times New Roman"/>
          <w:sz w:val="24"/>
          <w:szCs w:val="24"/>
        </w:rPr>
        <w:t xml:space="preserve"> CO</w:t>
      </w:r>
      <w:r w:rsidR="0052705D" w:rsidRPr="008B3DA3">
        <w:rPr>
          <w:rFonts w:ascii="Times New Roman" w:hAnsi="Times New Roman" w:cs="Times New Roman"/>
          <w:sz w:val="24"/>
          <w:szCs w:val="24"/>
          <w:vertAlign w:val="subscript"/>
        </w:rPr>
        <w:t>2</w:t>
      </w:r>
      <w:r w:rsidR="0052705D">
        <w:rPr>
          <w:rFonts w:ascii="Times New Roman" w:hAnsi="Times New Roman" w:cs="Times New Roman"/>
          <w:sz w:val="24"/>
          <w:szCs w:val="24"/>
        </w:rPr>
        <w:t xml:space="preserve"> </w:t>
      </w:r>
      <w:r w:rsidR="00F327E8">
        <w:rPr>
          <w:rFonts w:ascii="Times New Roman" w:hAnsi="Times New Roman" w:cs="Times New Roman"/>
          <w:sz w:val="24"/>
          <w:szCs w:val="24"/>
        </w:rPr>
        <w:t>emissions</w:t>
      </w:r>
      <w:r w:rsidR="0052705D">
        <w:rPr>
          <w:rFonts w:ascii="Times New Roman" w:hAnsi="Times New Roman" w:cs="Times New Roman"/>
          <w:sz w:val="24"/>
          <w:szCs w:val="24"/>
        </w:rPr>
        <w:t xml:space="preserve"> or support mitigation efforts after the provisions in the policies listed above expire.</w:t>
      </w:r>
      <w:r w:rsidRPr="0025159D">
        <w:rPr>
          <w:rFonts w:ascii="Times New Roman" w:hAnsi="Times New Roman" w:cs="Times New Roman"/>
          <w:sz w:val="24"/>
          <w:szCs w:val="24"/>
        </w:rPr>
        <w:t xml:space="preserve"> In this Current-Policy scenario, exogenous fuel prices are based on the Energy Information Administration (EIA) Annual Energy Outlook (AEO) 2022 ‘Reference’ case.</w:t>
      </w:r>
    </w:p>
    <w:p w14:paraId="28BE6CC6" w14:textId="4AD3C7DC" w:rsidR="00CF5E57" w:rsidRPr="0025159D" w:rsidRDefault="00A95B4B" w:rsidP="00A95B4B">
      <w:pPr>
        <w:rPr>
          <w:rFonts w:ascii="Times New Roman" w:hAnsi="Times New Roman" w:cs="Times New Roman"/>
          <w:b/>
          <w:bCs/>
          <w:sz w:val="24"/>
          <w:szCs w:val="24"/>
        </w:rPr>
      </w:pPr>
      <w:r w:rsidRPr="0025159D">
        <w:rPr>
          <w:rFonts w:ascii="Times New Roman" w:hAnsi="Times New Roman" w:cs="Times New Roman"/>
          <w:sz w:val="24"/>
          <w:szCs w:val="24"/>
        </w:rPr>
        <w:t>Net-Zero scenario: This scenario assumes that the U.S. energy system will reach net-zero CO</w:t>
      </w:r>
      <w:r w:rsidRPr="0025159D">
        <w:rPr>
          <w:rFonts w:ascii="Times New Roman" w:hAnsi="Times New Roman" w:cs="Times New Roman"/>
          <w:sz w:val="24"/>
          <w:szCs w:val="24"/>
          <w:vertAlign w:val="subscript"/>
        </w:rPr>
        <w:t xml:space="preserve">2 </w:t>
      </w:r>
      <w:r w:rsidRPr="0025159D">
        <w:rPr>
          <w:rFonts w:ascii="Times New Roman" w:hAnsi="Times New Roman" w:cs="Times New Roman"/>
          <w:sz w:val="24"/>
          <w:szCs w:val="24"/>
        </w:rPr>
        <w:t>emissions by 2050. A constraint in the optimization caps CO</w:t>
      </w:r>
      <w:r w:rsidRPr="0025159D">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emissions across the energy system to achieve this objective</w:t>
      </w:r>
      <w:r w:rsidR="0052705D">
        <w:rPr>
          <w:rFonts w:ascii="Times New Roman" w:hAnsi="Times New Roman" w:cs="Times New Roman"/>
          <w:sz w:val="24"/>
          <w:szCs w:val="24"/>
        </w:rPr>
        <w:t>. The CO</w:t>
      </w:r>
      <w:r w:rsidR="0052705D" w:rsidRPr="00D90B54">
        <w:rPr>
          <w:rFonts w:ascii="Times New Roman" w:hAnsi="Times New Roman" w:cs="Times New Roman"/>
          <w:sz w:val="24"/>
          <w:szCs w:val="24"/>
          <w:vertAlign w:val="subscript"/>
        </w:rPr>
        <w:t>2</w:t>
      </w:r>
      <w:r w:rsidR="0052705D">
        <w:rPr>
          <w:rFonts w:ascii="Times New Roman" w:hAnsi="Times New Roman" w:cs="Times New Roman"/>
          <w:sz w:val="24"/>
          <w:szCs w:val="24"/>
        </w:rPr>
        <w:t xml:space="preserve"> cap is defined </w:t>
      </w:r>
      <w:r w:rsidR="00F327E8">
        <w:rPr>
          <w:rFonts w:ascii="Times New Roman" w:hAnsi="Times New Roman" w:cs="Times New Roman"/>
          <w:sz w:val="24"/>
          <w:szCs w:val="24"/>
        </w:rPr>
        <w:t>as</w:t>
      </w:r>
      <w:r w:rsidRPr="0025159D">
        <w:rPr>
          <w:rFonts w:ascii="Times New Roman" w:hAnsi="Times New Roman" w:cs="Times New Roman"/>
          <w:sz w:val="24"/>
          <w:szCs w:val="24"/>
        </w:rPr>
        <w:t xml:space="preserve"> </w:t>
      </w:r>
      <w:r w:rsidR="0052705D">
        <w:rPr>
          <w:rFonts w:ascii="Times New Roman" w:hAnsi="Times New Roman" w:cs="Times New Roman"/>
          <w:sz w:val="24"/>
          <w:szCs w:val="24"/>
        </w:rPr>
        <w:t xml:space="preserve">a </w:t>
      </w:r>
      <w:r w:rsidRPr="0025159D">
        <w:rPr>
          <w:rFonts w:ascii="Times New Roman" w:hAnsi="Times New Roman" w:cs="Times New Roman"/>
          <w:sz w:val="24"/>
          <w:szCs w:val="24"/>
        </w:rPr>
        <w:t xml:space="preserve">linear </w:t>
      </w:r>
      <w:r w:rsidR="0052705D">
        <w:rPr>
          <w:rFonts w:ascii="Times New Roman" w:hAnsi="Times New Roman" w:cs="Times New Roman"/>
          <w:sz w:val="24"/>
          <w:szCs w:val="24"/>
        </w:rPr>
        <w:t>reduction in annual CO</w:t>
      </w:r>
      <w:r w:rsidR="0052705D" w:rsidRPr="008B3DA3">
        <w:rPr>
          <w:rFonts w:ascii="Times New Roman" w:hAnsi="Times New Roman" w:cs="Times New Roman"/>
          <w:sz w:val="24"/>
          <w:szCs w:val="24"/>
          <w:vertAlign w:val="subscript"/>
        </w:rPr>
        <w:t>2</w:t>
      </w:r>
      <w:r w:rsidR="0052705D">
        <w:rPr>
          <w:rFonts w:ascii="Times New Roman" w:hAnsi="Times New Roman" w:cs="Times New Roman"/>
          <w:sz w:val="24"/>
          <w:szCs w:val="24"/>
        </w:rPr>
        <w:t xml:space="preserve"> emission</w:t>
      </w:r>
      <w:r w:rsidR="002A14C9" w:rsidRPr="0025159D">
        <w:rPr>
          <w:rFonts w:ascii="Times New Roman" w:hAnsi="Times New Roman" w:cs="Times New Roman"/>
          <w:sz w:val="24"/>
          <w:szCs w:val="24"/>
        </w:rPr>
        <w:t xml:space="preserve"> </w:t>
      </w:r>
      <w:r w:rsidRPr="0025159D">
        <w:rPr>
          <w:rFonts w:ascii="Times New Roman" w:hAnsi="Times New Roman" w:cs="Times New Roman"/>
          <w:sz w:val="24"/>
          <w:szCs w:val="24"/>
        </w:rPr>
        <w:t>beginning in the 2020 model period and reaching net-zero by 2050. In this scenario, exogenous fuel prices are based on the EIA AEO 2022 ‘Low Oil Price’ case.</w:t>
      </w:r>
    </w:p>
    <w:p w14:paraId="4098D855" w14:textId="5B3C90C3" w:rsidR="0003686F" w:rsidRPr="0025159D" w:rsidRDefault="00087273" w:rsidP="00D0274A">
      <w:pPr>
        <w:pStyle w:val="Caption"/>
        <w:rPr>
          <w:rFonts w:ascii="Times New Roman" w:hAnsi="Times New Roman" w:cs="Times New Roman"/>
          <w:b/>
          <w:bCs/>
          <w:sz w:val="24"/>
          <w:szCs w:val="24"/>
        </w:rPr>
      </w:pPr>
      <w:r w:rsidRPr="0025159D">
        <w:rPr>
          <w:rFonts w:ascii="Times New Roman" w:hAnsi="Times New Roman" w:cs="Times New Roman"/>
          <w:b/>
          <w:bCs/>
          <w:i w:val="0"/>
          <w:iCs w:val="0"/>
          <w:color w:val="auto"/>
          <w:sz w:val="24"/>
          <w:szCs w:val="24"/>
        </w:rPr>
        <w:t>Section S</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Section_S \* ARABIC </w:instrText>
      </w:r>
      <w:r w:rsidRPr="0025159D">
        <w:rPr>
          <w:rFonts w:ascii="Times New Roman" w:hAnsi="Times New Roman" w:cs="Times New Roman"/>
          <w:b/>
          <w:bCs/>
          <w:i w:val="0"/>
          <w:iCs w:val="0"/>
          <w:color w:val="auto"/>
          <w:sz w:val="24"/>
          <w:szCs w:val="24"/>
        </w:rPr>
        <w:fldChar w:fldCharType="separate"/>
      </w:r>
      <w:r w:rsidR="007A62DB" w:rsidRPr="0025159D">
        <w:rPr>
          <w:rFonts w:ascii="Times New Roman" w:hAnsi="Times New Roman" w:cs="Times New Roman"/>
          <w:b/>
          <w:bCs/>
          <w:i w:val="0"/>
          <w:iCs w:val="0"/>
          <w:noProof/>
          <w:color w:val="auto"/>
          <w:sz w:val="24"/>
          <w:szCs w:val="24"/>
        </w:rPr>
        <w:t>2</w:t>
      </w:r>
      <w:r w:rsidRPr="0025159D">
        <w:rPr>
          <w:rFonts w:ascii="Times New Roman" w:hAnsi="Times New Roman" w:cs="Times New Roman"/>
          <w:b/>
          <w:bCs/>
          <w:i w:val="0"/>
          <w:iCs w:val="0"/>
          <w:color w:val="auto"/>
          <w:sz w:val="24"/>
          <w:szCs w:val="24"/>
        </w:rPr>
        <w:fldChar w:fldCharType="end"/>
      </w:r>
      <w:r w:rsidR="0003686F" w:rsidRPr="0025159D">
        <w:rPr>
          <w:rFonts w:ascii="Times New Roman" w:hAnsi="Times New Roman" w:cs="Times New Roman"/>
          <w:b/>
          <w:bCs/>
          <w:i w:val="0"/>
          <w:iCs w:val="0"/>
          <w:color w:val="auto"/>
          <w:sz w:val="24"/>
          <w:szCs w:val="24"/>
        </w:rPr>
        <w:t>: Application of k-means</w:t>
      </w:r>
      <w:r w:rsidR="00A05686" w:rsidRPr="0025159D">
        <w:rPr>
          <w:rFonts w:ascii="Times New Roman" w:hAnsi="Times New Roman" w:cs="Times New Roman"/>
          <w:b/>
          <w:bCs/>
          <w:i w:val="0"/>
          <w:iCs w:val="0"/>
          <w:color w:val="auto"/>
          <w:sz w:val="24"/>
          <w:szCs w:val="24"/>
        </w:rPr>
        <w:t xml:space="preserve"> </w:t>
      </w:r>
      <w:r w:rsidR="002A14C9" w:rsidRPr="0025159D">
        <w:rPr>
          <w:rFonts w:ascii="Times New Roman" w:hAnsi="Times New Roman" w:cs="Times New Roman"/>
          <w:b/>
          <w:bCs/>
          <w:i w:val="0"/>
          <w:iCs w:val="0"/>
          <w:color w:val="auto"/>
          <w:sz w:val="24"/>
          <w:szCs w:val="24"/>
        </w:rPr>
        <w:t xml:space="preserve">clustering </w:t>
      </w:r>
      <w:r w:rsidR="00A05686" w:rsidRPr="0025159D">
        <w:rPr>
          <w:rFonts w:ascii="Times New Roman" w:hAnsi="Times New Roman" w:cs="Times New Roman"/>
          <w:b/>
          <w:bCs/>
          <w:i w:val="0"/>
          <w:iCs w:val="0"/>
          <w:color w:val="auto"/>
          <w:sz w:val="24"/>
          <w:szCs w:val="24"/>
        </w:rPr>
        <w:t>to select illustrative pathways.</w:t>
      </w:r>
    </w:p>
    <w:p w14:paraId="2FE685B8" w14:textId="5CBAE997" w:rsidR="00EC7E2A" w:rsidRPr="0025159D" w:rsidRDefault="00A05686">
      <w:pPr>
        <w:rPr>
          <w:rFonts w:ascii="Times New Roman" w:hAnsi="Times New Roman" w:cs="Times New Roman"/>
          <w:sz w:val="24"/>
          <w:szCs w:val="24"/>
        </w:rPr>
      </w:pPr>
      <w:r w:rsidRPr="0025159D">
        <w:rPr>
          <w:rFonts w:ascii="Times New Roman" w:hAnsi="Times New Roman" w:cs="Times New Roman"/>
          <w:sz w:val="24"/>
          <w:szCs w:val="24"/>
        </w:rPr>
        <w:t>To highlight the diverse ways in which net-zero CO</w:t>
      </w:r>
      <w:r w:rsidRPr="0025159D">
        <w:rPr>
          <w:rFonts w:ascii="Times New Roman" w:hAnsi="Times New Roman" w:cs="Times New Roman"/>
          <w:sz w:val="24"/>
          <w:szCs w:val="24"/>
          <w:vertAlign w:val="subscript"/>
        </w:rPr>
        <w:t xml:space="preserve">2 </w:t>
      </w:r>
      <w:r w:rsidRPr="0025159D">
        <w:rPr>
          <w:rFonts w:ascii="Times New Roman" w:hAnsi="Times New Roman" w:cs="Times New Roman"/>
          <w:sz w:val="24"/>
          <w:szCs w:val="24"/>
        </w:rPr>
        <w:t xml:space="preserve">emissions can be achieved across the U.S. energy system, </w:t>
      </w:r>
      <w:r w:rsidR="0052705D" w:rsidRPr="0025159D">
        <w:rPr>
          <w:rFonts w:ascii="Times New Roman" w:hAnsi="Times New Roman" w:cs="Times New Roman"/>
          <w:sz w:val="24"/>
          <w:szCs w:val="24"/>
        </w:rPr>
        <w:t xml:space="preserve">Figure 5 of the main manuscript </w:t>
      </w:r>
      <w:r w:rsidR="0052705D">
        <w:rPr>
          <w:rFonts w:ascii="Times New Roman" w:hAnsi="Times New Roman" w:cs="Times New Roman"/>
          <w:sz w:val="24"/>
          <w:szCs w:val="24"/>
        </w:rPr>
        <w:t xml:space="preserve">highlights </w:t>
      </w:r>
      <w:r w:rsidRPr="0025159D">
        <w:rPr>
          <w:rFonts w:ascii="Times New Roman" w:hAnsi="Times New Roman" w:cs="Times New Roman"/>
          <w:sz w:val="24"/>
          <w:szCs w:val="24"/>
        </w:rPr>
        <w:t xml:space="preserve">a set of illustrative pathways. </w:t>
      </w:r>
      <w:r w:rsidR="00F05DE2" w:rsidRPr="00EC7E2A">
        <w:rPr>
          <w:rFonts w:ascii="Times New Roman" w:hAnsi="Times New Roman" w:cs="Times New Roman"/>
          <w:sz w:val="24"/>
          <w:szCs w:val="24"/>
        </w:rPr>
        <w:t xml:space="preserve">We </w:t>
      </w:r>
      <w:r w:rsidR="00F05DE2">
        <w:rPr>
          <w:rFonts w:ascii="Times New Roman" w:hAnsi="Times New Roman" w:cs="Times New Roman"/>
          <w:sz w:val="24"/>
          <w:szCs w:val="24"/>
        </w:rPr>
        <w:t>first create a</w:t>
      </w:r>
      <w:r w:rsidR="00F05DE2" w:rsidRPr="00EC7E2A">
        <w:rPr>
          <w:rFonts w:ascii="Times New Roman" w:hAnsi="Times New Roman" w:cs="Times New Roman"/>
          <w:sz w:val="24"/>
          <w:szCs w:val="24"/>
        </w:rPr>
        <w:t xml:space="preserve"> feature matrix for the 2050 model year, incorporating all relevant parameters (</w:t>
      </w:r>
      <w:r w:rsidR="00F05DE2">
        <w:rPr>
          <w:rFonts w:ascii="Times New Roman" w:hAnsi="Times New Roman" w:cs="Times New Roman"/>
          <w:sz w:val="24"/>
          <w:szCs w:val="24"/>
        </w:rPr>
        <w:t xml:space="preserve">such as </w:t>
      </w:r>
      <w:r w:rsidR="007A62DB" w:rsidRPr="0025159D">
        <w:rPr>
          <w:rFonts w:ascii="Times New Roman" w:hAnsi="Times New Roman" w:cs="Times New Roman"/>
          <w:sz w:val="24"/>
          <w:szCs w:val="24"/>
        </w:rPr>
        <w:t>hydrogen, electricity</w:t>
      </w:r>
      <w:r w:rsidR="00F327E8">
        <w:rPr>
          <w:rFonts w:ascii="Times New Roman" w:hAnsi="Times New Roman" w:cs="Times New Roman"/>
          <w:sz w:val="24"/>
          <w:szCs w:val="24"/>
        </w:rPr>
        <w:t>,</w:t>
      </w:r>
      <w:r w:rsidR="00F05DE2">
        <w:rPr>
          <w:rFonts w:ascii="Times New Roman" w:hAnsi="Times New Roman" w:cs="Times New Roman"/>
          <w:sz w:val="24"/>
          <w:szCs w:val="24"/>
        </w:rPr>
        <w:t xml:space="preserve"> or</w:t>
      </w:r>
      <w:r w:rsidR="007A62DB" w:rsidRPr="0025159D">
        <w:rPr>
          <w:rFonts w:ascii="Times New Roman" w:hAnsi="Times New Roman" w:cs="Times New Roman"/>
          <w:sz w:val="24"/>
          <w:szCs w:val="24"/>
        </w:rPr>
        <w:t xml:space="preserve"> natural gas use) </w:t>
      </w:r>
      <w:r w:rsidRPr="0025159D">
        <w:rPr>
          <w:rFonts w:ascii="Times New Roman" w:hAnsi="Times New Roman" w:cs="Times New Roman"/>
          <w:sz w:val="24"/>
          <w:szCs w:val="24"/>
        </w:rPr>
        <w:t xml:space="preserve">for the 2050 model year. </w:t>
      </w:r>
      <w:r w:rsidR="00F05DE2" w:rsidRPr="00EC7E2A">
        <w:rPr>
          <w:rFonts w:ascii="Times New Roman" w:hAnsi="Times New Roman" w:cs="Times New Roman"/>
          <w:sz w:val="24"/>
          <w:szCs w:val="24"/>
        </w:rPr>
        <w:t xml:space="preserve">Subsequently, we normalized the feature matrix to consider parameters spanning multiple orders of magnitude, ensuring equal weight for each parameter. </w:t>
      </w:r>
      <w:r w:rsidR="00CD5D85" w:rsidRPr="0025159D">
        <w:rPr>
          <w:rFonts w:ascii="Times New Roman" w:hAnsi="Times New Roman" w:cs="Times New Roman"/>
          <w:sz w:val="24"/>
          <w:szCs w:val="24"/>
        </w:rPr>
        <w:t>We then applied k-means clustering and tested for cluster</w:t>
      </w:r>
      <w:r w:rsidR="007A62DB" w:rsidRPr="0025159D">
        <w:rPr>
          <w:rFonts w:ascii="Times New Roman" w:hAnsi="Times New Roman" w:cs="Times New Roman"/>
          <w:sz w:val="24"/>
          <w:szCs w:val="24"/>
        </w:rPr>
        <w:t>s</w:t>
      </w:r>
      <w:r w:rsidR="00CD5D85" w:rsidRPr="0025159D">
        <w:rPr>
          <w:rFonts w:ascii="Times New Roman" w:hAnsi="Times New Roman" w:cs="Times New Roman"/>
          <w:sz w:val="24"/>
          <w:szCs w:val="24"/>
        </w:rPr>
        <w:t xml:space="preserve"> between 2 and 10</w:t>
      </w:r>
      <w:r w:rsidR="004C0EEF" w:rsidRPr="0025159D">
        <w:rPr>
          <w:rFonts w:ascii="Times New Roman" w:hAnsi="Times New Roman" w:cs="Times New Roman"/>
          <w:sz w:val="24"/>
          <w:szCs w:val="24"/>
        </w:rPr>
        <w:t xml:space="preserve">, </w:t>
      </w:r>
      <w:r w:rsidR="00CD5D85" w:rsidRPr="0025159D">
        <w:rPr>
          <w:rFonts w:ascii="Times New Roman" w:hAnsi="Times New Roman" w:cs="Times New Roman"/>
          <w:sz w:val="24"/>
          <w:szCs w:val="24"/>
        </w:rPr>
        <w:t>rank</w:t>
      </w:r>
      <w:r w:rsidR="004C0EEF" w:rsidRPr="0025159D">
        <w:rPr>
          <w:rFonts w:ascii="Times New Roman" w:hAnsi="Times New Roman" w:cs="Times New Roman"/>
          <w:sz w:val="24"/>
          <w:szCs w:val="24"/>
        </w:rPr>
        <w:t>ing</w:t>
      </w:r>
      <w:r w:rsidR="00CD5D85" w:rsidRPr="0025159D">
        <w:rPr>
          <w:rFonts w:ascii="Times New Roman" w:hAnsi="Times New Roman" w:cs="Times New Roman"/>
          <w:sz w:val="24"/>
          <w:szCs w:val="24"/>
        </w:rPr>
        <w:t xml:space="preserve"> our findings based on a</w:t>
      </w:r>
      <w:r w:rsidRPr="0025159D">
        <w:rPr>
          <w:rFonts w:ascii="Times New Roman" w:hAnsi="Times New Roman" w:cs="Times New Roman"/>
          <w:sz w:val="24"/>
          <w:szCs w:val="24"/>
        </w:rPr>
        <w:t xml:space="preserve"> silhouette score and </w:t>
      </w:r>
      <w:r w:rsidR="007A62DB" w:rsidRPr="0025159D">
        <w:rPr>
          <w:rFonts w:ascii="Times New Roman" w:hAnsi="Times New Roman" w:cs="Times New Roman"/>
          <w:sz w:val="24"/>
          <w:szCs w:val="24"/>
        </w:rPr>
        <w:t xml:space="preserve">a </w:t>
      </w:r>
      <w:r w:rsidRPr="0025159D">
        <w:rPr>
          <w:rFonts w:ascii="Times New Roman" w:hAnsi="Times New Roman" w:cs="Times New Roman"/>
          <w:sz w:val="24"/>
          <w:szCs w:val="24"/>
        </w:rPr>
        <w:t>Calinski-Harabasz score</w:t>
      </w:r>
      <w:r w:rsidR="00CD5D85" w:rsidRPr="0025159D">
        <w:rPr>
          <w:rFonts w:ascii="Times New Roman" w:hAnsi="Times New Roman" w:cs="Times New Roman"/>
          <w:sz w:val="24"/>
          <w:szCs w:val="24"/>
        </w:rPr>
        <w:t xml:space="preserve">. We found that </w:t>
      </w:r>
      <w:r w:rsidR="002D6B9B" w:rsidRPr="0025159D">
        <w:rPr>
          <w:rFonts w:ascii="Times New Roman" w:hAnsi="Times New Roman" w:cs="Times New Roman"/>
          <w:sz w:val="24"/>
          <w:szCs w:val="24"/>
        </w:rPr>
        <w:t xml:space="preserve">three </w:t>
      </w:r>
      <w:r w:rsidR="00CD5D85" w:rsidRPr="0025159D">
        <w:rPr>
          <w:rFonts w:ascii="Times New Roman" w:hAnsi="Times New Roman" w:cs="Times New Roman"/>
          <w:sz w:val="24"/>
          <w:szCs w:val="24"/>
        </w:rPr>
        <w:t>cluster</w:t>
      </w:r>
      <w:r w:rsidR="0052705D">
        <w:rPr>
          <w:rFonts w:ascii="Times New Roman" w:hAnsi="Times New Roman" w:cs="Times New Roman"/>
          <w:sz w:val="24"/>
          <w:szCs w:val="24"/>
        </w:rPr>
        <w:t>ing parameters</w:t>
      </w:r>
      <w:r w:rsidR="00CD5D85" w:rsidRPr="0025159D">
        <w:rPr>
          <w:rFonts w:ascii="Times New Roman" w:hAnsi="Times New Roman" w:cs="Times New Roman"/>
          <w:sz w:val="24"/>
          <w:szCs w:val="24"/>
        </w:rPr>
        <w:t xml:space="preserve"> </w:t>
      </w:r>
      <w:r w:rsidRPr="0025159D">
        <w:rPr>
          <w:rFonts w:ascii="Times New Roman" w:hAnsi="Times New Roman" w:cs="Times New Roman"/>
          <w:sz w:val="24"/>
          <w:szCs w:val="24"/>
        </w:rPr>
        <w:t>best represented the set of 2</w:t>
      </w:r>
      <w:r w:rsidR="0090247E" w:rsidRPr="0025159D">
        <w:rPr>
          <w:rFonts w:ascii="Times New Roman" w:hAnsi="Times New Roman" w:cs="Times New Roman"/>
          <w:sz w:val="24"/>
          <w:szCs w:val="24"/>
        </w:rPr>
        <w:t>4</w:t>
      </w:r>
      <w:r w:rsidRPr="0025159D">
        <w:rPr>
          <w:rFonts w:ascii="Times New Roman" w:hAnsi="Times New Roman" w:cs="Times New Roman"/>
          <w:sz w:val="24"/>
          <w:szCs w:val="24"/>
        </w:rPr>
        <w:t xml:space="preserve">0 decarbonization pathways. </w:t>
      </w:r>
      <w:r w:rsidR="00E1330B" w:rsidRPr="0025159D">
        <w:rPr>
          <w:rFonts w:ascii="Times New Roman" w:hAnsi="Times New Roman" w:cs="Times New Roman"/>
          <w:sz w:val="24"/>
          <w:szCs w:val="24"/>
        </w:rPr>
        <w:t>Out of the set of parameters initially introduced</w:t>
      </w:r>
      <w:r w:rsidR="00CD5D85" w:rsidRPr="0025159D">
        <w:rPr>
          <w:rFonts w:ascii="Times New Roman" w:hAnsi="Times New Roman" w:cs="Times New Roman"/>
          <w:sz w:val="24"/>
          <w:szCs w:val="24"/>
        </w:rPr>
        <w:t xml:space="preserve">, </w:t>
      </w:r>
      <w:r w:rsidR="00B41947" w:rsidRPr="0025159D">
        <w:rPr>
          <w:rFonts w:ascii="Times New Roman" w:hAnsi="Times New Roman" w:cs="Times New Roman"/>
          <w:sz w:val="24"/>
          <w:szCs w:val="24"/>
        </w:rPr>
        <w:t>the combination of hydrogen</w:t>
      </w:r>
      <w:r w:rsidR="00CD5D85" w:rsidRPr="0025159D">
        <w:rPr>
          <w:rFonts w:ascii="Times New Roman" w:hAnsi="Times New Roman" w:cs="Times New Roman"/>
          <w:sz w:val="24"/>
          <w:szCs w:val="24"/>
        </w:rPr>
        <w:t xml:space="preserve">, </w:t>
      </w:r>
      <w:r w:rsidR="00B41947" w:rsidRPr="0025159D">
        <w:rPr>
          <w:rFonts w:ascii="Times New Roman" w:hAnsi="Times New Roman" w:cs="Times New Roman"/>
          <w:sz w:val="24"/>
          <w:szCs w:val="24"/>
        </w:rPr>
        <w:t>synthetic liquids</w:t>
      </w:r>
      <w:r w:rsidR="006A61ED" w:rsidRPr="0025159D">
        <w:rPr>
          <w:rFonts w:ascii="Times New Roman" w:hAnsi="Times New Roman" w:cs="Times New Roman"/>
          <w:sz w:val="24"/>
          <w:szCs w:val="24"/>
        </w:rPr>
        <w:t>,</w:t>
      </w:r>
      <w:r w:rsidR="00CD5D85" w:rsidRPr="0025159D">
        <w:rPr>
          <w:rFonts w:ascii="Times New Roman" w:hAnsi="Times New Roman" w:cs="Times New Roman"/>
          <w:sz w:val="24"/>
          <w:szCs w:val="24"/>
        </w:rPr>
        <w:t xml:space="preserve"> and </w:t>
      </w:r>
      <w:r w:rsidR="00B41947" w:rsidRPr="0025159D">
        <w:rPr>
          <w:rFonts w:ascii="Times New Roman" w:hAnsi="Times New Roman" w:cs="Times New Roman"/>
          <w:sz w:val="24"/>
          <w:szCs w:val="24"/>
        </w:rPr>
        <w:t>petroleum</w:t>
      </w:r>
      <w:r w:rsidR="00E52C4F" w:rsidRPr="0025159D">
        <w:rPr>
          <w:rFonts w:ascii="Times New Roman" w:hAnsi="Times New Roman" w:cs="Times New Roman"/>
          <w:sz w:val="24"/>
          <w:szCs w:val="24"/>
        </w:rPr>
        <w:t xml:space="preserve"> use </w:t>
      </w:r>
      <w:r w:rsidR="00F327E8">
        <w:rPr>
          <w:rFonts w:ascii="Times New Roman" w:hAnsi="Times New Roman" w:cs="Times New Roman"/>
          <w:sz w:val="24"/>
          <w:szCs w:val="24"/>
        </w:rPr>
        <w:t>was</w:t>
      </w:r>
      <w:r w:rsidR="00CD5D85" w:rsidRPr="0025159D">
        <w:rPr>
          <w:rFonts w:ascii="Times New Roman" w:hAnsi="Times New Roman" w:cs="Times New Roman"/>
          <w:sz w:val="24"/>
          <w:szCs w:val="24"/>
        </w:rPr>
        <w:t xml:space="preserve"> associated with the most favorable scores. Next, we divided the 2</w:t>
      </w:r>
      <w:r w:rsidR="0090247E" w:rsidRPr="0025159D">
        <w:rPr>
          <w:rFonts w:ascii="Times New Roman" w:hAnsi="Times New Roman" w:cs="Times New Roman"/>
          <w:sz w:val="24"/>
          <w:szCs w:val="24"/>
        </w:rPr>
        <w:t>4</w:t>
      </w:r>
      <w:r w:rsidR="00CD5D85" w:rsidRPr="0025159D">
        <w:rPr>
          <w:rFonts w:ascii="Times New Roman" w:hAnsi="Times New Roman" w:cs="Times New Roman"/>
          <w:sz w:val="24"/>
          <w:szCs w:val="24"/>
        </w:rPr>
        <w:t>0 decarbonization runs into low/high hydrogen</w:t>
      </w:r>
      <w:r w:rsidR="00F327E8">
        <w:rPr>
          <w:rFonts w:ascii="Times New Roman" w:hAnsi="Times New Roman" w:cs="Times New Roman"/>
          <w:sz w:val="24"/>
          <w:szCs w:val="24"/>
        </w:rPr>
        <w:t>,</w:t>
      </w:r>
      <w:r w:rsidR="00CD5D85" w:rsidRPr="0025159D">
        <w:rPr>
          <w:rFonts w:ascii="Times New Roman" w:hAnsi="Times New Roman" w:cs="Times New Roman"/>
          <w:sz w:val="24"/>
          <w:szCs w:val="24"/>
        </w:rPr>
        <w:t xml:space="preserve"> low/high direct air capture</w:t>
      </w:r>
      <w:r w:rsidR="00F327E8">
        <w:rPr>
          <w:rFonts w:ascii="Times New Roman" w:hAnsi="Times New Roman" w:cs="Times New Roman"/>
          <w:sz w:val="24"/>
          <w:szCs w:val="24"/>
        </w:rPr>
        <w:t>,</w:t>
      </w:r>
      <w:r w:rsidR="00CD5D85" w:rsidRPr="0025159D">
        <w:rPr>
          <w:rFonts w:ascii="Times New Roman" w:hAnsi="Times New Roman" w:cs="Times New Roman"/>
          <w:sz w:val="24"/>
          <w:szCs w:val="24"/>
        </w:rPr>
        <w:t xml:space="preserve"> and low/high electricity use. Low and high were defined as the lowest 25</w:t>
      </w:r>
      <w:r w:rsidR="00CD5D85" w:rsidRPr="0025159D">
        <w:rPr>
          <w:rFonts w:ascii="Times New Roman" w:hAnsi="Times New Roman" w:cs="Times New Roman"/>
          <w:sz w:val="24"/>
          <w:szCs w:val="24"/>
          <w:vertAlign w:val="superscript"/>
        </w:rPr>
        <w:t>th</w:t>
      </w:r>
      <w:r w:rsidR="00CD5D85" w:rsidRPr="0025159D">
        <w:rPr>
          <w:rFonts w:ascii="Times New Roman" w:hAnsi="Times New Roman" w:cs="Times New Roman"/>
          <w:sz w:val="24"/>
          <w:szCs w:val="24"/>
        </w:rPr>
        <w:t xml:space="preserve"> percentile or higher than the 75</w:t>
      </w:r>
      <w:r w:rsidR="00CD5D85" w:rsidRPr="0025159D">
        <w:rPr>
          <w:rFonts w:ascii="Times New Roman" w:hAnsi="Times New Roman" w:cs="Times New Roman"/>
          <w:sz w:val="24"/>
          <w:szCs w:val="24"/>
          <w:vertAlign w:val="superscript"/>
        </w:rPr>
        <w:t>th</w:t>
      </w:r>
      <w:r w:rsidR="00CD5D85" w:rsidRPr="0025159D">
        <w:rPr>
          <w:rFonts w:ascii="Times New Roman" w:hAnsi="Times New Roman" w:cs="Times New Roman"/>
          <w:sz w:val="24"/>
          <w:szCs w:val="24"/>
        </w:rPr>
        <w:t xml:space="preserve"> percentile of the </w:t>
      </w:r>
      <w:r w:rsidR="00356E60" w:rsidRPr="0025159D">
        <w:rPr>
          <w:rFonts w:ascii="Times New Roman" w:hAnsi="Times New Roman" w:cs="Times New Roman"/>
          <w:sz w:val="24"/>
          <w:szCs w:val="24"/>
        </w:rPr>
        <w:t xml:space="preserve">240 </w:t>
      </w:r>
      <w:r w:rsidR="00CD5D85" w:rsidRPr="0025159D">
        <w:rPr>
          <w:rFonts w:ascii="Times New Roman" w:hAnsi="Times New Roman" w:cs="Times New Roman"/>
          <w:sz w:val="24"/>
          <w:szCs w:val="24"/>
        </w:rPr>
        <w:t xml:space="preserve">decarbonization runs. The features we identified above were then used to find the cluster centers in each of these low/high groups. </w:t>
      </w:r>
      <w:r w:rsidR="00F46176">
        <w:rPr>
          <w:rFonts w:ascii="Times New Roman" w:hAnsi="Times New Roman" w:cs="Times New Roman"/>
          <w:sz w:val="24"/>
          <w:szCs w:val="24"/>
        </w:rPr>
        <w:t xml:space="preserve">We identified the </w:t>
      </w:r>
      <w:r w:rsidR="00CD5D85" w:rsidRPr="0025159D">
        <w:rPr>
          <w:rFonts w:ascii="Times New Roman" w:hAnsi="Times New Roman" w:cs="Times New Roman"/>
          <w:sz w:val="24"/>
          <w:szCs w:val="24"/>
        </w:rPr>
        <w:t xml:space="preserve">nearest </w:t>
      </w:r>
      <w:r w:rsidR="00CD5D85" w:rsidRPr="0025159D">
        <w:rPr>
          <w:rFonts w:ascii="Times New Roman" w:hAnsi="Times New Roman" w:cs="Times New Roman"/>
          <w:sz w:val="24"/>
          <w:szCs w:val="24"/>
        </w:rPr>
        <w:lastRenderedPageBreak/>
        <w:t xml:space="preserve">decarbonization pathways to the cluster center based on the </w:t>
      </w:r>
      <w:r w:rsidR="00EC7E2A" w:rsidRPr="0025159D">
        <w:rPr>
          <w:rFonts w:ascii="Times New Roman" w:hAnsi="Times New Roman" w:cs="Times New Roman"/>
          <w:sz w:val="24"/>
          <w:szCs w:val="24"/>
        </w:rPr>
        <w:t>Euclidean</w:t>
      </w:r>
      <w:r w:rsidR="00CD5D85" w:rsidRPr="0025159D">
        <w:rPr>
          <w:rFonts w:ascii="Times New Roman" w:hAnsi="Times New Roman" w:cs="Times New Roman"/>
          <w:sz w:val="24"/>
          <w:szCs w:val="24"/>
        </w:rPr>
        <w:t xml:space="preserve"> </w:t>
      </w:r>
      <w:r w:rsidR="00EC7E2A" w:rsidRPr="0025159D">
        <w:rPr>
          <w:rFonts w:ascii="Times New Roman" w:hAnsi="Times New Roman" w:cs="Times New Roman"/>
          <w:sz w:val="24"/>
          <w:szCs w:val="24"/>
        </w:rPr>
        <w:t>distance and</w:t>
      </w:r>
      <w:r w:rsidR="00CD5D85" w:rsidRPr="0025159D">
        <w:rPr>
          <w:rFonts w:ascii="Times New Roman" w:hAnsi="Times New Roman" w:cs="Times New Roman"/>
          <w:sz w:val="24"/>
          <w:szCs w:val="24"/>
        </w:rPr>
        <w:t xml:space="preserve"> </w:t>
      </w:r>
      <w:r w:rsidR="00F327E8">
        <w:rPr>
          <w:rFonts w:ascii="Times New Roman" w:hAnsi="Times New Roman" w:cs="Times New Roman"/>
          <w:sz w:val="24"/>
          <w:szCs w:val="24"/>
        </w:rPr>
        <w:t>presented</w:t>
      </w:r>
      <w:r w:rsidR="00F46176">
        <w:rPr>
          <w:rFonts w:ascii="Times New Roman" w:hAnsi="Times New Roman" w:cs="Times New Roman"/>
          <w:sz w:val="24"/>
          <w:szCs w:val="24"/>
        </w:rPr>
        <w:t xml:space="preserve"> these</w:t>
      </w:r>
      <w:r w:rsidR="00CD5D85" w:rsidRPr="0025159D">
        <w:rPr>
          <w:rFonts w:ascii="Times New Roman" w:hAnsi="Times New Roman" w:cs="Times New Roman"/>
          <w:sz w:val="24"/>
          <w:szCs w:val="24"/>
        </w:rPr>
        <w:t xml:space="preserve"> as </w:t>
      </w:r>
      <w:r w:rsidR="00F46176">
        <w:rPr>
          <w:rFonts w:ascii="Times New Roman" w:hAnsi="Times New Roman" w:cs="Times New Roman"/>
          <w:sz w:val="24"/>
          <w:szCs w:val="24"/>
        </w:rPr>
        <w:t xml:space="preserve">the </w:t>
      </w:r>
      <w:r w:rsidR="00CD5D85" w:rsidRPr="0025159D">
        <w:rPr>
          <w:rFonts w:ascii="Times New Roman" w:hAnsi="Times New Roman" w:cs="Times New Roman"/>
          <w:sz w:val="24"/>
          <w:szCs w:val="24"/>
        </w:rPr>
        <w:t xml:space="preserve">illustrative </w:t>
      </w:r>
      <w:r w:rsidR="0052705D">
        <w:rPr>
          <w:rFonts w:ascii="Times New Roman" w:hAnsi="Times New Roman" w:cs="Times New Roman"/>
          <w:sz w:val="24"/>
          <w:szCs w:val="24"/>
        </w:rPr>
        <w:t>pathways</w:t>
      </w:r>
      <w:r w:rsidR="00E1330B" w:rsidRPr="0025159D">
        <w:rPr>
          <w:rFonts w:ascii="Times New Roman" w:hAnsi="Times New Roman" w:cs="Times New Roman"/>
          <w:sz w:val="24"/>
          <w:szCs w:val="24"/>
        </w:rPr>
        <w:t xml:space="preserve"> in Figure 5</w:t>
      </w:r>
      <w:r w:rsidR="00F46176">
        <w:rPr>
          <w:rFonts w:ascii="Times New Roman" w:hAnsi="Times New Roman" w:cs="Times New Roman"/>
          <w:sz w:val="24"/>
          <w:szCs w:val="24"/>
        </w:rPr>
        <w:t xml:space="preserve"> in the main manuscript</w:t>
      </w:r>
      <w:r w:rsidR="00CD5D85" w:rsidRPr="0025159D">
        <w:rPr>
          <w:rFonts w:ascii="Times New Roman" w:hAnsi="Times New Roman" w:cs="Times New Roman"/>
          <w:sz w:val="24"/>
          <w:szCs w:val="24"/>
        </w:rPr>
        <w:t xml:space="preserve">. </w:t>
      </w:r>
    </w:p>
    <w:p w14:paraId="2607751E" w14:textId="02240951" w:rsidR="00275375" w:rsidRPr="0025159D" w:rsidRDefault="007A62DB" w:rsidP="00D0274A">
      <w:pPr>
        <w:pStyle w:val="Caption"/>
        <w:rPr>
          <w:rFonts w:ascii="Times New Roman" w:hAnsi="Times New Roman" w:cs="Times New Roman"/>
          <w:b/>
          <w:bCs/>
          <w:sz w:val="24"/>
          <w:szCs w:val="24"/>
        </w:rPr>
      </w:pPr>
      <w:r w:rsidRPr="0025159D">
        <w:rPr>
          <w:rFonts w:ascii="Times New Roman" w:hAnsi="Times New Roman" w:cs="Times New Roman"/>
          <w:b/>
          <w:bCs/>
          <w:i w:val="0"/>
          <w:iCs w:val="0"/>
          <w:color w:val="auto"/>
          <w:sz w:val="24"/>
          <w:szCs w:val="24"/>
        </w:rPr>
        <w:t>Section S</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Section_S \* ARABIC </w:instrText>
      </w:r>
      <w:r w:rsidRPr="0025159D">
        <w:rPr>
          <w:rFonts w:ascii="Times New Roman" w:hAnsi="Times New Roman" w:cs="Times New Roman"/>
          <w:b/>
          <w:bCs/>
          <w:i w:val="0"/>
          <w:iCs w:val="0"/>
          <w:color w:val="auto"/>
          <w:sz w:val="24"/>
          <w:szCs w:val="24"/>
        </w:rPr>
        <w:fldChar w:fldCharType="separate"/>
      </w:r>
      <w:r w:rsidRPr="0025159D">
        <w:rPr>
          <w:rFonts w:ascii="Times New Roman" w:hAnsi="Times New Roman" w:cs="Times New Roman"/>
          <w:b/>
          <w:bCs/>
          <w:i w:val="0"/>
          <w:iCs w:val="0"/>
          <w:noProof/>
          <w:color w:val="auto"/>
          <w:sz w:val="24"/>
          <w:szCs w:val="24"/>
        </w:rPr>
        <w:t>3</w:t>
      </w:r>
      <w:r w:rsidRPr="0025159D">
        <w:rPr>
          <w:rFonts w:ascii="Times New Roman" w:hAnsi="Times New Roman" w:cs="Times New Roman"/>
          <w:b/>
          <w:bCs/>
          <w:i w:val="0"/>
          <w:iCs w:val="0"/>
          <w:color w:val="auto"/>
          <w:sz w:val="24"/>
          <w:szCs w:val="24"/>
        </w:rPr>
        <w:fldChar w:fldCharType="end"/>
      </w:r>
      <w:r w:rsidR="00275375" w:rsidRPr="0025159D">
        <w:rPr>
          <w:rFonts w:ascii="Times New Roman" w:hAnsi="Times New Roman" w:cs="Times New Roman"/>
          <w:b/>
          <w:bCs/>
          <w:i w:val="0"/>
          <w:iCs w:val="0"/>
          <w:color w:val="auto"/>
          <w:sz w:val="24"/>
          <w:szCs w:val="24"/>
        </w:rPr>
        <w:t>: Temporal-resolution representation sensitivity</w:t>
      </w:r>
    </w:p>
    <w:p w14:paraId="4FF75C1E" w14:textId="60A043F3" w:rsidR="008B4F66" w:rsidRDefault="00BD655D" w:rsidP="00E2750E">
      <w:pPr>
        <w:rPr>
          <w:rFonts w:ascii="Times New Roman" w:hAnsi="Times New Roman" w:cs="Times New Roman"/>
          <w:sz w:val="24"/>
          <w:szCs w:val="24"/>
        </w:rPr>
      </w:pPr>
      <w:r w:rsidRPr="0025159D">
        <w:rPr>
          <w:rFonts w:ascii="Times New Roman" w:hAnsi="Times New Roman" w:cs="Times New Roman"/>
          <w:sz w:val="24"/>
          <w:szCs w:val="24"/>
        </w:rPr>
        <w:t>Research has highlighted the importance of adequate representations of operation detail in capacity expansion models</w:t>
      </w:r>
      <w:r w:rsidR="002D6B9B" w:rsidRPr="0025159D">
        <w:rPr>
          <w:rFonts w:ascii="Times New Roman" w:hAnsi="Times New Roman" w:cs="Times New Roman"/>
          <w:sz w:val="24"/>
          <w:szCs w:val="24"/>
        </w:rPr>
        <w:t xml:space="preserve"> for the power system</w:t>
      </w:r>
      <w:r w:rsidRPr="0025159D">
        <w:rPr>
          <w:rFonts w:ascii="Times New Roman" w:hAnsi="Times New Roman" w:cs="Times New Roman"/>
          <w:sz w:val="24"/>
          <w:szCs w:val="24"/>
        </w:rPr>
        <w:t>, particularly at higher renewable penetration levels.</w:t>
      </w:r>
      <w:r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ADDIN ZOTERO_ITEM CSL_CITATION {"citationID":"PR5hWXCm","properties":{"formattedCitation":"\\super 9,10\\nosupersub{}","plainCitation":"9,10","noteIndex":0},"citationItems":[{"id":5142,"uris":["http://zotero.org/users/3151432/items/MWCWELEL"],"itemData":{"id":5142,"type":"article-journal","abstract":"To limit the computational cost, bottom-up long-term (LT) energy-system planning models typically have a stylized temporal representation and do not consider techno-economic operational constraints of power plants. Both these simpliﬁcations have been shown to have a signiﬁcant impact on the results. However, increasing the level of temporal and techno-economic operational detail will result in an increased computational cost. In this regard, the ﬁrst goal of this work is to quantify which of these simpliﬁcations has the highest impact on the results, and should therefore be prioritized for improving. To do so, the impact of both the low level of temporal and techno-economic operational detail are quantiﬁed for a varying penetration of intermittent renewable energy sources (IRES). For a high penetration of IRES, the gains obtained by improving the temporal representation are shown to outweigh the gains obtained by incorporating detailed techno-economic operational constraints. Therefore, improving the temporal representation is suggested to be prioritized. The second goal of this paper is to identify opportunities for model improvements. Different approaches to improve the temporal representation are proposed. While the focus in the literature lies primarily on the impact of the temporal resolution, this work more fundamentally considers and assesses different approaches of dealing with the temporal dimension. Using a different approach of deﬁning the time slices to explicitly account for IRES variability is found to lead to a higher accuracy than can be obtained by simply increasing the temporal resolution, while requiring a lower number of time slices. Moreover, a temporal representation based on selecting a set of representative days can achieve an even higher accuracy, albeit requiring a higher number of time slices. An additional advantage of using representative days is that chronology is retained such that the impact of short-term dynamic ﬂuctuations of IRES can be accounted for.","container-title":"Applied Energy","DOI":"10.1016/j.apenergy.2015.10.100","ISSN":"03062619","journalAbbreviation":"Applied Energy","language":"en","page":"631-643","source":"DOI.org (Crossref)","title":"Impact of the level of temporal and operational detail in energy-system planning models","volume":"162","author":[{"family":"Poncelet","given":"Kris"},{"family":"Delarue","given":"Erik"},{"family":"Six","given":"Daan"},{"family":"Duerinck","given":"Jan"},{"family":"D’haeseleer","given":"William"}],"issued":{"date-parts":[["2016",1]]}}},{"id":5253,"uris":["http://zotero.org/users/3151432/items/D299C6PJ"],"itemData":{"id":5253,"type":"article-journal","abstract":"Power sector capacity expansion models (CEMs) explore least-cost infrastructure trends under alternate techno-economic and policy scenarios. To maintain computational tractability when considering investment decisions over multiple decades, CEMs typically rely on a compact representation of annual hourly grid operations. Even as CEMs are being used to explore the role of variable renewable energy (RE) sources in the transition to a low-carbon grid, the required temporal resolution and operational detail in a CEM to adequately capture the fundamental economics of RE sources remains an open question. Here, we investigate the impact of embedding additional operational and temporal details in a CEM framework on the resulting projections for generation capacity additions and their utilization. Our approach is based on systematically comparing the outputs from a “chronological” CEM (C-CEM), which models annual grid operations using up to 12 representative days (288 h), with outputs from a commonly used “time slice” CEM (TS-CEM), using seasonally-averaged time blocks. The CEMs mainly differ in their representation of operational ﬂexibility of thermal generators as well as the temporal resolution of load and RE generation. Studying the Texas grid over a range of hypothetical RE penetration scenarios, we ﬁnd that, more often than not, the TS-CEM estimates higher solar capacity and lesser wind and natural gas capacity relative to the C-CEM, with 35% higher solar capacity projected by the TS-CEM in one scenario. We also test capacity projections of both CEMs through an hourly grid operations model to explore operational metrics, such as the ability to meet demand subject to intra and inter-annual variations in load and RE generation. This experiment reveals that C-CEM projections consistently lead to lower unmet demand compared to the TS-CEM capacity projections. These ﬁndings imply the need for sufﬁcient temporal resolution and chronology or validated parameterizations that yield similar behavior to be included in power sector CEMs and multi-sector energy-economic models using a time slice representation.","container-title":"Energy","DOI":"10.1016/j.energy.2018.08.015","ISSN":"03605442","journalAbbreviation":"Energy","language":"en","page":"1231-1244","source":"DOI.org (Crossref)","title":"Impact of model resolution on scenario outcomes for electricity sector system expansion","volume":"163","author":[{"family":"Mallapragada","given":"Dharik S."},{"family":"Papageorgiou","given":"Dimitri J."},{"family":"Venkatesh","given":"Aranya"},{"family":"Lara","given":"Cristiana L."},{"family":"Grossmann","given":"Ignacio E."}],"issued":{"date-parts":[["2018",11]]}}}],"schema":"https://github.com/citation-style-language/schema/raw/master/csl-citation.json"} </w:instrText>
      </w:r>
      <w:r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vertAlign w:val="superscript"/>
        </w:rPr>
        <w:t>9,10</w:t>
      </w:r>
      <w:r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t>
      </w:r>
      <w:r w:rsidR="00452FA2" w:rsidRPr="0025159D">
        <w:rPr>
          <w:rFonts w:ascii="Times New Roman" w:hAnsi="Times New Roman" w:cs="Times New Roman"/>
          <w:sz w:val="24"/>
          <w:szCs w:val="24"/>
        </w:rPr>
        <w:t>The incorporation of this operational detail comes with</w:t>
      </w:r>
      <w:r w:rsidR="008B4F66">
        <w:rPr>
          <w:rFonts w:ascii="Times New Roman" w:hAnsi="Times New Roman" w:cs="Times New Roman"/>
          <w:sz w:val="24"/>
          <w:szCs w:val="24"/>
        </w:rPr>
        <w:t xml:space="preserve"> </w:t>
      </w:r>
      <w:r w:rsidR="0052705D">
        <w:rPr>
          <w:rFonts w:ascii="Times New Roman" w:hAnsi="Times New Roman" w:cs="Times New Roman"/>
          <w:sz w:val="24"/>
          <w:szCs w:val="24"/>
        </w:rPr>
        <w:t>an</w:t>
      </w:r>
      <w:r w:rsidR="008E0DB6">
        <w:rPr>
          <w:rFonts w:ascii="Times New Roman" w:hAnsi="Times New Roman" w:cs="Times New Roman"/>
          <w:sz w:val="24"/>
          <w:szCs w:val="24"/>
        </w:rPr>
        <w:t xml:space="preserve"> </w:t>
      </w:r>
      <w:r w:rsidR="00452FA2" w:rsidRPr="0025159D">
        <w:rPr>
          <w:rFonts w:ascii="Times New Roman" w:hAnsi="Times New Roman" w:cs="Times New Roman"/>
          <w:sz w:val="24"/>
          <w:szCs w:val="24"/>
        </w:rPr>
        <w:t xml:space="preserve">additional computational burden. </w:t>
      </w:r>
      <w:r w:rsidR="001272F6">
        <w:rPr>
          <w:rFonts w:ascii="Times New Roman" w:hAnsi="Times New Roman" w:cs="Times New Roman"/>
          <w:sz w:val="24"/>
          <w:szCs w:val="24"/>
        </w:rPr>
        <w:t>D</w:t>
      </w:r>
      <w:r w:rsidR="006F2545" w:rsidRPr="0025159D">
        <w:rPr>
          <w:rFonts w:ascii="Times New Roman" w:hAnsi="Times New Roman" w:cs="Times New Roman"/>
          <w:sz w:val="24"/>
          <w:szCs w:val="24"/>
        </w:rPr>
        <w:t xml:space="preserve">epending on the computational resource available at an energy system modeler’s disposal, </w:t>
      </w:r>
      <w:r w:rsidR="00452FA2" w:rsidRPr="0025159D">
        <w:rPr>
          <w:rFonts w:ascii="Times New Roman" w:hAnsi="Times New Roman" w:cs="Times New Roman"/>
          <w:sz w:val="24"/>
          <w:szCs w:val="24"/>
        </w:rPr>
        <w:t xml:space="preserve">it </w:t>
      </w:r>
      <w:r w:rsidR="001272F6">
        <w:rPr>
          <w:rFonts w:ascii="Times New Roman" w:hAnsi="Times New Roman" w:cs="Times New Roman"/>
          <w:sz w:val="24"/>
          <w:szCs w:val="24"/>
        </w:rPr>
        <w:t>may be</w:t>
      </w:r>
      <w:r w:rsidR="00452FA2" w:rsidRPr="0025159D">
        <w:rPr>
          <w:rFonts w:ascii="Times New Roman" w:hAnsi="Times New Roman" w:cs="Times New Roman"/>
          <w:sz w:val="24"/>
          <w:szCs w:val="24"/>
        </w:rPr>
        <w:t xml:space="preserve"> possible to run optimization models (in a greenfield setting) of up to 96 regions with 2-hourly time steps for a year for hundreds of scenarios in “reasonable” amounts of time.</w:t>
      </w:r>
      <w:r w:rsidR="00AA7905"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ADDIN ZOTERO_ITEM CSL_CITATION {"citationID":"KnAlSPFj","properties":{"formattedCitation":"\\super 11\\nosupersub{}","plainCitation":"11","noteIndex":0},"citationItems":[{"id":5144,"uris":["http://zotero.org/users/3151432/items/KS5DKVAB"],"itemData":{"id":5144,"type":"article-journal","abstract":"Disagreements persist on how to design a self-sufﬁcient, carbonneutral European energy system. To explore the diversity of design options, we develop a high-resolution model of the entire European energy system and produce 441 technically feasible system designs that are within 10% of the optimal economic cost. We show that a wide range of systems based on renewable energy are feasible, with no need to import energy from outside Europe. Model solutions reveal considerable ﬂexibility in the choice and geographical distribution of new infrastructure across the continent. Balanced renewable energy supply can be achieved either with or without mechanisms such as biofuel use, curtailment, and expansion of the electricity network. Trade-offs emerge once speciﬁc preferences are imposed. Low biofuel use, for example, requires heat electriﬁcation and controlled vehicle charging. This exploration of the impact of preferences on system design options is vital to inform urgent, politically difﬁcult decisions for eliminating fossil fuel imports and achieving European carbon neutrality.","container-title":"Joule","DOI":"10.1016/j.joule.2022.05.009","ISSN":"25424351","issue":"6","journalAbbreviation":"Joule","language":"en","page":"1253-1276","source":"DOI.org (Crossref)","title":"Diversity of options to eliminate fossil fuels and reach carbon neutrality across the entire European energy system","volume":"6","author":[{"family":"Pickering","given":"Bryn"},{"family":"Lombardi","given":"Francesco"},{"family":"Pfenninger","given":"Stefan"}],"issued":{"date-parts":[["2022",6]]}}}],"schema":"https://github.com/citation-style-language/schema/raw/master/csl-citation.json"} </w:instrText>
      </w:r>
      <w:r w:rsidR="00AA7905"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vertAlign w:val="superscript"/>
        </w:rPr>
        <w:t>11</w:t>
      </w:r>
      <w:r w:rsidR="00AA7905" w:rsidRPr="0025159D">
        <w:rPr>
          <w:rFonts w:ascii="Times New Roman" w:hAnsi="Times New Roman" w:cs="Times New Roman"/>
          <w:sz w:val="24"/>
          <w:szCs w:val="24"/>
        </w:rPr>
        <w:fldChar w:fldCharType="end"/>
      </w:r>
      <w:r w:rsidR="00452FA2" w:rsidRPr="0025159D">
        <w:rPr>
          <w:rFonts w:ascii="Times New Roman" w:hAnsi="Times New Roman" w:cs="Times New Roman"/>
          <w:sz w:val="24"/>
          <w:szCs w:val="24"/>
        </w:rPr>
        <w:t xml:space="preserve"> However, </w:t>
      </w:r>
      <w:r w:rsidR="00AA7905" w:rsidRPr="0025159D">
        <w:rPr>
          <w:rFonts w:ascii="Times New Roman" w:hAnsi="Times New Roman" w:cs="Times New Roman"/>
          <w:sz w:val="24"/>
          <w:szCs w:val="24"/>
        </w:rPr>
        <w:t xml:space="preserve">even highly detailed models </w:t>
      </w:r>
      <w:r w:rsidR="000A0CD3">
        <w:rPr>
          <w:rFonts w:ascii="Times New Roman" w:hAnsi="Times New Roman" w:cs="Times New Roman"/>
          <w:sz w:val="24"/>
          <w:szCs w:val="24"/>
        </w:rPr>
        <w:t xml:space="preserve">produce </w:t>
      </w:r>
      <w:r w:rsidR="008E0DB6">
        <w:rPr>
          <w:rFonts w:ascii="Times New Roman" w:hAnsi="Times New Roman" w:cs="Times New Roman"/>
          <w:sz w:val="24"/>
          <w:szCs w:val="24"/>
        </w:rPr>
        <w:t>output</w:t>
      </w:r>
      <w:r w:rsidR="000A0CD3">
        <w:rPr>
          <w:rFonts w:ascii="Times New Roman" w:hAnsi="Times New Roman" w:cs="Times New Roman"/>
          <w:sz w:val="24"/>
          <w:szCs w:val="24"/>
        </w:rPr>
        <w:t>s with uncertainty</w:t>
      </w:r>
      <w:r w:rsidR="00AA7905" w:rsidRPr="0025159D">
        <w:rPr>
          <w:rFonts w:ascii="Times New Roman" w:hAnsi="Times New Roman" w:cs="Times New Roman"/>
          <w:sz w:val="24"/>
          <w:szCs w:val="24"/>
        </w:rPr>
        <w:t>.</w:t>
      </w:r>
      <w:r w:rsidR="006F2545"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ADDIN ZOTERO_ITEM CSL_CITATION {"citationID":"TsQQZe8p","properties":{"formattedCitation":"\\super 12\\nosupersub{}","plainCitation":"12","noteIndex":0},"citationItems":[{"id":4787,"uris":["http://zotero.org/users/3151432/items/63H6MNZB"],"itemData":{"id":4787,"type":"article-journal","abstract":"Energy system optimization models (ESOMs) are widely used to generate insight that informs energy and environmental policy. Using ESOMs to produce policy-relevant insight requires signiﬁcant modeler judgement, yet little formal guidance exists on how to conduct analysis with ESOMs. To address this shortcoming, we draw on our collective modelling experience and conduct an extensive literature review to formalize best practice for energy system optimization modelling. We begin by articulating a set of overarching principles that can be used to guide ESOM-based analysis. To help operationalize the guiding principles, we outline and explain critical steps in the modelling process, including how to formulate research questions, set spatio-temporal boundaries, consider appropriate model features, conduct and reﬁne the analysis, quantify uncertainty, and communicate insights. We highlight the need to develop and reﬁne formal guidance on ESOM application, which comes at a critical time as ESOMs are being used to inform national climate targets.","container-title":"Applied Energy","DOI":"10.1016/j.apenergy.2017.03.001","ISSN":"03062619","journalAbbreviation":"Applied Energy","language":"en","page":"184-198","source":"DOI.org (Crossref)","title":"Formalizing best practice for energy system optimization modelling","volume":"194","author":[{"family":"DeCarolis","given":"Joseph"},{"family":"Daly","given":"Hannah"},{"family":"Dodds","given":"Paul"},{"family":"Keppo","given":"Ilkka"},{"family":"Li","given":"Francis"},{"family":"McDowall","given":"Will"},{"family":"Pye","given":"Steve"},{"family":"Strachan","given":"Neil"},{"family":"Trutnevyte","given":"Evelina"},{"family":"Usher","given":"Will"},{"family":"Winning","given":"Matthew"},{"family":"Yeh","given":"Sonia"},{"family":"Zeyringer","given":"Marianne"}],"issued":{"date-parts":[["2017",5]]}}}],"schema":"https://github.com/citation-style-language/schema/raw/master/csl-citation.json"} </w:instrText>
      </w:r>
      <w:r w:rsidR="006F2545"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vertAlign w:val="superscript"/>
        </w:rPr>
        <w:t>12</w:t>
      </w:r>
      <w:r w:rsidR="006F2545" w:rsidRPr="0025159D">
        <w:rPr>
          <w:rFonts w:ascii="Times New Roman" w:hAnsi="Times New Roman" w:cs="Times New Roman"/>
          <w:sz w:val="24"/>
          <w:szCs w:val="24"/>
        </w:rPr>
        <w:fldChar w:fldCharType="end"/>
      </w:r>
      <w:r w:rsidR="00AA7905" w:rsidRPr="0025159D">
        <w:rPr>
          <w:rFonts w:ascii="Times New Roman" w:hAnsi="Times New Roman" w:cs="Times New Roman"/>
          <w:sz w:val="24"/>
          <w:szCs w:val="24"/>
        </w:rPr>
        <w:t xml:space="preserve"> </w:t>
      </w:r>
      <w:r w:rsidR="001272F6">
        <w:rPr>
          <w:rFonts w:ascii="Times New Roman" w:hAnsi="Times New Roman" w:cs="Times New Roman"/>
          <w:sz w:val="24"/>
          <w:szCs w:val="24"/>
        </w:rPr>
        <w:t>Furthermore, researchers are required to b</w:t>
      </w:r>
      <w:r w:rsidR="00AA7905" w:rsidRPr="0025159D">
        <w:rPr>
          <w:rFonts w:ascii="Times New Roman" w:hAnsi="Times New Roman" w:cs="Times New Roman"/>
          <w:sz w:val="24"/>
          <w:szCs w:val="24"/>
        </w:rPr>
        <w:t xml:space="preserve">alance between </w:t>
      </w:r>
      <w:r w:rsidR="001272F6">
        <w:rPr>
          <w:rFonts w:ascii="Times New Roman" w:hAnsi="Times New Roman" w:cs="Times New Roman"/>
          <w:sz w:val="24"/>
          <w:szCs w:val="24"/>
        </w:rPr>
        <w:t>model</w:t>
      </w:r>
      <w:r w:rsidR="00AA7905" w:rsidRPr="0025159D">
        <w:rPr>
          <w:rFonts w:ascii="Times New Roman" w:hAnsi="Times New Roman" w:cs="Times New Roman"/>
          <w:sz w:val="24"/>
          <w:szCs w:val="24"/>
        </w:rPr>
        <w:t xml:space="preserve"> </w:t>
      </w:r>
      <w:r w:rsidR="001272F6">
        <w:rPr>
          <w:rFonts w:ascii="Times New Roman" w:hAnsi="Times New Roman" w:cs="Times New Roman"/>
          <w:sz w:val="24"/>
          <w:szCs w:val="24"/>
        </w:rPr>
        <w:t xml:space="preserve">resolution, </w:t>
      </w:r>
      <w:r w:rsidR="00AA7905" w:rsidRPr="0025159D">
        <w:rPr>
          <w:rFonts w:ascii="Times New Roman" w:hAnsi="Times New Roman" w:cs="Times New Roman"/>
          <w:sz w:val="24"/>
          <w:szCs w:val="24"/>
        </w:rPr>
        <w:t>uncertainty</w:t>
      </w:r>
      <w:r w:rsidR="001272F6">
        <w:rPr>
          <w:rFonts w:ascii="Times New Roman" w:hAnsi="Times New Roman" w:cs="Times New Roman"/>
          <w:sz w:val="24"/>
          <w:szCs w:val="24"/>
        </w:rPr>
        <w:t xml:space="preserve">, and computational burden. </w:t>
      </w:r>
      <w:r w:rsidR="00AA7905" w:rsidRPr="0025159D">
        <w:rPr>
          <w:rFonts w:ascii="Times New Roman" w:hAnsi="Times New Roman" w:cs="Times New Roman"/>
          <w:sz w:val="24"/>
          <w:szCs w:val="24"/>
        </w:rPr>
        <w:fldChar w:fldCharType="begin"/>
      </w:r>
      <w:r w:rsidR="007A62DB" w:rsidRPr="0025159D">
        <w:rPr>
          <w:rFonts w:ascii="Times New Roman" w:hAnsi="Times New Roman" w:cs="Times New Roman"/>
          <w:sz w:val="24"/>
          <w:szCs w:val="24"/>
        </w:rPr>
        <w:instrText xml:space="preserve"> ADDIN ZOTERO_ITEM CSL_CITATION {"citationID":"6fg1QOPu","properties":{"formattedCitation":"\\super 13\\nosupersub{}","plainCitation":"13","noteIndex":0},"citationItems":[{"id":5146,"uris":["http://zotero.org/users/3151432/items/UDG6LLFD"],"itemData":{"id":5146,"type":"article-journal","abstract":"Energy systems modellers often resort to simplified system representations and deterministic model formulations (i.e., not considering uncertainty) to preserve computational tractability. However, reduced levels of detail and neglected uncertainties can both lead to sub-optimal system designs. Herein, we present a novel method that quantitatively compares the impact of detail and uncertainty to guide model development and help prioritisation of the limited computational resources. By considering modelling choices as an additional ‘uncertain’ parameter in a global sensitivity analysis, the method determines their qualitative ranking against conventional input parameters. As a case study, the method is applied to a peer-reviewed heat decarbonisation model for the United Kingdom with the objective of assessing the importance of spatial resolution. The results show that while for the optimal total system cost the impact of spatial resolution is negligible, it is the most important factor determining the capacities of electricity, gas and heat networks.","container-title":"Computers &amp; Chemical Engineering","DOI":"10.1016/j.compchemeng.2023.108287","ISSN":"00981354","journalAbbreviation":"Computers &amp; Chemical Engineering","language":"en","page":"108287","source":"DOI.org (Crossref)","title":"Detail or uncertainty? Applying global sensitivity analysis to strike a balance in energy system models","title-short":"Detail or uncertainty?","volume":"177","author":[{"family":"Yliruka","given":"Maria"},{"family":"Moret","given":"Stefano"},{"family":"Shah","given":"Nilay"}],"issued":{"date-parts":[["2023",9]]}}}],"schema":"https://github.com/citation-style-language/schema/raw/master/csl-citation.json"} </w:instrText>
      </w:r>
      <w:r w:rsidR="00AA7905" w:rsidRPr="0025159D">
        <w:rPr>
          <w:rFonts w:ascii="Times New Roman" w:hAnsi="Times New Roman" w:cs="Times New Roman"/>
          <w:sz w:val="24"/>
          <w:szCs w:val="24"/>
        </w:rPr>
        <w:fldChar w:fldCharType="separate"/>
      </w:r>
      <w:r w:rsidR="007A62DB" w:rsidRPr="0025159D">
        <w:rPr>
          <w:rFonts w:ascii="Times New Roman" w:hAnsi="Times New Roman" w:cs="Times New Roman"/>
          <w:sz w:val="24"/>
          <w:szCs w:val="24"/>
          <w:vertAlign w:val="superscript"/>
        </w:rPr>
        <w:t>13</w:t>
      </w:r>
      <w:r w:rsidR="00AA7905" w:rsidRPr="0025159D">
        <w:rPr>
          <w:rFonts w:ascii="Times New Roman" w:hAnsi="Times New Roman" w:cs="Times New Roman"/>
          <w:sz w:val="24"/>
          <w:szCs w:val="24"/>
        </w:rPr>
        <w:fldChar w:fldCharType="end"/>
      </w:r>
      <w:r w:rsidR="00AA7905" w:rsidRPr="0025159D">
        <w:rPr>
          <w:rFonts w:ascii="Times New Roman" w:hAnsi="Times New Roman" w:cs="Times New Roman"/>
          <w:sz w:val="24"/>
          <w:szCs w:val="24"/>
        </w:rPr>
        <w:t xml:space="preserve"> </w:t>
      </w:r>
    </w:p>
    <w:p w14:paraId="17C163E3" w14:textId="16A91B1B" w:rsidR="00AA7905" w:rsidRPr="0025159D" w:rsidRDefault="008B4F66" w:rsidP="00611400">
      <w:pPr>
        <w:rPr>
          <w:rFonts w:ascii="Times New Roman" w:hAnsi="Times New Roman" w:cs="Times New Roman"/>
          <w:sz w:val="24"/>
          <w:szCs w:val="24"/>
        </w:rPr>
      </w:pPr>
      <w:r>
        <w:rPr>
          <w:rFonts w:ascii="Times New Roman" w:hAnsi="Times New Roman" w:cs="Times New Roman"/>
          <w:sz w:val="24"/>
          <w:szCs w:val="24"/>
        </w:rPr>
        <w:t>Due to computational limits, t</w:t>
      </w:r>
      <w:r w:rsidRPr="0025159D">
        <w:rPr>
          <w:rFonts w:ascii="Times New Roman" w:hAnsi="Times New Roman" w:cs="Times New Roman"/>
          <w:sz w:val="24"/>
          <w:szCs w:val="24"/>
        </w:rPr>
        <w:t xml:space="preserve">he </w:t>
      </w:r>
      <w:r w:rsidR="002D6B9B" w:rsidRPr="0025159D">
        <w:rPr>
          <w:rFonts w:ascii="Times New Roman" w:hAnsi="Times New Roman" w:cs="Times New Roman"/>
          <w:sz w:val="24"/>
          <w:szCs w:val="24"/>
        </w:rPr>
        <w:t>power system</w:t>
      </w:r>
      <w:r w:rsidR="00AA7905" w:rsidRPr="0025159D">
        <w:rPr>
          <w:rFonts w:ascii="Times New Roman" w:hAnsi="Times New Roman" w:cs="Times New Roman"/>
          <w:sz w:val="24"/>
          <w:szCs w:val="24"/>
        </w:rPr>
        <w:t xml:space="preserve"> representation</w:t>
      </w:r>
      <w:r w:rsidR="002D6B9B" w:rsidRPr="0025159D">
        <w:rPr>
          <w:rFonts w:ascii="Times New Roman" w:hAnsi="Times New Roman" w:cs="Times New Roman"/>
          <w:sz w:val="24"/>
          <w:szCs w:val="24"/>
        </w:rPr>
        <w:t xml:space="preserve"> used in the MGA simulations</w:t>
      </w:r>
      <w:r w:rsidR="006F2545" w:rsidRPr="0025159D">
        <w:rPr>
          <w:rFonts w:ascii="Times New Roman" w:hAnsi="Times New Roman" w:cs="Times New Roman"/>
          <w:sz w:val="24"/>
          <w:szCs w:val="24"/>
        </w:rPr>
        <w:t xml:space="preserve"> in the current study</w:t>
      </w:r>
      <w:r>
        <w:rPr>
          <w:rFonts w:ascii="Times New Roman" w:hAnsi="Times New Roman" w:cs="Times New Roman"/>
          <w:sz w:val="24"/>
          <w:szCs w:val="24"/>
        </w:rPr>
        <w:t xml:space="preserve"> relies on an aggregate representation of </w:t>
      </w:r>
      <w:r w:rsidR="008E0DB6">
        <w:rPr>
          <w:rFonts w:ascii="Times New Roman" w:hAnsi="Times New Roman" w:cs="Times New Roman"/>
          <w:sz w:val="24"/>
          <w:szCs w:val="24"/>
        </w:rPr>
        <w:t>twelve</w:t>
      </w:r>
      <w:r>
        <w:rPr>
          <w:rFonts w:ascii="Times New Roman" w:hAnsi="Times New Roman" w:cs="Times New Roman"/>
          <w:sz w:val="24"/>
          <w:szCs w:val="24"/>
        </w:rPr>
        <w:t xml:space="preserve"> time slices. Our aim with this analysis</w:t>
      </w:r>
      <w:r w:rsidR="00AA7905" w:rsidRPr="0025159D">
        <w:rPr>
          <w:rFonts w:ascii="Times New Roman" w:hAnsi="Times New Roman" w:cs="Times New Roman"/>
          <w:sz w:val="24"/>
          <w:szCs w:val="24"/>
        </w:rPr>
        <w:t xml:space="preserve"> </w:t>
      </w:r>
      <w:r>
        <w:rPr>
          <w:rFonts w:ascii="Times New Roman" w:hAnsi="Times New Roman" w:cs="Times New Roman"/>
          <w:sz w:val="24"/>
          <w:szCs w:val="24"/>
        </w:rPr>
        <w:t>is</w:t>
      </w:r>
      <w:r w:rsidRPr="0025159D">
        <w:rPr>
          <w:rFonts w:ascii="Times New Roman" w:hAnsi="Times New Roman" w:cs="Times New Roman"/>
          <w:sz w:val="24"/>
          <w:szCs w:val="24"/>
        </w:rPr>
        <w:t xml:space="preserve"> </w:t>
      </w:r>
      <w:r w:rsidR="00AA7905" w:rsidRPr="0025159D">
        <w:rPr>
          <w:rFonts w:ascii="Times New Roman" w:hAnsi="Times New Roman" w:cs="Times New Roman"/>
          <w:sz w:val="24"/>
          <w:szCs w:val="24"/>
        </w:rPr>
        <w:t>to answer the question of uncertainty in capacity expansion across multiple decades</w:t>
      </w:r>
      <w:r w:rsidR="006F2545" w:rsidRPr="0025159D">
        <w:rPr>
          <w:rFonts w:ascii="Times New Roman" w:hAnsi="Times New Roman" w:cs="Times New Roman"/>
          <w:sz w:val="24"/>
          <w:szCs w:val="24"/>
        </w:rPr>
        <w:t xml:space="preserve"> for </w:t>
      </w:r>
      <w:r w:rsidR="00611400">
        <w:rPr>
          <w:rFonts w:ascii="Times New Roman" w:hAnsi="Times New Roman" w:cs="Times New Roman"/>
          <w:sz w:val="24"/>
          <w:szCs w:val="24"/>
        </w:rPr>
        <w:t xml:space="preserve">hundreds of </w:t>
      </w:r>
      <w:r w:rsidR="006F2545" w:rsidRPr="0025159D">
        <w:rPr>
          <w:rFonts w:ascii="Times New Roman" w:hAnsi="Times New Roman" w:cs="Times New Roman"/>
          <w:sz w:val="24"/>
          <w:szCs w:val="24"/>
        </w:rPr>
        <w:t>net-zero futures</w:t>
      </w:r>
      <w:r w:rsidR="00AA7905" w:rsidRPr="0025159D">
        <w:rPr>
          <w:rFonts w:ascii="Times New Roman" w:hAnsi="Times New Roman" w:cs="Times New Roman"/>
          <w:sz w:val="24"/>
          <w:szCs w:val="24"/>
        </w:rPr>
        <w:t xml:space="preserve">. </w:t>
      </w:r>
      <w:r w:rsidR="006F2545" w:rsidRPr="0025159D">
        <w:rPr>
          <w:rFonts w:ascii="Times New Roman" w:hAnsi="Times New Roman" w:cs="Times New Roman"/>
          <w:sz w:val="24"/>
          <w:szCs w:val="24"/>
        </w:rPr>
        <w:t xml:space="preserve">We are interested </w:t>
      </w:r>
      <w:r w:rsidR="00E2750E" w:rsidRPr="0025159D">
        <w:rPr>
          <w:rFonts w:ascii="Times New Roman" w:hAnsi="Times New Roman" w:cs="Times New Roman"/>
          <w:sz w:val="24"/>
          <w:szCs w:val="24"/>
        </w:rPr>
        <w:t xml:space="preserve">in capturing insights from </w:t>
      </w:r>
      <w:r w:rsidR="006F2545" w:rsidRPr="0025159D">
        <w:rPr>
          <w:rFonts w:ascii="Times New Roman" w:hAnsi="Times New Roman" w:cs="Times New Roman"/>
          <w:sz w:val="24"/>
          <w:szCs w:val="24"/>
        </w:rPr>
        <w:t>multi-decadal pathway optimization</w:t>
      </w:r>
      <w:r w:rsidR="00E2750E" w:rsidRPr="0025159D">
        <w:rPr>
          <w:rFonts w:ascii="Times New Roman" w:hAnsi="Times New Roman" w:cs="Times New Roman"/>
          <w:sz w:val="24"/>
          <w:szCs w:val="24"/>
        </w:rPr>
        <w:t xml:space="preserve"> for near cost-optimal futures </w:t>
      </w:r>
      <w:r w:rsidR="008E0DB6">
        <w:rPr>
          <w:rFonts w:ascii="Times New Roman" w:hAnsi="Times New Roman" w:cs="Times New Roman"/>
          <w:sz w:val="24"/>
          <w:szCs w:val="24"/>
        </w:rPr>
        <w:t>instead of</w:t>
      </w:r>
      <w:r w:rsidR="00E2750E" w:rsidRPr="0025159D">
        <w:rPr>
          <w:rFonts w:ascii="Times New Roman" w:hAnsi="Times New Roman" w:cs="Times New Roman"/>
          <w:sz w:val="24"/>
          <w:szCs w:val="24"/>
        </w:rPr>
        <w:t xml:space="preserve"> evaluating a highly detailed 1-year snapshot.</w:t>
      </w:r>
      <w:r>
        <w:rPr>
          <w:rFonts w:ascii="Times New Roman" w:hAnsi="Times New Roman" w:cs="Times New Roman"/>
          <w:sz w:val="24"/>
          <w:szCs w:val="24"/>
        </w:rPr>
        <w:t xml:space="preserve"> </w:t>
      </w:r>
      <w:r w:rsidR="00611400">
        <w:rPr>
          <w:rFonts w:ascii="Times New Roman" w:hAnsi="Times New Roman" w:cs="Times New Roman"/>
          <w:sz w:val="24"/>
          <w:szCs w:val="24"/>
        </w:rPr>
        <w:t>Due to the need to create many future scenarios</w:t>
      </w:r>
      <w:r w:rsidR="008E0DB6">
        <w:rPr>
          <w:rFonts w:ascii="Times New Roman" w:hAnsi="Times New Roman" w:cs="Times New Roman"/>
          <w:sz w:val="24"/>
          <w:szCs w:val="24"/>
        </w:rPr>
        <w:t>,</w:t>
      </w:r>
      <w:r w:rsidR="00611400">
        <w:rPr>
          <w:rFonts w:ascii="Times New Roman" w:hAnsi="Times New Roman" w:cs="Times New Roman"/>
          <w:sz w:val="24"/>
          <w:szCs w:val="24"/>
        </w:rPr>
        <w:t xml:space="preserve"> we face a tradeoff </w:t>
      </w:r>
      <w:r w:rsidR="008E0DB6">
        <w:rPr>
          <w:rFonts w:ascii="Times New Roman" w:hAnsi="Times New Roman" w:cs="Times New Roman"/>
          <w:sz w:val="24"/>
          <w:szCs w:val="24"/>
        </w:rPr>
        <w:t>between</w:t>
      </w:r>
      <w:r w:rsidR="00611400">
        <w:rPr>
          <w:rFonts w:ascii="Times New Roman" w:hAnsi="Times New Roman" w:cs="Times New Roman"/>
          <w:sz w:val="24"/>
          <w:szCs w:val="24"/>
        </w:rPr>
        <w:t xml:space="preserve"> temporal resolution and computational burdens. While </w:t>
      </w:r>
      <w:r w:rsidR="008E0DB6">
        <w:rPr>
          <w:rFonts w:ascii="Times New Roman" w:hAnsi="Times New Roman" w:cs="Times New Roman"/>
          <w:sz w:val="24"/>
          <w:szCs w:val="24"/>
        </w:rPr>
        <w:t>high-resolution</w:t>
      </w:r>
      <w:r w:rsidR="00611400">
        <w:rPr>
          <w:rFonts w:ascii="Times New Roman" w:hAnsi="Times New Roman" w:cs="Times New Roman"/>
          <w:sz w:val="24"/>
          <w:szCs w:val="24"/>
        </w:rPr>
        <w:t xml:space="preserve"> models are necessary to assess finer points </w:t>
      </w:r>
      <w:r w:rsidR="001272F6">
        <w:rPr>
          <w:rFonts w:ascii="Times New Roman" w:hAnsi="Times New Roman" w:cs="Times New Roman"/>
          <w:sz w:val="24"/>
          <w:szCs w:val="24"/>
        </w:rPr>
        <w:t xml:space="preserve">of implementation in </w:t>
      </w:r>
      <w:r w:rsidR="00611400">
        <w:rPr>
          <w:rFonts w:ascii="Times New Roman" w:hAnsi="Times New Roman" w:cs="Times New Roman"/>
          <w:sz w:val="24"/>
          <w:szCs w:val="24"/>
        </w:rPr>
        <w:t xml:space="preserve">energy transitions, they </w:t>
      </w:r>
      <w:r w:rsidR="008E0DB6">
        <w:rPr>
          <w:rFonts w:ascii="Times New Roman" w:hAnsi="Times New Roman" w:cs="Times New Roman"/>
          <w:sz w:val="24"/>
          <w:szCs w:val="24"/>
        </w:rPr>
        <w:t>cannot</w:t>
      </w:r>
      <w:r w:rsidR="00611400">
        <w:rPr>
          <w:rFonts w:ascii="Times New Roman" w:hAnsi="Times New Roman" w:cs="Times New Roman"/>
          <w:sz w:val="24"/>
          <w:szCs w:val="24"/>
        </w:rPr>
        <w:t xml:space="preserve"> provide the range of scenarios we explore in th</w:t>
      </w:r>
      <w:r w:rsidR="00C5178D">
        <w:rPr>
          <w:rFonts w:ascii="Times New Roman" w:hAnsi="Times New Roman" w:cs="Times New Roman"/>
          <w:sz w:val="24"/>
          <w:szCs w:val="24"/>
        </w:rPr>
        <w:t xml:space="preserve">is analysis. </w:t>
      </w:r>
      <w:r w:rsidR="001272F6">
        <w:rPr>
          <w:rFonts w:ascii="Times New Roman" w:hAnsi="Times New Roman" w:cs="Times New Roman"/>
          <w:sz w:val="24"/>
          <w:szCs w:val="24"/>
        </w:rPr>
        <w:t xml:space="preserve">The </w:t>
      </w:r>
      <w:r w:rsidR="00D0284A">
        <w:rPr>
          <w:rFonts w:ascii="Times New Roman" w:hAnsi="Times New Roman" w:cs="Times New Roman"/>
          <w:sz w:val="24"/>
          <w:szCs w:val="24"/>
        </w:rPr>
        <w:t xml:space="preserve">distribution of pathways enabled </w:t>
      </w:r>
      <w:r w:rsidR="001272F6">
        <w:rPr>
          <w:rFonts w:ascii="Times New Roman" w:hAnsi="Times New Roman" w:cs="Times New Roman"/>
          <w:sz w:val="24"/>
          <w:szCs w:val="24"/>
        </w:rPr>
        <w:t>by hundreds of model runs with low</w:t>
      </w:r>
      <w:r w:rsidR="00D0284A">
        <w:rPr>
          <w:rFonts w:ascii="Times New Roman" w:hAnsi="Times New Roman" w:cs="Times New Roman"/>
          <w:sz w:val="24"/>
          <w:szCs w:val="24"/>
        </w:rPr>
        <w:t>er</w:t>
      </w:r>
      <w:r w:rsidR="001272F6">
        <w:rPr>
          <w:rFonts w:ascii="Times New Roman" w:hAnsi="Times New Roman" w:cs="Times New Roman"/>
          <w:sz w:val="24"/>
          <w:szCs w:val="24"/>
        </w:rPr>
        <w:t xml:space="preserve"> temporal resolution </w:t>
      </w:r>
      <w:r w:rsidR="00D0284A">
        <w:rPr>
          <w:rFonts w:ascii="Times New Roman" w:hAnsi="Times New Roman" w:cs="Times New Roman"/>
          <w:sz w:val="24"/>
          <w:szCs w:val="24"/>
        </w:rPr>
        <w:t xml:space="preserve">can and </w:t>
      </w:r>
      <w:r w:rsidR="001272F6">
        <w:rPr>
          <w:rFonts w:ascii="Times New Roman" w:hAnsi="Times New Roman" w:cs="Times New Roman"/>
          <w:sz w:val="24"/>
          <w:szCs w:val="24"/>
        </w:rPr>
        <w:t xml:space="preserve">should be considered in tandem with </w:t>
      </w:r>
      <w:r w:rsidR="00D0284A">
        <w:rPr>
          <w:rFonts w:ascii="Times New Roman" w:hAnsi="Times New Roman" w:cs="Times New Roman"/>
          <w:sz w:val="24"/>
          <w:szCs w:val="24"/>
        </w:rPr>
        <w:t xml:space="preserve">high resolution </w:t>
      </w:r>
      <w:r w:rsidR="001272F6">
        <w:rPr>
          <w:rFonts w:ascii="Times New Roman" w:hAnsi="Times New Roman" w:cs="Times New Roman"/>
          <w:sz w:val="24"/>
          <w:szCs w:val="24"/>
        </w:rPr>
        <w:t>analyses</w:t>
      </w:r>
      <w:r w:rsidR="00D0284A">
        <w:rPr>
          <w:rFonts w:ascii="Times New Roman" w:hAnsi="Times New Roman" w:cs="Times New Roman"/>
          <w:sz w:val="24"/>
          <w:szCs w:val="24"/>
        </w:rPr>
        <w:t xml:space="preserve"> that offer few modeling runs. </w:t>
      </w:r>
      <w:r w:rsidR="00B6059F">
        <w:rPr>
          <w:rFonts w:ascii="Times New Roman" w:hAnsi="Times New Roman" w:cs="Times New Roman"/>
          <w:sz w:val="24"/>
          <w:szCs w:val="24"/>
        </w:rPr>
        <w:t>T</w:t>
      </w:r>
      <w:r w:rsidR="000A0CD3" w:rsidRPr="000A0CD3">
        <w:rPr>
          <w:rFonts w:ascii="Times New Roman" w:hAnsi="Times New Roman" w:cs="Times New Roman"/>
          <w:sz w:val="24"/>
          <w:szCs w:val="24"/>
        </w:rPr>
        <w:t xml:space="preserve">he feasibility space discussed in the main </w:t>
      </w:r>
      <w:r w:rsidR="000A0CD3">
        <w:rPr>
          <w:rFonts w:ascii="Times New Roman" w:hAnsi="Times New Roman" w:cs="Times New Roman"/>
          <w:sz w:val="24"/>
          <w:szCs w:val="24"/>
        </w:rPr>
        <w:t xml:space="preserve">manuscript </w:t>
      </w:r>
      <w:r w:rsidR="000A0CD3" w:rsidRPr="000A0CD3">
        <w:rPr>
          <w:rFonts w:ascii="Times New Roman" w:hAnsi="Times New Roman" w:cs="Times New Roman"/>
          <w:sz w:val="24"/>
          <w:szCs w:val="24"/>
        </w:rPr>
        <w:t>should also include an evaluation of power system reliability for each near-cost-optimal pathway</w:t>
      </w:r>
      <w:r w:rsidR="000A0CD3">
        <w:rPr>
          <w:rFonts w:ascii="Times New Roman" w:hAnsi="Times New Roman" w:cs="Times New Roman"/>
          <w:sz w:val="24"/>
          <w:szCs w:val="24"/>
        </w:rPr>
        <w:t>.</w:t>
      </w:r>
    </w:p>
    <w:p w14:paraId="0D386570" w14:textId="55986DB4" w:rsidR="00890188" w:rsidRPr="0025159D" w:rsidRDefault="007A62DB" w:rsidP="00D0274A">
      <w:pPr>
        <w:pStyle w:val="Caption"/>
        <w:rPr>
          <w:rFonts w:ascii="Times New Roman" w:hAnsi="Times New Roman" w:cs="Times New Roman"/>
          <w:b/>
          <w:bCs/>
          <w:sz w:val="24"/>
          <w:szCs w:val="24"/>
        </w:rPr>
      </w:pPr>
      <w:bookmarkStart w:id="9" w:name="_Ref149837353"/>
      <w:r w:rsidRPr="0025159D">
        <w:rPr>
          <w:rFonts w:ascii="Times New Roman" w:hAnsi="Times New Roman" w:cs="Times New Roman"/>
          <w:b/>
          <w:bCs/>
          <w:i w:val="0"/>
          <w:iCs w:val="0"/>
          <w:color w:val="auto"/>
          <w:sz w:val="24"/>
          <w:szCs w:val="24"/>
        </w:rPr>
        <w:t>Section S</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Section_S \* ARABIC </w:instrText>
      </w:r>
      <w:r w:rsidRPr="0025159D">
        <w:rPr>
          <w:rFonts w:ascii="Times New Roman" w:hAnsi="Times New Roman" w:cs="Times New Roman"/>
          <w:b/>
          <w:bCs/>
          <w:i w:val="0"/>
          <w:iCs w:val="0"/>
          <w:color w:val="auto"/>
          <w:sz w:val="24"/>
          <w:szCs w:val="24"/>
        </w:rPr>
        <w:fldChar w:fldCharType="separate"/>
      </w:r>
      <w:r w:rsidRPr="0025159D">
        <w:rPr>
          <w:rFonts w:ascii="Times New Roman" w:hAnsi="Times New Roman" w:cs="Times New Roman"/>
          <w:b/>
          <w:bCs/>
          <w:i w:val="0"/>
          <w:iCs w:val="0"/>
          <w:noProof/>
          <w:color w:val="auto"/>
          <w:sz w:val="24"/>
          <w:szCs w:val="24"/>
        </w:rPr>
        <w:t>4</w:t>
      </w:r>
      <w:r w:rsidRPr="0025159D">
        <w:rPr>
          <w:rFonts w:ascii="Times New Roman" w:hAnsi="Times New Roman" w:cs="Times New Roman"/>
          <w:b/>
          <w:bCs/>
          <w:i w:val="0"/>
          <w:iCs w:val="0"/>
          <w:color w:val="auto"/>
          <w:sz w:val="24"/>
          <w:szCs w:val="24"/>
        </w:rPr>
        <w:fldChar w:fldCharType="end"/>
      </w:r>
      <w:bookmarkEnd w:id="9"/>
      <w:r w:rsidR="00890188" w:rsidRPr="0025159D">
        <w:rPr>
          <w:rFonts w:ascii="Times New Roman" w:hAnsi="Times New Roman" w:cs="Times New Roman"/>
          <w:b/>
          <w:bCs/>
          <w:i w:val="0"/>
          <w:iCs w:val="0"/>
          <w:color w:val="auto"/>
          <w:sz w:val="24"/>
          <w:szCs w:val="24"/>
        </w:rPr>
        <w:t>: Sectoral details:</w:t>
      </w:r>
    </w:p>
    <w:p w14:paraId="669C1746" w14:textId="14976CE1" w:rsidR="00890188" w:rsidRPr="0025159D" w:rsidRDefault="003150B8">
      <w:pPr>
        <w:rPr>
          <w:rFonts w:ascii="Times New Roman" w:hAnsi="Times New Roman" w:cs="Times New Roman"/>
          <w:sz w:val="24"/>
          <w:szCs w:val="24"/>
        </w:rPr>
      </w:pPr>
      <w:r w:rsidRPr="0025159D">
        <w:rPr>
          <w:rFonts w:ascii="Times New Roman" w:hAnsi="Times New Roman" w:cs="Times New Roman"/>
          <w:sz w:val="24"/>
          <w:szCs w:val="24"/>
        </w:rPr>
        <w:t>T</w:t>
      </w:r>
      <w:r w:rsidR="00890188" w:rsidRPr="0025159D">
        <w:rPr>
          <w:rFonts w:ascii="Times New Roman" w:hAnsi="Times New Roman" w:cs="Times New Roman"/>
          <w:sz w:val="24"/>
          <w:szCs w:val="24"/>
        </w:rPr>
        <w:t xml:space="preserve">he energy system </w:t>
      </w:r>
      <w:r w:rsidRPr="0025159D">
        <w:rPr>
          <w:rFonts w:ascii="Times New Roman" w:hAnsi="Times New Roman" w:cs="Times New Roman"/>
          <w:sz w:val="24"/>
          <w:szCs w:val="24"/>
        </w:rPr>
        <w:t xml:space="preserve">representation </w:t>
      </w:r>
      <w:r w:rsidR="008B3DA3" w:rsidRPr="0025159D">
        <w:rPr>
          <w:rFonts w:ascii="Times New Roman" w:hAnsi="Times New Roman" w:cs="Times New Roman"/>
          <w:sz w:val="24"/>
          <w:szCs w:val="24"/>
        </w:rPr>
        <w:t>incl</w:t>
      </w:r>
      <w:r w:rsidR="008B3DA3">
        <w:rPr>
          <w:rFonts w:ascii="Times New Roman" w:hAnsi="Times New Roman" w:cs="Times New Roman"/>
          <w:sz w:val="24"/>
          <w:szCs w:val="24"/>
        </w:rPr>
        <w:t>u</w:t>
      </w:r>
      <w:r w:rsidR="008B3DA3" w:rsidRPr="0025159D">
        <w:rPr>
          <w:rFonts w:ascii="Times New Roman" w:hAnsi="Times New Roman" w:cs="Times New Roman"/>
          <w:sz w:val="24"/>
          <w:szCs w:val="24"/>
        </w:rPr>
        <w:t>des</w:t>
      </w:r>
      <w:r w:rsidR="0089018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the </w:t>
      </w:r>
      <w:r w:rsidR="00890188" w:rsidRPr="0025159D">
        <w:rPr>
          <w:rFonts w:ascii="Times New Roman" w:hAnsi="Times New Roman" w:cs="Times New Roman"/>
          <w:sz w:val="24"/>
          <w:szCs w:val="24"/>
        </w:rPr>
        <w:t>electric, buildings (residential and commercial), industrial</w:t>
      </w:r>
      <w:r w:rsidR="006C1221" w:rsidRPr="0025159D">
        <w:rPr>
          <w:rFonts w:ascii="Times New Roman" w:hAnsi="Times New Roman" w:cs="Times New Roman"/>
          <w:sz w:val="24"/>
          <w:szCs w:val="24"/>
        </w:rPr>
        <w:t>,</w:t>
      </w:r>
      <w:r w:rsidR="00890188" w:rsidRPr="0025159D">
        <w:rPr>
          <w:rFonts w:ascii="Times New Roman" w:hAnsi="Times New Roman" w:cs="Times New Roman"/>
          <w:sz w:val="24"/>
          <w:szCs w:val="24"/>
        </w:rPr>
        <w:t xml:space="preserve"> and transportation sectors. </w:t>
      </w:r>
    </w:p>
    <w:p w14:paraId="3826C65E" w14:textId="40D7F7A7" w:rsidR="00890188" w:rsidRPr="0025159D" w:rsidRDefault="007A62DB">
      <w:pPr>
        <w:rPr>
          <w:rFonts w:ascii="Times New Roman" w:hAnsi="Times New Roman" w:cs="Times New Roman"/>
          <w:b/>
          <w:bCs/>
          <w:sz w:val="24"/>
          <w:szCs w:val="24"/>
        </w:rPr>
      </w:pPr>
      <w:r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REF _Ref149837353 \h </w:instrText>
      </w:r>
      <w:r w:rsidR="0025159D" w:rsidRPr="0025159D">
        <w:rPr>
          <w:rFonts w:ascii="Times New Roman" w:hAnsi="Times New Roman" w:cs="Times New Roman"/>
          <w:b/>
          <w:bCs/>
          <w:sz w:val="24"/>
          <w:szCs w:val="24"/>
        </w:rPr>
        <w:instrText xml:space="preserve"> \* MERGEFORMAT </w:instrText>
      </w:r>
      <w:r w:rsidRPr="0025159D">
        <w:rPr>
          <w:rFonts w:ascii="Times New Roman" w:hAnsi="Times New Roman" w:cs="Times New Roman"/>
          <w:b/>
          <w:bCs/>
          <w:sz w:val="24"/>
          <w:szCs w:val="24"/>
        </w:rPr>
      </w:r>
      <w:r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rPr>
        <w:t>Section S</w:t>
      </w:r>
      <w:r w:rsidRPr="0025159D">
        <w:rPr>
          <w:rFonts w:ascii="Times New Roman" w:hAnsi="Times New Roman" w:cs="Times New Roman"/>
          <w:b/>
          <w:bCs/>
          <w:noProof/>
          <w:sz w:val="24"/>
          <w:szCs w:val="24"/>
        </w:rPr>
        <w:t>4</w:t>
      </w:r>
      <w:r w:rsidRPr="0025159D">
        <w:rPr>
          <w:rFonts w:ascii="Times New Roman" w:hAnsi="Times New Roman" w:cs="Times New Roman"/>
          <w:b/>
          <w:bCs/>
          <w:sz w:val="24"/>
          <w:szCs w:val="24"/>
        </w:rPr>
        <w:fldChar w:fldCharType="end"/>
      </w:r>
      <w:r w:rsidR="00CF5E57" w:rsidRPr="0025159D">
        <w:rPr>
          <w:rFonts w:ascii="Times New Roman" w:hAnsi="Times New Roman" w:cs="Times New Roman"/>
          <w:b/>
          <w:bCs/>
          <w:sz w:val="24"/>
          <w:szCs w:val="24"/>
        </w:rPr>
        <w:t xml:space="preserve">.1 </w:t>
      </w:r>
      <w:r w:rsidR="00890188" w:rsidRPr="0025159D">
        <w:rPr>
          <w:rFonts w:ascii="Times New Roman" w:hAnsi="Times New Roman" w:cs="Times New Roman"/>
          <w:b/>
          <w:bCs/>
          <w:sz w:val="24"/>
          <w:szCs w:val="24"/>
        </w:rPr>
        <w:t xml:space="preserve">Electric </w:t>
      </w:r>
      <w:r w:rsidR="00F46176">
        <w:rPr>
          <w:rFonts w:ascii="Times New Roman" w:hAnsi="Times New Roman" w:cs="Times New Roman"/>
          <w:b/>
          <w:bCs/>
          <w:sz w:val="24"/>
          <w:szCs w:val="24"/>
        </w:rPr>
        <w:t>s</w:t>
      </w:r>
      <w:r w:rsidR="00890188" w:rsidRPr="0025159D">
        <w:rPr>
          <w:rFonts w:ascii="Times New Roman" w:hAnsi="Times New Roman" w:cs="Times New Roman"/>
          <w:b/>
          <w:bCs/>
          <w:sz w:val="24"/>
          <w:szCs w:val="24"/>
        </w:rPr>
        <w:t>ector:</w:t>
      </w:r>
    </w:p>
    <w:p w14:paraId="62AE1B88" w14:textId="0294D39E" w:rsidR="00890188" w:rsidRPr="0025159D" w:rsidRDefault="00890188" w:rsidP="00890188">
      <w:pPr>
        <w:rPr>
          <w:rFonts w:ascii="Times New Roman" w:hAnsi="Times New Roman" w:cs="Times New Roman"/>
          <w:sz w:val="24"/>
          <w:szCs w:val="24"/>
        </w:rPr>
      </w:pPr>
      <w:r w:rsidRPr="0025159D">
        <w:rPr>
          <w:rFonts w:ascii="Times New Roman" w:hAnsi="Times New Roman" w:cs="Times New Roman"/>
          <w:sz w:val="24"/>
          <w:szCs w:val="24"/>
        </w:rPr>
        <w:t>The electric sector includes representation</w:t>
      </w:r>
      <w:r w:rsidR="00CF5E57" w:rsidRPr="0025159D">
        <w:rPr>
          <w:rFonts w:ascii="Times New Roman" w:hAnsi="Times New Roman" w:cs="Times New Roman"/>
          <w:sz w:val="24"/>
          <w:szCs w:val="24"/>
        </w:rPr>
        <w:t>s</w:t>
      </w:r>
      <w:r w:rsidRPr="0025159D">
        <w:rPr>
          <w:rFonts w:ascii="Times New Roman" w:hAnsi="Times New Roman" w:cs="Times New Roman"/>
          <w:sz w:val="24"/>
          <w:szCs w:val="24"/>
        </w:rPr>
        <w:t xml:space="preserve"> of existing and new generation technologies indexed by the region in which they are located. Thermal power plants include coal-fired steam</w:t>
      </w:r>
      <w:r w:rsidR="00F46176">
        <w:rPr>
          <w:rFonts w:ascii="Times New Roman" w:hAnsi="Times New Roman" w:cs="Times New Roman"/>
          <w:sz w:val="24"/>
          <w:szCs w:val="24"/>
        </w:rPr>
        <w:t xml:space="preserve"> with and without CCS</w:t>
      </w:r>
      <w:r w:rsidRPr="0025159D">
        <w:rPr>
          <w:rFonts w:ascii="Times New Roman" w:hAnsi="Times New Roman" w:cs="Times New Roman"/>
          <w:sz w:val="24"/>
          <w:szCs w:val="24"/>
        </w:rPr>
        <w:t xml:space="preserve">, natural gas steam plants, </w:t>
      </w:r>
      <w:r w:rsidR="008E0DB6">
        <w:rPr>
          <w:rFonts w:ascii="Times New Roman" w:hAnsi="Times New Roman" w:cs="Times New Roman"/>
          <w:sz w:val="24"/>
          <w:szCs w:val="24"/>
        </w:rPr>
        <w:t>open-cycle,</w:t>
      </w:r>
      <w:r w:rsidRPr="0025159D">
        <w:rPr>
          <w:rFonts w:ascii="Times New Roman" w:hAnsi="Times New Roman" w:cs="Times New Roman"/>
          <w:sz w:val="24"/>
          <w:szCs w:val="24"/>
        </w:rPr>
        <w:t xml:space="preserve"> and combined-cycle natural gas turbines with and without CCS, and </w:t>
      </w:r>
      <w:r w:rsidR="00764387">
        <w:rPr>
          <w:rFonts w:ascii="Times New Roman" w:hAnsi="Times New Roman" w:cs="Times New Roman"/>
          <w:sz w:val="24"/>
          <w:szCs w:val="24"/>
        </w:rPr>
        <w:t>light-water</w:t>
      </w:r>
      <w:r w:rsidRPr="0025159D">
        <w:rPr>
          <w:rFonts w:ascii="Times New Roman" w:hAnsi="Times New Roman" w:cs="Times New Roman"/>
          <w:sz w:val="24"/>
          <w:szCs w:val="24"/>
        </w:rPr>
        <w:t xml:space="preserve"> nuclear reactors. Renewable sources include conventional hydro, centralized solar photovoltaics (PV), </w:t>
      </w:r>
      <w:r w:rsidR="00F46176">
        <w:rPr>
          <w:rFonts w:ascii="Times New Roman" w:hAnsi="Times New Roman" w:cs="Times New Roman"/>
          <w:sz w:val="24"/>
          <w:szCs w:val="24"/>
        </w:rPr>
        <w:t xml:space="preserve">centralized solar </w:t>
      </w:r>
      <w:r w:rsidR="008B3DA3">
        <w:rPr>
          <w:rFonts w:ascii="Times New Roman" w:hAnsi="Times New Roman" w:cs="Times New Roman"/>
          <w:sz w:val="24"/>
          <w:szCs w:val="24"/>
        </w:rPr>
        <w:t xml:space="preserve">thermal, distributed solar, </w:t>
      </w:r>
      <w:r w:rsidR="006C1221" w:rsidRPr="0025159D">
        <w:rPr>
          <w:rFonts w:ascii="Times New Roman" w:hAnsi="Times New Roman" w:cs="Times New Roman"/>
          <w:sz w:val="24"/>
          <w:szCs w:val="24"/>
        </w:rPr>
        <w:t xml:space="preserve">onshore and offshore </w:t>
      </w:r>
      <w:r w:rsidRPr="0025159D">
        <w:rPr>
          <w:rFonts w:ascii="Times New Roman" w:hAnsi="Times New Roman" w:cs="Times New Roman"/>
          <w:sz w:val="24"/>
          <w:szCs w:val="24"/>
        </w:rPr>
        <w:t>wind, biomass, and geothermal technologies.</w:t>
      </w:r>
      <w:r w:rsidR="003150B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Data for the electric sector </w:t>
      </w:r>
      <w:r w:rsidR="00A12FE9">
        <w:rPr>
          <w:rFonts w:ascii="Times New Roman" w:hAnsi="Times New Roman" w:cs="Times New Roman"/>
          <w:sz w:val="24"/>
          <w:szCs w:val="24"/>
        </w:rPr>
        <w:t>are</w:t>
      </w:r>
      <w:r w:rsidRPr="0025159D">
        <w:rPr>
          <w:rFonts w:ascii="Times New Roman" w:hAnsi="Times New Roman" w:cs="Times New Roman"/>
          <w:sz w:val="24"/>
          <w:szCs w:val="24"/>
        </w:rPr>
        <w:t xml:space="preserve"> compiled using PowerGenome, an open-source tool that allows users to create input datasets for power system capacity expansion models.</w:t>
      </w:r>
      <w:r w:rsidR="00A12FE9">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{"citationID":"tzKwCyLR","properties":{"formattedCitation":"\\super 14\\nosupersub{}","plainCitation":"14","noteIndex":0},"citationItems":[{"id":5123,"uris":["http://zotero.org/users/3151432/items/4TSHS7H6"],"itemData":{"id":5123,"type":"software","title":"Github - Powergenome. https://github.com/PowerGenome/PowerGenome","author":[{"family":"Schivley","given":"Greg"}],"issued":{"date-parts":[["2022"]]}}}],"schema":"https://github.com/citation-style-language/schema/raw/master/csl-citation.json"} </w:instrText>
      </w:r>
      <w:r w:rsidR="00A12FE9">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14</w:t>
      </w:r>
      <w:r w:rsidR="00A12FE9">
        <w:rPr>
          <w:rFonts w:ascii="Times New Roman" w:hAnsi="Times New Roman" w:cs="Times New Roman"/>
          <w:sz w:val="24"/>
          <w:szCs w:val="24"/>
        </w:rPr>
        <w:fldChar w:fldCharType="end"/>
      </w:r>
      <w:r w:rsidRPr="0025159D">
        <w:rPr>
          <w:rFonts w:ascii="Times New Roman" w:hAnsi="Times New Roman" w:cs="Times New Roman"/>
          <w:sz w:val="24"/>
          <w:szCs w:val="24"/>
        </w:rPr>
        <w:t xml:space="preserve"> PowerGenome primarily uses data from the National Renewable Energy Laboratory (NREL), the U</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S</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 xml:space="preserve"> Energy Information Administration (EIA)</w:t>
      </w:r>
      <w:r w:rsidR="00764387">
        <w:rPr>
          <w:rFonts w:ascii="Times New Roman" w:hAnsi="Times New Roman" w:cs="Times New Roman"/>
          <w:sz w:val="24"/>
          <w:szCs w:val="24"/>
        </w:rPr>
        <w:t>,</w:t>
      </w:r>
      <w:r w:rsidRPr="0025159D">
        <w:rPr>
          <w:rFonts w:ascii="Times New Roman" w:hAnsi="Times New Roman" w:cs="Times New Roman"/>
          <w:sz w:val="24"/>
          <w:szCs w:val="24"/>
        </w:rPr>
        <w:t xml:space="preserve"> and the US Environmental Protection Agency (EPA). </w:t>
      </w:r>
      <w:r w:rsidR="008E0DB6">
        <w:rPr>
          <w:rFonts w:ascii="Times New Roman" w:hAnsi="Times New Roman" w:cs="Times New Roman"/>
          <w:sz w:val="24"/>
          <w:szCs w:val="24"/>
        </w:rPr>
        <w:t xml:space="preserve">The Catalyst Cooperative’s Public Utility Data Liberation Project compiled much of these underlying data </w:t>
      </w:r>
      <w:r w:rsidRPr="0025159D">
        <w:rPr>
          <w:rFonts w:ascii="Times New Roman" w:hAnsi="Times New Roman" w:cs="Times New Roman"/>
          <w:sz w:val="24"/>
          <w:szCs w:val="24"/>
        </w:rPr>
        <w:t xml:space="preserve">into a single SQLite database that </w:t>
      </w:r>
      <w:r w:rsidRPr="0025159D">
        <w:rPr>
          <w:rFonts w:ascii="Times New Roman" w:hAnsi="Times New Roman" w:cs="Times New Roman"/>
          <w:sz w:val="24"/>
          <w:szCs w:val="24"/>
        </w:rPr>
        <w:lastRenderedPageBreak/>
        <w:t>PowerGenome uses.</w:t>
      </w:r>
      <w:r w:rsidR="003150B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Using PowerGenome, we </w:t>
      </w:r>
      <w:r w:rsidR="006C1221" w:rsidRPr="0025159D">
        <w:rPr>
          <w:rFonts w:ascii="Times New Roman" w:hAnsi="Times New Roman" w:cs="Times New Roman"/>
          <w:sz w:val="24"/>
          <w:szCs w:val="24"/>
        </w:rPr>
        <w:t>aggregated</w:t>
      </w:r>
      <w:r w:rsidRPr="0025159D">
        <w:rPr>
          <w:rFonts w:ascii="Times New Roman" w:hAnsi="Times New Roman" w:cs="Times New Roman"/>
          <w:sz w:val="24"/>
          <w:szCs w:val="24"/>
        </w:rPr>
        <w:t xml:space="preserve"> balancing authorities (as defined by EPA</w:t>
      </w:r>
      <w:r w:rsidR="003150B8" w:rsidRPr="0025159D">
        <w:rPr>
          <w:rFonts w:ascii="Times New Roman" w:hAnsi="Times New Roman" w:cs="Times New Roman"/>
          <w:sz w:val="24"/>
          <w:szCs w:val="24"/>
        </w:rPr>
        <w:t>’</w:t>
      </w:r>
      <w:r w:rsidRPr="0025159D">
        <w:rPr>
          <w:rFonts w:ascii="Times New Roman" w:hAnsi="Times New Roman" w:cs="Times New Roman"/>
          <w:sz w:val="24"/>
          <w:szCs w:val="24"/>
        </w:rPr>
        <w:t>s Integrated Planning Model</w:t>
      </w:r>
      <w:r w:rsidR="00E1330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{"citationID":"JJ5CdVZS","properties":{"formattedCitation":"\\super 15\\nosupersub{}","plainCitation":"15","noteIndex":0},"citationItems":[{"id":5256,"uris":["http://zotero.org/users/3151432/items/F7I9JJ7G"],"itemData":{"id":5256,"type":"article-journal","title":"Updates to EPA Base Case v3. 02 EISA Using the Integrated Planning Model","author":[{"family":"Supply","given":"Coal"},{"family":"Horizon","given":"Modeling Time"}],"issued":{"date-parts":[["2010"]]}}}],"schema":"https://github.com/citation-style-language/schema/raw/master/csl-citation.json"} </w:instrText>
      </w:r>
      <w:r w:rsidR="00E1330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15</w:t>
      </w:r>
      <w:r w:rsidR="00E1330B" w:rsidRPr="0025159D">
        <w:rPr>
          <w:rFonts w:ascii="Times New Roman" w:hAnsi="Times New Roman" w:cs="Times New Roman"/>
          <w:sz w:val="24"/>
          <w:szCs w:val="24"/>
        </w:rPr>
        <w:fldChar w:fldCharType="end"/>
      </w:r>
      <w:r w:rsidR="003150B8" w:rsidRPr="0025159D">
        <w:rPr>
          <w:rFonts w:ascii="Times New Roman" w:hAnsi="Times New Roman" w:cs="Times New Roman"/>
          <w:sz w:val="24"/>
          <w:szCs w:val="24"/>
        </w:rPr>
        <w:t xml:space="preserve"> </w:t>
      </w:r>
      <w:r w:rsidRPr="0025159D">
        <w:rPr>
          <w:rFonts w:ascii="Times New Roman" w:hAnsi="Times New Roman" w:cs="Times New Roman"/>
          <w:sz w:val="24"/>
          <w:szCs w:val="24"/>
        </w:rPr>
        <w:t>regions</w:t>
      </w:r>
      <w:r w:rsidR="00E534C8" w:rsidRPr="0025159D">
        <w:rPr>
          <w:rFonts w:ascii="Times New Roman" w:hAnsi="Times New Roman" w:cs="Times New Roman"/>
          <w:sz w:val="24"/>
          <w:szCs w:val="24"/>
        </w:rPr>
        <w:t>)</w:t>
      </w:r>
      <w:r w:rsidRPr="0025159D">
        <w:rPr>
          <w:rFonts w:ascii="Times New Roman" w:hAnsi="Times New Roman" w:cs="Times New Roman"/>
          <w:sz w:val="24"/>
          <w:szCs w:val="24"/>
        </w:rPr>
        <w:t xml:space="preserve"> into nine OEO regions to develop the spatial representation for the electric sector shown in</w:t>
      </w:r>
      <w:r w:rsidR="00E367B7" w:rsidRPr="0025159D">
        <w:rPr>
          <w:rFonts w:ascii="Times New Roman" w:hAnsi="Times New Roman" w:cs="Times New Roman"/>
          <w:sz w:val="24"/>
          <w:szCs w:val="24"/>
        </w:rPr>
        <w:t xml:space="preserve">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_Ref149838405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Figure S</w:t>
      </w:r>
      <w:r w:rsidR="00E367B7" w:rsidRPr="0025159D">
        <w:rPr>
          <w:rFonts w:ascii="Times New Roman" w:hAnsi="Times New Roman" w:cs="Times New Roman"/>
          <w:noProof/>
          <w:sz w:val="24"/>
          <w:szCs w:val="24"/>
        </w:rPr>
        <w:t>1</w:t>
      </w:r>
      <w:r w:rsidR="00E367B7"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t>
      </w:r>
    </w:p>
    <w:p w14:paraId="2C297AB0" w14:textId="6EED0208" w:rsidR="00890188" w:rsidRPr="0025159D" w:rsidRDefault="00890188" w:rsidP="00890188">
      <w:pPr>
        <w:rPr>
          <w:rFonts w:ascii="Times New Roman" w:hAnsi="Times New Roman" w:cs="Times New Roman"/>
          <w:b/>
          <w:bCs/>
          <w:sz w:val="24"/>
          <w:szCs w:val="24"/>
        </w:rPr>
      </w:pPr>
      <w:r w:rsidRPr="0025159D">
        <w:rPr>
          <w:rFonts w:ascii="Times New Roman" w:hAnsi="Times New Roman" w:cs="Times New Roman"/>
          <w:b/>
          <w:bCs/>
          <w:sz w:val="24"/>
          <w:szCs w:val="24"/>
        </w:rPr>
        <w:t>Existing generators</w:t>
      </w:r>
      <w:r w:rsidR="003150B8" w:rsidRPr="0025159D">
        <w:rPr>
          <w:rFonts w:ascii="Times New Roman" w:hAnsi="Times New Roman" w:cs="Times New Roman"/>
          <w:b/>
          <w:bCs/>
          <w:sz w:val="24"/>
          <w:szCs w:val="24"/>
        </w:rPr>
        <w:t xml:space="preserve">: </w:t>
      </w:r>
      <w:r w:rsidR="008E0DB6">
        <w:rPr>
          <w:rFonts w:ascii="Times New Roman" w:hAnsi="Times New Roman" w:cs="Times New Roman"/>
          <w:sz w:val="24"/>
          <w:szCs w:val="24"/>
        </w:rPr>
        <w:t>Due to computational limitations, the electricity sector operations in the modeled regions cannot be represented by individual generator operations</w:t>
      </w:r>
      <w:r w:rsidRPr="0025159D">
        <w:rPr>
          <w:rFonts w:ascii="Times New Roman" w:hAnsi="Times New Roman" w:cs="Times New Roman"/>
          <w:sz w:val="24"/>
          <w:szCs w:val="24"/>
        </w:rPr>
        <w:t xml:space="preserve">. </w:t>
      </w:r>
      <w:r w:rsidR="008E0DB6">
        <w:rPr>
          <w:rFonts w:ascii="Times New Roman" w:hAnsi="Times New Roman" w:cs="Times New Roman"/>
          <w:sz w:val="24"/>
          <w:szCs w:val="24"/>
        </w:rPr>
        <w:t>To</w:t>
      </w:r>
      <w:r w:rsidRPr="0025159D">
        <w:rPr>
          <w:rFonts w:ascii="Times New Roman" w:hAnsi="Times New Roman" w:cs="Times New Roman"/>
          <w:sz w:val="24"/>
          <w:szCs w:val="24"/>
        </w:rPr>
        <w:t xml:space="preserve"> develop a reduced-order representation of these generators that is </w:t>
      </w:r>
      <w:r w:rsidR="003150B8" w:rsidRPr="0025159D">
        <w:rPr>
          <w:rFonts w:ascii="Times New Roman" w:hAnsi="Times New Roman" w:cs="Times New Roman"/>
          <w:sz w:val="24"/>
          <w:szCs w:val="24"/>
        </w:rPr>
        <w:t xml:space="preserve">computationally </w:t>
      </w:r>
      <w:r w:rsidRPr="0025159D">
        <w:rPr>
          <w:rFonts w:ascii="Times New Roman" w:hAnsi="Times New Roman" w:cs="Times New Roman"/>
          <w:sz w:val="24"/>
          <w:szCs w:val="24"/>
        </w:rPr>
        <w:t>tractabl</w:t>
      </w:r>
      <w:r w:rsidR="003150B8" w:rsidRPr="0025159D">
        <w:rPr>
          <w:rFonts w:ascii="Times New Roman" w:hAnsi="Times New Roman" w:cs="Times New Roman"/>
          <w:sz w:val="24"/>
          <w:szCs w:val="24"/>
        </w:rPr>
        <w:t>e</w:t>
      </w:r>
      <w:r w:rsidRPr="0025159D">
        <w:rPr>
          <w:rFonts w:ascii="Times New Roman" w:hAnsi="Times New Roman" w:cs="Times New Roman"/>
          <w:sz w:val="24"/>
          <w:szCs w:val="24"/>
        </w:rPr>
        <w:t>,</w:t>
      </w:r>
      <w:r w:rsidR="003150B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PowerGenome uses k-means clustering techniques to aggregate existing generators into groups or clusters. The generators are </w:t>
      </w:r>
      <w:r w:rsidR="008E0DB6">
        <w:rPr>
          <w:rFonts w:ascii="Times New Roman" w:hAnsi="Times New Roman" w:cs="Times New Roman"/>
          <w:sz w:val="24"/>
          <w:szCs w:val="24"/>
        </w:rPr>
        <w:t>clustered</w:t>
      </w:r>
      <w:r w:rsidRPr="0025159D">
        <w:rPr>
          <w:rFonts w:ascii="Times New Roman" w:hAnsi="Times New Roman" w:cs="Times New Roman"/>
          <w:sz w:val="24"/>
          <w:szCs w:val="24"/>
        </w:rPr>
        <w:t xml:space="preserve"> using four generator characteristics: nameplate capacity, heat rate, installation year, and fixed O&amp;M costs.</w:t>
      </w:r>
      <w:r w:rsidR="003150B8"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In each region, existing conventional coal</w:t>
      </w:r>
      <w:r w:rsidR="00720EFF" w:rsidRPr="0025159D">
        <w:rPr>
          <w:rFonts w:ascii="Times New Roman" w:hAnsi="Times New Roman" w:cs="Times New Roman"/>
          <w:sz w:val="24"/>
          <w:szCs w:val="24"/>
        </w:rPr>
        <w:t>-fired</w:t>
      </w:r>
      <w:r w:rsidRPr="0025159D">
        <w:rPr>
          <w:rFonts w:ascii="Times New Roman" w:hAnsi="Times New Roman" w:cs="Times New Roman"/>
          <w:sz w:val="24"/>
          <w:szCs w:val="24"/>
        </w:rPr>
        <w:t xml:space="preserve"> steam and natural gas combined cycle plants are represented by 4 clusters each</w:t>
      </w:r>
      <w:r w:rsidR="008E0DB6">
        <w:rPr>
          <w:rFonts w:ascii="Times New Roman" w:hAnsi="Times New Roman" w:cs="Times New Roman"/>
          <w:sz w:val="24"/>
          <w:szCs w:val="24"/>
        </w:rPr>
        <w:t>; natural</w:t>
      </w:r>
      <w:r w:rsidRPr="0025159D">
        <w:rPr>
          <w:rFonts w:ascii="Times New Roman" w:hAnsi="Times New Roman" w:cs="Times New Roman"/>
          <w:sz w:val="24"/>
          <w:szCs w:val="24"/>
        </w:rPr>
        <w:t xml:space="preserve"> gas combustion turbine, natural gas steam turbine, nuclear, and conventional hydroelectric plants are represented by 2 clusters each, while all other technology types </w:t>
      </w:r>
      <w:r w:rsidR="003150B8" w:rsidRPr="0025159D">
        <w:rPr>
          <w:rFonts w:ascii="Times New Roman" w:hAnsi="Times New Roman" w:cs="Times New Roman"/>
          <w:sz w:val="24"/>
          <w:szCs w:val="24"/>
        </w:rPr>
        <w:t>–</w:t>
      </w:r>
      <w:r w:rsidRPr="0025159D">
        <w:rPr>
          <w:rFonts w:ascii="Times New Roman" w:hAnsi="Times New Roman" w:cs="Times New Roman"/>
          <w:sz w:val="24"/>
          <w:szCs w:val="24"/>
        </w:rPr>
        <w:t xml:space="preserve"> biomass, geothermal, centralized solar photovoltaic, onshore wind </w:t>
      </w:r>
      <w:r w:rsidR="003150B8" w:rsidRPr="0025159D">
        <w:rPr>
          <w:rFonts w:ascii="Times New Roman" w:hAnsi="Times New Roman" w:cs="Times New Roman"/>
          <w:sz w:val="24"/>
          <w:szCs w:val="24"/>
        </w:rPr>
        <w:t>–</w:t>
      </w:r>
      <w:r w:rsidRPr="0025159D">
        <w:rPr>
          <w:rFonts w:ascii="Times New Roman" w:hAnsi="Times New Roman" w:cs="Times New Roman"/>
          <w:sz w:val="24"/>
          <w:szCs w:val="24"/>
        </w:rPr>
        <w:t xml:space="preserve"> are represented by a single cluster each.</w:t>
      </w:r>
    </w:p>
    <w:p w14:paraId="7EAF7106" w14:textId="6EDBF018" w:rsidR="00E534C8" w:rsidRPr="0025159D" w:rsidRDefault="00890188" w:rsidP="00890188">
      <w:pPr>
        <w:rPr>
          <w:rFonts w:ascii="Times New Roman" w:hAnsi="Times New Roman" w:cs="Times New Roman"/>
          <w:sz w:val="24"/>
          <w:szCs w:val="24"/>
        </w:rPr>
      </w:pPr>
      <w:r w:rsidRPr="0025159D">
        <w:rPr>
          <w:rFonts w:ascii="Times New Roman" w:hAnsi="Times New Roman" w:cs="Times New Roman"/>
          <w:b/>
          <w:bCs/>
          <w:sz w:val="24"/>
          <w:szCs w:val="24"/>
        </w:rPr>
        <w:t>New thermal generators</w:t>
      </w:r>
      <w:r w:rsidR="003150B8"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New thermal generators are represented by a single cluster for every modeled year and include </w:t>
      </w:r>
      <w:r w:rsidR="004C57B2" w:rsidRPr="0025159D">
        <w:rPr>
          <w:rFonts w:ascii="Times New Roman" w:hAnsi="Times New Roman" w:cs="Times New Roman"/>
          <w:sz w:val="24"/>
          <w:szCs w:val="24"/>
        </w:rPr>
        <w:t>natural gas combined cycle (NGCC), natural gas combustion turbine</w:t>
      </w:r>
      <w:r w:rsidRPr="0025159D">
        <w:rPr>
          <w:rFonts w:ascii="Times New Roman" w:hAnsi="Times New Roman" w:cs="Times New Roman"/>
          <w:sz w:val="24"/>
          <w:szCs w:val="24"/>
        </w:rPr>
        <w:t xml:space="preserve">, NGCC with 90% efficient carbon capture and storage (CCS), NGCC with 100% efficient CCS, geothermal (hydro binary and hydro flash technologies), coal integrated gasification combined cycle (IGCC), ultra-supercritical pulverized coal with 90% efficient CCS, biomass combined-cycle, and hydrogen combined-cycle. Data for these technologies are derived from the NREL Annual Technology Baseline (ATB) via PowerGenome, except for </w:t>
      </w:r>
      <w:r w:rsidR="006C1221" w:rsidRPr="0025159D">
        <w:rPr>
          <w:rFonts w:ascii="Times New Roman" w:hAnsi="Times New Roman" w:cs="Times New Roman"/>
          <w:sz w:val="24"/>
          <w:szCs w:val="24"/>
        </w:rPr>
        <w:t>items</w:t>
      </w:r>
      <w:r w:rsidRPr="0025159D">
        <w:rPr>
          <w:rFonts w:ascii="Times New Roman" w:hAnsi="Times New Roman" w:cs="Times New Roman"/>
          <w:sz w:val="24"/>
          <w:szCs w:val="24"/>
        </w:rPr>
        <w:t xml:space="preserve"> listed below: </w:t>
      </w:r>
    </w:p>
    <w:p w14:paraId="4EABC268" w14:textId="375596AA" w:rsidR="00E534C8" w:rsidRPr="0025159D" w:rsidRDefault="00890188" w:rsidP="00E534C8">
      <w:pPr>
        <w:pStyle w:val="ListParagraph"/>
        <w:numPr>
          <w:ilvl w:val="0"/>
          <w:numId w:val="1"/>
        </w:numPr>
        <w:rPr>
          <w:rFonts w:ascii="Times New Roman" w:hAnsi="Times New Roman" w:cs="Times New Roman"/>
          <w:b/>
          <w:bCs/>
          <w:sz w:val="24"/>
          <w:szCs w:val="24"/>
        </w:rPr>
      </w:pPr>
      <w:r w:rsidRPr="0025159D">
        <w:rPr>
          <w:rFonts w:ascii="Times New Roman" w:hAnsi="Times New Roman" w:cs="Times New Roman"/>
          <w:sz w:val="24"/>
          <w:szCs w:val="24"/>
        </w:rPr>
        <w:t xml:space="preserve">Hydrogen combined-cycle turbines: Hydrogen at 100 bar pressure can be burned </w:t>
      </w:r>
      <w:r w:rsidR="00F46176">
        <w:rPr>
          <w:rFonts w:ascii="Times New Roman" w:hAnsi="Times New Roman" w:cs="Times New Roman"/>
          <w:sz w:val="24"/>
          <w:szCs w:val="24"/>
        </w:rPr>
        <w:t xml:space="preserve">new </w:t>
      </w:r>
      <w:r w:rsidRPr="0025159D">
        <w:rPr>
          <w:rFonts w:ascii="Times New Roman" w:hAnsi="Times New Roman" w:cs="Times New Roman"/>
          <w:sz w:val="24"/>
          <w:szCs w:val="24"/>
        </w:rPr>
        <w:t>in combined-cycle turbines to produce electricity, which is assumed to have the same techno-economic characteristics as NGCC generators but without any combustion emissions.</w:t>
      </w:r>
      <w:r w:rsidR="003150B8" w:rsidRPr="0025159D">
        <w:rPr>
          <w:rFonts w:ascii="Times New Roman" w:hAnsi="Times New Roman" w:cs="Times New Roman"/>
          <w:b/>
          <w:bCs/>
          <w:sz w:val="24"/>
          <w:szCs w:val="24"/>
        </w:rPr>
        <w:t xml:space="preserve"> </w:t>
      </w:r>
    </w:p>
    <w:p w14:paraId="7DEE6B98" w14:textId="0B19ACCC" w:rsidR="00E534C8" w:rsidRPr="0025159D" w:rsidRDefault="00890188" w:rsidP="00E534C8">
      <w:pPr>
        <w:pStyle w:val="ListParagraph"/>
        <w:numPr>
          <w:ilvl w:val="0"/>
          <w:numId w:val="1"/>
        </w:numPr>
        <w:rPr>
          <w:rFonts w:ascii="Times New Roman" w:hAnsi="Times New Roman" w:cs="Times New Roman"/>
          <w:b/>
          <w:bCs/>
          <w:sz w:val="24"/>
          <w:szCs w:val="24"/>
        </w:rPr>
      </w:pPr>
      <w:r w:rsidRPr="0025159D">
        <w:rPr>
          <w:rFonts w:ascii="Times New Roman" w:hAnsi="Times New Roman" w:cs="Times New Roman"/>
          <w:sz w:val="24"/>
          <w:szCs w:val="24"/>
        </w:rPr>
        <w:t>Bio-energy with carbon capture and storage: This technology representation comes from the U</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S</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 xml:space="preserve"> EPA MARKAL database</w:t>
      </w:r>
      <w:r w:rsidR="00E1330B" w:rsidRPr="0025159D">
        <w:rPr>
          <w:rFonts w:ascii="Times New Roman" w:hAnsi="Times New Roman" w:cs="Times New Roman"/>
          <w:sz w:val="24"/>
          <w:szCs w:val="24"/>
        </w:rPr>
        <w:fldChar w:fldCharType="begin"/>
      </w:r>
      <w:r w:rsidR="00E1330B" w:rsidRPr="0025159D">
        <w:rPr>
          <w:rFonts w:ascii="Times New Roman" w:hAnsi="Times New Roman" w:cs="Times New Roman"/>
          <w:sz w:val="24"/>
          <w:szCs w:val="24"/>
        </w:rPr>
        <w:instrText xml:space="preserve"> ADDIN ZOTERO_ITEM CSL_CITATION {"citationID":"Hy4BDzHi","properties":{"formattedCitation":"\\super 7,8\\nosupersub{}","plainCitation":"7,8","noteIndex":0},"citationItems":[{"id":4800,"uris":["http://zotero.org/users/3151432/items/BXYUMWDV"],"itemData":{"id":4800,"type":"article-journal","abstract":"This article is a companion to “ETSAP-TIAM: the TIMES integrated assessment model. part I: model structure”. It contains three sections, presenting respectively: the simpliﬁed formulation of the TIMES Linear Program (Sect. 1), the details of the computation of the supply demand equilibrium (Sect. 2), and the Endogenous Technology Learning Formulation (Sect. 3). The full details of these three formulations are available in the complete TIMES documentation at www.etsap/org/documentation.","container-title":"Computational Management Science","DOI":"10.1007/s10287-007-0045-0","ISSN":"1619-697X, 1619-6988","issue":"1-2","journalAbbreviation":"CMS","language":"en","page":"41-66","source":"DOI.org (Crossref)","title":"ETSAP-TIAM: the TIMES integrated assessment model. part II: mathematical formulation","title-short":"ETSAP-TIAM","volume":"5","author":[{"family":"Loulou","given":"Richard"}],"issued":{"date-parts":[["2008",2]]}}},{"id":4801,"uris":["http://zotero.org/users/3151432/items/DT8NMBCI"],"itemData":{"id":4801,"type":"article-journal","abstract":"In this ﬁrst part of a two-part article, the principal characteristics of the TIMES model and of its global incarnation as ETSAP-TIAM are presented and discussed. TIMES was conceived as a descendent of the MARKAL and EFOM paradigms, to which several new features were added to extend its functionalities and its applicability to the exploration of energy systems and the analysis of energy and environmental policies. The article stresses the technological nature of the model and its economic foundation and properties. The article stays at the conceptual and practical level, while a companion article is devoted to the more detailed formulation of TIMES equations. Special sections are devoted to the description of four optional features of TIMES: lumpy investments, endogenous technology learning, stochastic programming, and the climate module. The article ends with a brief description of recent applications of the ETSAP-TIAM model.","container-title":"Computational Management Science","DOI":"10.1007/s10287-007-0046-z","ISSN":"1619-697X, 1619-6988","issue":"1-2","journalAbbreviation":"CMS","language":"en","page":"7-40","source":"DOI.org (Crossref)","title":"ETSAP-TIAM: the TIMES integrated assessment model Part I: Model structure","title-short":"ETSAP-TIAM","volume":"5","author":[{"family":"Loulou","given":"Richard"},{"family":"Labriet","given":"Maryse"}],"issued":{"date-parts":[["2008",2]]}}}],"schema":"https://github.com/citation-style-language/schema/raw/master/csl-citation.json"} </w:instrText>
      </w:r>
      <w:r w:rsidR="00E1330B" w:rsidRPr="0025159D">
        <w:rPr>
          <w:rFonts w:ascii="Times New Roman" w:hAnsi="Times New Roman" w:cs="Times New Roman"/>
          <w:sz w:val="24"/>
          <w:szCs w:val="24"/>
        </w:rPr>
        <w:fldChar w:fldCharType="separate"/>
      </w:r>
      <w:r w:rsidR="00E1330B" w:rsidRPr="0025159D">
        <w:rPr>
          <w:rFonts w:ascii="Times New Roman" w:hAnsi="Times New Roman" w:cs="Times New Roman"/>
          <w:sz w:val="24"/>
          <w:szCs w:val="24"/>
          <w:vertAlign w:val="superscript"/>
        </w:rPr>
        <w:t>7,8</w:t>
      </w:r>
      <w:r w:rsidR="00E1330B" w:rsidRPr="0025159D">
        <w:rPr>
          <w:rFonts w:ascii="Times New Roman" w:hAnsi="Times New Roman" w:cs="Times New Roman"/>
          <w:sz w:val="24"/>
          <w:szCs w:val="24"/>
        </w:rPr>
        <w:fldChar w:fldCharType="end"/>
      </w:r>
      <w:r w:rsidRPr="0025159D">
        <w:rPr>
          <w:rFonts w:ascii="Times New Roman" w:hAnsi="Times New Roman" w:cs="Times New Roman"/>
          <w:sz w:val="24"/>
          <w:szCs w:val="24"/>
        </w:rPr>
        <w:t>.</w:t>
      </w:r>
      <w:r w:rsidR="003150B8" w:rsidRPr="0025159D">
        <w:rPr>
          <w:rFonts w:ascii="Times New Roman" w:hAnsi="Times New Roman" w:cs="Times New Roman"/>
          <w:b/>
          <w:bCs/>
          <w:sz w:val="24"/>
          <w:szCs w:val="24"/>
        </w:rPr>
        <w:t xml:space="preserve"> </w:t>
      </w:r>
    </w:p>
    <w:p w14:paraId="41E482A5" w14:textId="005B6120" w:rsidR="00890188" w:rsidRPr="0025159D" w:rsidRDefault="00890188" w:rsidP="00D0274A">
      <w:pPr>
        <w:pStyle w:val="ListParagraph"/>
        <w:numPr>
          <w:ilvl w:val="0"/>
          <w:numId w:val="1"/>
        </w:numPr>
        <w:rPr>
          <w:rFonts w:ascii="Times New Roman" w:hAnsi="Times New Roman" w:cs="Times New Roman"/>
          <w:b/>
          <w:bCs/>
          <w:sz w:val="24"/>
          <w:szCs w:val="24"/>
        </w:rPr>
      </w:pPr>
      <w:r w:rsidRPr="0025159D">
        <w:rPr>
          <w:rFonts w:ascii="Times New Roman" w:hAnsi="Times New Roman" w:cs="Times New Roman"/>
          <w:sz w:val="24"/>
          <w:szCs w:val="24"/>
        </w:rPr>
        <w:t>Hydrogen storage: This technology representation comes from</w:t>
      </w:r>
      <w:r w:rsidR="00E1330B" w:rsidRPr="0025159D">
        <w:rPr>
          <w:rFonts w:ascii="Times New Roman" w:hAnsi="Times New Roman" w:cs="Times New Roman"/>
          <w:sz w:val="24"/>
          <w:szCs w:val="24"/>
        </w:rPr>
        <w:t xml:space="preserve"> the literature</w:t>
      </w:r>
      <w:r w:rsidRPr="0025159D">
        <w:rPr>
          <w:rFonts w:ascii="Times New Roman" w:hAnsi="Times New Roman" w:cs="Times New Roman"/>
          <w:sz w:val="24"/>
          <w:szCs w:val="24"/>
        </w:rPr>
        <w:t>.</w:t>
      </w:r>
      <w:r w:rsidR="00E1330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{"citationID":"v4zkvSb4","properties":{"formattedCitation":"\\super 16\\nosupersub{}","plainCitation":"16","noteIndex":0},"citationItems":[{"id":5258,"uris":["http://zotero.org/users/3151432/items/ERTM4JP2"],"itemData":{"id":5258,"type":"article-journal","abstract":"Reliable and affordable electricity systems based on variable energy sources, such as wind and solar may depend on the ability to store large quantities of low-cost energy over long timescales. Here, we use 39 years of hourly U.S. weather data, and a macro-scale energy model to evaluate capacities and dispatch in least cost, 100% reliable electricity systems with wind and solar generation supported by long-duration storage (LDS; 10 h or greater) and battery storage. We ﬁnd that the introduction of LDS lowers total system costs relative to wind-solar-battery systems, and that system costs are twice as sensitive to reductions in LDS costs as to reductions in battery costs. In least-cost systems, batteries are used primarily for intra-day storage and LDS is used primarily for inter-season and multi-year storage. Moreover, dependence on LDS increases when the system is optimized over more years. LDS technologies could improve the affordability of renewable electricity.","container-title":"Joule","DOI":"10.1016/j.joule.2020.07.007","ISSN":"25424351","issue":"9","journalAbbreviation":"Joule","language":"en","page":"1907-1928","source":"DOI.org (Crossref)","title":"Role of Long-Duration Energy Storage in Variable Renewable Electricity Systems","volume":"4","author":[{"family":"Dowling","given":"Jacqueline A."},{"family":"Rinaldi","given":"Katherine Z."},{"family":"Ruggles","given":"Tyler H."},{"family":"Davis","given":"Steven J."},{"family":"Yuan","given":"Mengyao"},{"family":"Tong","given":"Fan"},{"family":"Lewis","given":"Nathan S."},{"family":"Caldeira","given":"Ken"}],"issued":{"date-parts":[["2020",9]]}}}],"schema":"https://github.com/citation-style-language/schema/raw/master/csl-citation.json"} </w:instrText>
      </w:r>
      <w:r w:rsidR="00E1330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16</w:t>
      </w:r>
      <w:r w:rsidR="00E1330B" w:rsidRPr="0025159D">
        <w:rPr>
          <w:rFonts w:ascii="Times New Roman" w:hAnsi="Times New Roman" w:cs="Times New Roman"/>
          <w:sz w:val="24"/>
          <w:szCs w:val="24"/>
        </w:rPr>
        <w:fldChar w:fldCharType="end"/>
      </w:r>
    </w:p>
    <w:p w14:paraId="14D5A414" w14:textId="172ECD08" w:rsidR="00890188" w:rsidRPr="0025159D" w:rsidRDefault="00890188" w:rsidP="00890188">
      <w:pPr>
        <w:rPr>
          <w:rFonts w:ascii="Times New Roman" w:hAnsi="Times New Roman" w:cs="Times New Roman"/>
          <w:sz w:val="24"/>
          <w:szCs w:val="24"/>
        </w:rPr>
      </w:pPr>
      <w:r w:rsidRPr="0025159D">
        <w:rPr>
          <w:rFonts w:ascii="Times New Roman" w:hAnsi="Times New Roman" w:cs="Times New Roman"/>
          <w:b/>
          <w:bCs/>
          <w:sz w:val="24"/>
          <w:szCs w:val="24"/>
        </w:rPr>
        <w:t>New renewable generator clusters</w:t>
      </w:r>
      <w:r w:rsidR="003150B8" w:rsidRPr="0025159D">
        <w:rPr>
          <w:rFonts w:ascii="Times New Roman" w:hAnsi="Times New Roman" w:cs="Times New Roman"/>
          <w:b/>
          <w:bCs/>
          <w:sz w:val="24"/>
          <w:szCs w:val="24"/>
        </w:rPr>
        <w:t>:</w:t>
      </w:r>
      <w:r w:rsidR="003150B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In all model regions, new utility solar </w:t>
      </w:r>
      <w:r w:rsidR="004C57B2" w:rsidRPr="0025159D">
        <w:rPr>
          <w:rFonts w:ascii="Times New Roman" w:hAnsi="Times New Roman" w:cs="Times New Roman"/>
          <w:sz w:val="24"/>
          <w:szCs w:val="24"/>
        </w:rPr>
        <w:t>photovoltaics (</w:t>
      </w:r>
      <w:r w:rsidRPr="0025159D">
        <w:rPr>
          <w:rFonts w:ascii="Times New Roman" w:hAnsi="Times New Roman" w:cs="Times New Roman"/>
          <w:sz w:val="24"/>
          <w:szCs w:val="24"/>
        </w:rPr>
        <w:t>PV</w:t>
      </w:r>
      <w:r w:rsidR="004C57B2" w:rsidRPr="0025159D">
        <w:rPr>
          <w:rFonts w:ascii="Times New Roman" w:hAnsi="Times New Roman" w:cs="Times New Roman"/>
          <w:sz w:val="24"/>
          <w:szCs w:val="24"/>
        </w:rPr>
        <w:t>)</w:t>
      </w:r>
      <w:r w:rsidRPr="0025159D">
        <w:rPr>
          <w:rFonts w:ascii="Times New Roman" w:hAnsi="Times New Roman" w:cs="Times New Roman"/>
          <w:sz w:val="24"/>
          <w:szCs w:val="24"/>
        </w:rPr>
        <w:t xml:space="preserve"> and onshore wind capacities are represented by three clusters each, while offshore wind is represented by a single cluster in </w:t>
      </w:r>
      <w:r w:rsidR="00E534C8" w:rsidRPr="0025159D">
        <w:rPr>
          <w:rFonts w:ascii="Times New Roman" w:hAnsi="Times New Roman" w:cs="Times New Roman"/>
          <w:sz w:val="24"/>
          <w:szCs w:val="24"/>
        </w:rPr>
        <w:t>each of three regions with offshore potential (</w:t>
      </w:r>
      <w:r w:rsidRPr="0025159D">
        <w:rPr>
          <w:rFonts w:ascii="Times New Roman" w:hAnsi="Times New Roman" w:cs="Times New Roman"/>
          <w:sz w:val="24"/>
          <w:szCs w:val="24"/>
        </w:rPr>
        <w:t>CA, NW, NE regions</w:t>
      </w:r>
      <w:r w:rsidR="004C57B2" w:rsidRPr="0025159D">
        <w:rPr>
          <w:rFonts w:ascii="Times New Roman" w:hAnsi="Times New Roman" w:cs="Times New Roman"/>
          <w:sz w:val="24"/>
          <w:szCs w:val="24"/>
        </w:rPr>
        <w:t xml:space="preserve"> in</w:t>
      </w:r>
      <w:r w:rsidR="00E367B7" w:rsidRPr="0025159D">
        <w:rPr>
          <w:rFonts w:ascii="Times New Roman" w:hAnsi="Times New Roman" w:cs="Times New Roman"/>
          <w:sz w:val="24"/>
          <w:szCs w:val="24"/>
        </w:rPr>
        <w:t xml:space="preserve">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_Ref149838405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Figure S</w:t>
      </w:r>
      <w:r w:rsidR="00E367B7" w:rsidRPr="0025159D">
        <w:rPr>
          <w:rFonts w:ascii="Times New Roman" w:hAnsi="Times New Roman" w:cs="Times New Roman"/>
          <w:noProof/>
          <w:sz w:val="24"/>
          <w:szCs w:val="24"/>
        </w:rPr>
        <w:t>1</w:t>
      </w:r>
      <w:r w:rsidR="00E367B7" w:rsidRPr="0025159D">
        <w:rPr>
          <w:rFonts w:ascii="Times New Roman" w:hAnsi="Times New Roman" w:cs="Times New Roman"/>
          <w:sz w:val="24"/>
          <w:szCs w:val="24"/>
        </w:rPr>
        <w:fldChar w:fldCharType="end"/>
      </w:r>
      <w:r w:rsidR="00E534C8" w:rsidRPr="0025159D">
        <w:rPr>
          <w:rFonts w:ascii="Times New Roman" w:hAnsi="Times New Roman" w:cs="Times New Roman"/>
          <w:sz w:val="24"/>
          <w:szCs w:val="24"/>
        </w:rPr>
        <w:t>)</w:t>
      </w:r>
      <w:r w:rsidRPr="0025159D">
        <w:rPr>
          <w:rFonts w:ascii="Times New Roman" w:hAnsi="Times New Roman" w:cs="Times New Roman"/>
          <w:sz w:val="24"/>
          <w:szCs w:val="24"/>
        </w:rPr>
        <w:t xml:space="preserve">. </w:t>
      </w:r>
      <w:r w:rsidR="00FA736D">
        <w:rPr>
          <w:rFonts w:ascii="Times New Roman" w:hAnsi="Times New Roman" w:cs="Times New Roman"/>
          <w:sz w:val="24"/>
          <w:szCs w:val="24"/>
        </w:rPr>
        <w:t>Within a region,</w:t>
      </w:r>
      <w:r w:rsidR="00FA736D" w:rsidRPr="0025159D">
        <w:rPr>
          <w:rFonts w:ascii="Times New Roman" w:hAnsi="Times New Roman" w:cs="Times New Roman"/>
          <w:sz w:val="24"/>
          <w:szCs w:val="24"/>
        </w:rPr>
        <w:t xml:space="preserve"> </w:t>
      </w:r>
      <w:r w:rsidR="00FA736D">
        <w:rPr>
          <w:rFonts w:ascii="Times New Roman" w:hAnsi="Times New Roman" w:cs="Times New Roman"/>
          <w:sz w:val="24"/>
          <w:szCs w:val="24"/>
        </w:rPr>
        <w:t>t</w:t>
      </w:r>
      <w:r w:rsidRPr="0025159D">
        <w:rPr>
          <w:rFonts w:ascii="Times New Roman" w:hAnsi="Times New Roman" w:cs="Times New Roman"/>
          <w:sz w:val="24"/>
          <w:szCs w:val="24"/>
        </w:rPr>
        <w:t>echno-economic data for all renewable clusters of a single technology type are identical</w:t>
      </w:r>
      <w:r w:rsidR="00FA736D">
        <w:rPr>
          <w:rFonts w:ascii="Times New Roman" w:hAnsi="Times New Roman" w:cs="Times New Roman"/>
          <w:sz w:val="24"/>
          <w:szCs w:val="24"/>
        </w:rPr>
        <w:t xml:space="preserve"> </w:t>
      </w:r>
      <w:r w:rsidR="00FA736D" w:rsidRPr="0025159D">
        <w:rPr>
          <w:rFonts w:ascii="Times New Roman" w:hAnsi="Times New Roman" w:cs="Times New Roman"/>
          <w:sz w:val="24"/>
          <w:szCs w:val="24"/>
        </w:rPr>
        <w:t>except for capacity factor and maximum available capacity</w:t>
      </w:r>
      <w:r w:rsidR="00FA736D">
        <w:rPr>
          <w:rFonts w:ascii="Times New Roman" w:hAnsi="Times New Roman" w:cs="Times New Roman"/>
          <w:sz w:val="24"/>
          <w:szCs w:val="24"/>
        </w:rPr>
        <w:t>.</w:t>
      </w:r>
      <w:r w:rsidR="00FA736D" w:rsidRPr="0025159D">
        <w:rPr>
          <w:rFonts w:ascii="Times New Roman" w:hAnsi="Times New Roman" w:cs="Times New Roman"/>
          <w:sz w:val="24"/>
          <w:szCs w:val="24"/>
        </w:rPr>
        <w:t xml:space="preserve"> </w:t>
      </w:r>
      <w:r w:rsidR="00F860A1">
        <w:rPr>
          <w:rFonts w:ascii="Times New Roman" w:hAnsi="Times New Roman" w:cs="Times New Roman"/>
          <w:sz w:val="24"/>
          <w:szCs w:val="24"/>
        </w:rPr>
        <w:t>These</w:t>
      </w:r>
      <w:r w:rsidR="00FA736D">
        <w:rPr>
          <w:rFonts w:ascii="Times New Roman" w:hAnsi="Times New Roman" w:cs="Times New Roman"/>
          <w:sz w:val="24"/>
          <w:szCs w:val="24"/>
        </w:rPr>
        <w:t xml:space="preserve"> techno-economic characteristics are</w:t>
      </w:r>
      <w:r w:rsidRPr="0025159D">
        <w:rPr>
          <w:rFonts w:ascii="Times New Roman" w:hAnsi="Times New Roman" w:cs="Times New Roman"/>
          <w:sz w:val="24"/>
          <w:szCs w:val="24"/>
        </w:rPr>
        <w:t xml:space="preserve"> derived from the NREL ATB via PowerGenome. Further, PowerGenome uses k-means clustering to develop these groups, which differ by capacity factor and maximum available capacity in each region. Although PowerGenome </w:t>
      </w:r>
      <w:r w:rsidR="00481321" w:rsidRPr="0025159D">
        <w:rPr>
          <w:rFonts w:ascii="Times New Roman" w:hAnsi="Times New Roman" w:cs="Times New Roman"/>
          <w:sz w:val="24"/>
          <w:szCs w:val="24"/>
        </w:rPr>
        <w:t>does not</w:t>
      </w:r>
      <w:r w:rsidRPr="0025159D">
        <w:rPr>
          <w:rFonts w:ascii="Times New Roman" w:hAnsi="Times New Roman" w:cs="Times New Roman"/>
          <w:sz w:val="24"/>
          <w:szCs w:val="24"/>
        </w:rPr>
        <w:t xml:space="preserve"> explicitly develop technology clusters for new residential-scale PV, we use the tool to develop cost estimates (investment and O&amp;M costs) for a single representative cluster with underlying data from the NREL ATB. As an approximation, we </w:t>
      </w:r>
      <w:r w:rsidR="008E0DB6">
        <w:rPr>
          <w:rFonts w:ascii="Times New Roman" w:hAnsi="Times New Roman" w:cs="Times New Roman"/>
          <w:sz w:val="24"/>
          <w:szCs w:val="24"/>
        </w:rPr>
        <w:t>also use the capacity factors developed for the three utility PV clusters in each region to represent residential PV generation</w:t>
      </w:r>
      <w:r w:rsidRPr="0025159D">
        <w:rPr>
          <w:rFonts w:ascii="Times New Roman" w:hAnsi="Times New Roman" w:cs="Times New Roman"/>
          <w:sz w:val="24"/>
          <w:szCs w:val="24"/>
        </w:rPr>
        <w:t>. Each cluster has the same cost estimates as developed through PowerGenome. Residential PV annual generation is specified exogenously, with data from the NREL dGen</w:t>
      </w:r>
      <w:r w:rsidR="00E1330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{"citationID":"QvzuKXdT","properties":{"formattedCitation":"\\super 17\\nosupersub{}","plainCitation":"17","noteIndex":0},"citationItems":[{"id":5259,"uris":["http://zotero.org/users/3151432/items/SAHZELP8"],"itemData":{"id":5259,"type":"report","publisher":"National Renewable Energy Lab.(NREL), Golden, CO (United States)","title":"Distributed generation market demand model (dGen): Documentation","author":[{"family":"Sigrin","given":"Benjamin"},{"family":"Gleason","given":"Michael"},{"family":"Preus","given":"Robert"},{"family":"Baring-Gould","given":"Ian"},{"family":"Margolis","given":"Robert"}],"issued":{"date-parts":[["2016"]]}}}],"schema":"https://github.com/citation-style-language/schema/raw/master/csl-citation.json"} </w:instrText>
      </w:r>
      <w:r w:rsidR="00E1330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17</w:t>
      </w:r>
      <w:r w:rsidR="00E1330B" w:rsidRPr="0025159D">
        <w:rPr>
          <w:rFonts w:ascii="Times New Roman" w:hAnsi="Times New Roman" w:cs="Times New Roman"/>
          <w:sz w:val="24"/>
          <w:szCs w:val="24"/>
        </w:rPr>
        <w:fldChar w:fldCharType="end"/>
      </w:r>
      <w:r w:rsidR="00E1330B" w:rsidRPr="0025159D">
        <w:rPr>
          <w:rFonts w:ascii="Times New Roman" w:hAnsi="Times New Roman" w:cs="Times New Roman"/>
          <w:sz w:val="24"/>
          <w:szCs w:val="24"/>
        </w:rPr>
        <w:t xml:space="preserve"> </w:t>
      </w:r>
      <w:r w:rsidRPr="0025159D">
        <w:rPr>
          <w:rFonts w:ascii="Times New Roman" w:hAnsi="Times New Roman" w:cs="Times New Roman"/>
          <w:sz w:val="24"/>
          <w:szCs w:val="24"/>
        </w:rPr>
        <w:t>model</w:t>
      </w:r>
      <w:r w:rsidR="003150B8" w:rsidRPr="0025159D">
        <w:rPr>
          <w:rFonts w:ascii="Times New Roman" w:hAnsi="Times New Roman" w:cs="Times New Roman"/>
          <w:sz w:val="24"/>
          <w:szCs w:val="24"/>
        </w:rPr>
        <w:t>’</w:t>
      </w:r>
      <w:r w:rsidRPr="0025159D">
        <w:rPr>
          <w:rFonts w:ascii="Times New Roman" w:hAnsi="Times New Roman" w:cs="Times New Roman"/>
          <w:sz w:val="24"/>
          <w:szCs w:val="24"/>
        </w:rPr>
        <w:t xml:space="preserve">s Mid (PV </w:t>
      </w:r>
      <w:r w:rsidRPr="0025159D">
        <w:rPr>
          <w:rFonts w:ascii="Times New Roman" w:hAnsi="Times New Roman" w:cs="Times New Roman"/>
          <w:sz w:val="24"/>
          <w:szCs w:val="24"/>
        </w:rPr>
        <w:lastRenderedPageBreak/>
        <w:t xml:space="preserve">cost) scenario </w:t>
      </w:r>
      <w:r w:rsidR="003150B8" w:rsidRPr="0025159D">
        <w:rPr>
          <w:rFonts w:ascii="Times New Roman" w:hAnsi="Times New Roman" w:cs="Times New Roman"/>
          <w:sz w:val="24"/>
          <w:szCs w:val="24"/>
        </w:rPr>
        <w:t>–</w:t>
      </w:r>
      <w:r w:rsidRPr="0025159D">
        <w:rPr>
          <w:rFonts w:ascii="Times New Roman" w:hAnsi="Times New Roman" w:cs="Times New Roman"/>
          <w:sz w:val="24"/>
          <w:szCs w:val="24"/>
        </w:rPr>
        <w:t xml:space="preserve"> data available at the state level is aggregated to each of the nine OEO regions. This technology is assumed to have no other resource constraints.</w:t>
      </w:r>
      <w:r w:rsidR="004C57B2"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We also </w:t>
      </w:r>
      <w:r w:rsidR="00CD25D3">
        <w:rPr>
          <w:rFonts w:ascii="Times New Roman" w:hAnsi="Times New Roman" w:cs="Times New Roman"/>
          <w:sz w:val="24"/>
          <w:szCs w:val="24"/>
        </w:rPr>
        <w:t>developed</w:t>
      </w:r>
      <w:r w:rsidRPr="0025159D">
        <w:rPr>
          <w:rFonts w:ascii="Times New Roman" w:hAnsi="Times New Roman" w:cs="Times New Roman"/>
          <w:sz w:val="24"/>
          <w:szCs w:val="24"/>
        </w:rPr>
        <w:t xml:space="preserve"> a single cluster of concentrating solar thermal technologies in the California and Southwestern US regions. In the NREL ATB, the representative</w:t>
      </w:r>
      <w:r w:rsidR="00E534C8"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technology is assumed to be a 100 MW molten salt </w:t>
      </w:r>
      <w:r w:rsidR="00CD25D3">
        <w:rPr>
          <w:rFonts w:ascii="Times New Roman" w:hAnsi="Times New Roman" w:cs="Times New Roman"/>
          <w:sz w:val="24"/>
          <w:szCs w:val="24"/>
        </w:rPr>
        <w:t>power tower</w:t>
      </w:r>
      <w:r w:rsidRPr="0025159D">
        <w:rPr>
          <w:rFonts w:ascii="Times New Roman" w:hAnsi="Times New Roman" w:cs="Times New Roman"/>
          <w:sz w:val="24"/>
          <w:szCs w:val="24"/>
        </w:rPr>
        <w:t xml:space="preserve"> with 10 hours of thermal energy storage driven by Class 5 (excellent) resources. </w:t>
      </w:r>
    </w:p>
    <w:p w14:paraId="7E77F674" w14:textId="0ADFF2BC" w:rsidR="00720EFF" w:rsidRPr="0025159D" w:rsidRDefault="007A62DB" w:rsidP="00720EFF">
      <w:pPr>
        <w:rPr>
          <w:rFonts w:ascii="Times New Roman" w:hAnsi="Times New Roman" w:cs="Times New Roman"/>
          <w:b/>
          <w:bCs/>
          <w:sz w:val="24"/>
          <w:szCs w:val="24"/>
        </w:rPr>
      </w:pPr>
      <w:r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REF _Ref149837353 \h </w:instrText>
      </w:r>
      <w:r w:rsidR="0025159D" w:rsidRPr="0025159D">
        <w:rPr>
          <w:rFonts w:ascii="Times New Roman" w:hAnsi="Times New Roman" w:cs="Times New Roman"/>
          <w:b/>
          <w:bCs/>
          <w:sz w:val="24"/>
          <w:szCs w:val="24"/>
        </w:rPr>
        <w:instrText xml:space="preserve"> \* MERGEFORMAT </w:instrText>
      </w:r>
      <w:r w:rsidRPr="0025159D">
        <w:rPr>
          <w:rFonts w:ascii="Times New Roman" w:hAnsi="Times New Roman" w:cs="Times New Roman"/>
          <w:b/>
          <w:bCs/>
          <w:sz w:val="24"/>
          <w:szCs w:val="24"/>
        </w:rPr>
      </w:r>
      <w:r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rPr>
        <w:t>Section S</w:t>
      </w:r>
      <w:r w:rsidRPr="0025159D">
        <w:rPr>
          <w:rFonts w:ascii="Times New Roman" w:hAnsi="Times New Roman" w:cs="Times New Roman"/>
          <w:b/>
          <w:bCs/>
          <w:noProof/>
          <w:sz w:val="24"/>
          <w:szCs w:val="24"/>
        </w:rPr>
        <w:t>4</w:t>
      </w:r>
      <w:r w:rsidRPr="0025159D">
        <w:rPr>
          <w:rFonts w:ascii="Times New Roman" w:hAnsi="Times New Roman" w:cs="Times New Roman"/>
          <w:b/>
          <w:bCs/>
          <w:sz w:val="24"/>
          <w:szCs w:val="24"/>
        </w:rPr>
        <w:fldChar w:fldCharType="end"/>
      </w:r>
      <w:r w:rsidR="00CF5E57" w:rsidRPr="0025159D">
        <w:rPr>
          <w:rFonts w:ascii="Times New Roman" w:hAnsi="Times New Roman" w:cs="Times New Roman"/>
          <w:b/>
          <w:bCs/>
          <w:sz w:val="24"/>
          <w:szCs w:val="24"/>
        </w:rPr>
        <w:t xml:space="preserve">.2 </w:t>
      </w:r>
      <w:r w:rsidR="00720EFF" w:rsidRPr="0025159D">
        <w:rPr>
          <w:rFonts w:ascii="Times New Roman" w:hAnsi="Times New Roman" w:cs="Times New Roman"/>
          <w:b/>
          <w:bCs/>
          <w:sz w:val="24"/>
          <w:szCs w:val="24"/>
        </w:rPr>
        <w:t xml:space="preserve">Buildings </w:t>
      </w:r>
      <w:r w:rsidR="00973B19">
        <w:rPr>
          <w:rFonts w:ascii="Times New Roman" w:hAnsi="Times New Roman" w:cs="Times New Roman"/>
          <w:b/>
          <w:bCs/>
          <w:sz w:val="24"/>
          <w:szCs w:val="24"/>
        </w:rPr>
        <w:t>s</w:t>
      </w:r>
      <w:r w:rsidR="00720EFF" w:rsidRPr="0025159D">
        <w:rPr>
          <w:rFonts w:ascii="Times New Roman" w:hAnsi="Times New Roman" w:cs="Times New Roman"/>
          <w:b/>
          <w:bCs/>
          <w:sz w:val="24"/>
          <w:szCs w:val="24"/>
        </w:rPr>
        <w:t>ector:</w:t>
      </w:r>
    </w:p>
    <w:p w14:paraId="0BE179D6" w14:textId="7DD41BB7" w:rsidR="00B441C3" w:rsidRPr="0025159D" w:rsidRDefault="00720EFF" w:rsidP="00720EFF">
      <w:pPr>
        <w:rPr>
          <w:rFonts w:ascii="Times New Roman" w:hAnsi="Times New Roman" w:cs="Times New Roman"/>
          <w:sz w:val="24"/>
          <w:szCs w:val="24"/>
        </w:rPr>
      </w:pPr>
      <w:r w:rsidRPr="0025159D">
        <w:rPr>
          <w:rFonts w:ascii="Times New Roman" w:hAnsi="Times New Roman" w:cs="Times New Roman"/>
          <w:sz w:val="24"/>
          <w:szCs w:val="24"/>
        </w:rPr>
        <w:t xml:space="preserve">The buildings sector is divided into the residential and commercial sectors. </w:t>
      </w:r>
      <w:r w:rsidR="004C57B2" w:rsidRPr="0025159D">
        <w:rPr>
          <w:rFonts w:ascii="Times New Roman" w:hAnsi="Times New Roman" w:cs="Times New Roman"/>
          <w:sz w:val="24"/>
          <w:szCs w:val="24"/>
        </w:rPr>
        <w:t>The</w:t>
      </w:r>
      <w:r w:rsidRPr="0025159D">
        <w:rPr>
          <w:rFonts w:ascii="Times New Roman" w:hAnsi="Times New Roman" w:cs="Times New Roman"/>
          <w:sz w:val="24"/>
          <w:szCs w:val="24"/>
        </w:rPr>
        <w:t xml:space="preserve"> </w:t>
      </w:r>
      <w:r w:rsidR="003150B8" w:rsidRPr="0025159D">
        <w:rPr>
          <w:rFonts w:ascii="Times New Roman" w:hAnsi="Times New Roman" w:cs="Times New Roman"/>
          <w:sz w:val="24"/>
          <w:szCs w:val="24"/>
        </w:rPr>
        <w:t xml:space="preserve">main </w:t>
      </w:r>
      <w:r w:rsidRPr="0025159D">
        <w:rPr>
          <w:rFonts w:ascii="Times New Roman" w:hAnsi="Times New Roman" w:cs="Times New Roman"/>
          <w:sz w:val="24"/>
          <w:szCs w:val="24"/>
        </w:rPr>
        <w:t xml:space="preserve">components </w:t>
      </w:r>
      <w:r w:rsidR="004C57B2" w:rsidRPr="0025159D">
        <w:rPr>
          <w:rFonts w:ascii="Times New Roman" w:hAnsi="Times New Roman" w:cs="Times New Roman"/>
          <w:sz w:val="24"/>
          <w:szCs w:val="24"/>
        </w:rPr>
        <w:t xml:space="preserve">used to </w:t>
      </w:r>
      <w:r w:rsidR="00481321" w:rsidRPr="0025159D">
        <w:rPr>
          <w:rFonts w:ascii="Times New Roman" w:hAnsi="Times New Roman" w:cs="Times New Roman"/>
          <w:sz w:val="24"/>
          <w:szCs w:val="24"/>
        </w:rPr>
        <w:t>represent</w:t>
      </w:r>
      <w:r w:rsidR="004C57B2" w:rsidRPr="0025159D">
        <w:rPr>
          <w:rFonts w:ascii="Times New Roman" w:hAnsi="Times New Roman" w:cs="Times New Roman"/>
          <w:sz w:val="24"/>
          <w:szCs w:val="24"/>
        </w:rPr>
        <w:t xml:space="preserve"> these sectors are</w:t>
      </w:r>
      <w:r w:rsidRPr="0025159D">
        <w:rPr>
          <w:rFonts w:ascii="Times New Roman" w:hAnsi="Times New Roman" w:cs="Times New Roman"/>
          <w:sz w:val="24"/>
          <w:szCs w:val="24"/>
        </w:rPr>
        <w:t xml:space="preserve"> 1) end-use service demands</w:t>
      </w:r>
      <w:r w:rsidR="00B441C3"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2) the </w:t>
      </w:r>
      <w:r w:rsidR="00B441C3" w:rsidRPr="0025159D">
        <w:rPr>
          <w:rFonts w:ascii="Times New Roman" w:hAnsi="Times New Roman" w:cs="Times New Roman"/>
          <w:sz w:val="24"/>
          <w:szCs w:val="24"/>
        </w:rPr>
        <w:t xml:space="preserve">techno-economic characteristics of the </w:t>
      </w:r>
      <w:r w:rsidRPr="0025159D">
        <w:rPr>
          <w:rFonts w:ascii="Times New Roman" w:hAnsi="Times New Roman" w:cs="Times New Roman"/>
          <w:sz w:val="24"/>
          <w:szCs w:val="24"/>
        </w:rPr>
        <w:t>technologies used to meet those demands</w:t>
      </w:r>
      <w:r w:rsidR="00481321" w:rsidRPr="0025159D">
        <w:rPr>
          <w:rFonts w:ascii="Times New Roman" w:hAnsi="Times New Roman" w:cs="Times New Roman"/>
          <w:sz w:val="24"/>
          <w:szCs w:val="24"/>
        </w:rPr>
        <w:t>,</w:t>
      </w:r>
      <w:r w:rsidR="004C57B2" w:rsidRPr="0025159D">
        <w:rPr>
          <w:rFonts w:ascii="Times New Roman" w:hAnsi="Times New Roman" w:cs="Times New Roman"/>
          <w:sz w:val="24"/>
          <w:szCs w:val="24"/>
        </w:rPr>
        <w:t xml:space="preserve"> </w:t>
      </w:r>
      <w:r w:rsidR="00B441C3" w:rsidRPr="0025159D">
        <w:rPr>
          <w:rFonts w:ascii="Times New Roman" w:hAnsi="Times New Roman" w:cs="Times New Roman"/>
          <w:sz w:val="24"/>
          <w:szCs w:val="24"/>
        </w:rPr>
        <w:t xml:space="preserve">and </w:t>
      </w:r>
      <w:r w:rsidR="004C57B2" w:rsidRPr="0025159D">
        <w:rPr>
          <w:rFonts w:ascii="Times New Roman" w:hAnsi="Times New Roman" w:cs="Times New Roman"/>
          <w:sz w:val="24"/>
          <w:szCs w:val="24"/>
        </w:rPr>
        <w:t xml:space="preserve">3) </w:t>
      </w:r>
      <w:r w:rsidR="00B441C3" w:rsidRPr="0025159D">
        <w:rPr>
          <w:rFonts w:ascii="Times New Roman" w:hAnsi="Times New Roman" w:cs="Times New Roman"/>
          <w:sz w:val="24"/>
          <w:szCs w:val="24"/>
        </w:rPr>
        <w:t xml:space="preserve">the </w:t>
      </w:r>
      <w:r w:rsidR="004C57B2" w:rsidRPr="0025159D">
        <w:rPr>
          <w:rFonts w:ascii="Times New Roman" w:hAnsi="Times New Roman" w:cs="Times New Roman"/>
          <w:sz w:val="24"/>
          <w:szCs w:val="24"/>
        </w:rPr>
        <w:t>existing capacity of technologies currently in service</w:t>
      </w:r>
      <w:r w:rsidRPr="0025159D">
        <w:rPr>
          <w:rFonts w:ascii="Times New Roman" w:hAnsi="Times New Roman" w:cs="Times New Roman"/>
          <w:sz w:val="24"/>
          <w:szCs w:val="24"/>
        </w:rPr>
        <w:t xml:space="preserve">. </w:t>
      </w:r>
    </w:p>
    <w:p w14:paraId="34E1F009" w14:textId="189C3A07" w:rsidR="00720EFF" w:rsidRPr="0025159D" w:rsidRDefault="00720EFF" w:rsidP="00720EFF">
      <w:pPr>
        <w:rPr>
          <w:rFonts w:ascii="Times New Roman" w:hAnsi="Times New Roman" w:cs="Times New Roman"/>
          <w:sz w:val="24"/>
          <w:szCs w:val="24"/>
        </w:rPr>
      </w:pPr>
      <w:r w:rsidRPr="0025159D">
        <w:rPr>
          <w:rFonts w:ascii="Times New Roman" w:hAnsi="Times New Roman" w:cs="Times New Roman"/>
          <w:sz w:val="24"/>
          <w:szCs w:val="24"/>
        </w:rPr>
        <w:t>The service demands are derived from the NREL Electrification Futures Study</w:t>
      </w:r>
      <w:r w:rsidR="00E1330B" w:rsidRPr="0025159D">
        <w:rPr>
          <w:rFonts w:ascii="Times New Roman" w:hAnsi="Times New Roman" w:cs="Times New Roman"/>
          <w:sz w:val="24"/>
          <w:szCs w:val="24"/>
        </w:rPr>
        <w:fldChar w:fldCharType="begin"/>
      </w:r>
      <w:r w:rsidR="00E1330B" w:rsidRPr="0025159D">
        <w:rPr>
          <w:rFonts w:ascii="Times New Roman" w:hAnsi="Times New Roman" w:cs="Times New Roman"/>
          <w:sz w:val="24"/>
          <w:szCs w:val="24"/>
        </w:rPr>
        <w:instrText xml:space="preserve"> ADDIN ZOTERO_ITEM CSL_CITATION {"citationID":"zvWUVUGd","properties":{"formattedCitation":"\\super 5\\nosupersub{}","plainCitation":"5","noteIndex":0},"citationItems":[{"id":5032,"uris":["http://zotero.org/users/3151432/items/DD24E9CR"],"itemData":{"id":5032,"type":"report","language":"en","note":"DOI: 10.2172/1459351","number":"NREL/TP--6A20-71500, 1459351","page":"NREL/TP--6A20-71500, 1459351","publisher":"National Renewable Energy Labs","source":"DOI.org (Crossref)","title":"Electrification Futures Study: Scenarios of Electric Technology Adoption and Power Consumption for the United States","title-short":"Electrification Futures Study","URL":"http://www.osti.gov/servlets/purl/1459351/","author":[{"family":"Mai","given":"Trieu T."},{"family":"Jadun","given":"Paige"},{"family":"Logan","given":"Jeffrey S."},{"family":"McMillan","given":"Colin A."},{"family":"Muratori","given":"Matteo"},{"family":"Steinberg","given":"Daniel C."},{"family":"Vimmerstedt","given":"Laura J."},{"family":"Haley","given":"Benjamin"},{"family":"Jones","given":"Ryan"},{"family":"Nelson","given":"Brent"}],"accessed":{"date-parts":[["2023",3,24]]},"issued":{"date-parts":[["2018",6,29]]}}}],"schema":"https://github.com/citation-style-language/schema/raw/master/csl-citation.json"} </w:instrText>
      </w:r>
      <w:r w:rsidR="00E1330B" w:rsidRPr="0025159D">
        <w:rPr>
          <w:rFonts w:ascii="Times New Roman" w:hAnsi="Times New Roman" w:cs="Times New Roman"/>
          <w:sz w:val="24"/>
          <w:szCs w:val="24"/>
        </w:rPr>
        <w:fldChar w:fldCharType="separate"/>
      </w:r>
      <w:r w:rsidR="00E1330B" w:rsidRPr="0025159D">
        <w:rPr>
          <w:rFonts w:ascii="Times New Roman" w:hAnsi="Times New Roman" w:cs="Times New Roman"/>
          <w:sz w:val="24"/>
          <w:szCs w:val="24"/>
          <w:vertAlign w:val="superscript"/>
        </w:rPr>
        <w:t>5</w:t>
      </w:r>
      <w:r w:rsidR="00E1330B"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and consist of two components: 1) the region-specific annual demands projected to 2050 and 2) the apportionment of these annual demands at the hourly level. The demand technologies are characterized by their capital costs, fixed and variable operation and maintenance costs, efficiencies, capacity factors, existing capacity, and fuel inputs.</w:t>
      </w:r>
    </w:p>
    <w:p w14:paraId="73EC47E6" w14:textId="4FB3F56F" w:rsidR="003150B8" w:rsidRPr="0025159D" w:rsidRDefault="00720EFF" w:rsidP="003150B8">
      <w:pPr>
        <w:rPr>
          <w:rFonts w:ascii="Times New Roman" w:hAnsi="Times New Roman" w:cs="Times New Roman"/>
          <w:sz w:val="24"/>
          <w:szCs w:val="24"/>
        </w:rPr>
      </w:pPr>
      <w:r w:rsidRPr="0025159D">
        <w:rPr>
          <w:rFonts w:ascii="Times New Roman" w:hAnsi="Times New Roman" w:cs="Times New Roman"/>
          <w:b/>
          <w:bCs/>
          <w:sz w:val="24"/>
          <w:szCs w:val="24"/>
        </w:rPr>
        <w:t xml:space="preserve">Service Demands: </w:t>
      </w:r>
      <w:r w:rsidR="00551FE1" w:rsidRPr="0025159D">
        <w:rPr>
          <w:rFonts w:ascii="Times New Roman" w:hAnsi="Times New Roman" w:cs="Times New Roman"/>
          <w:sz w:val="24"/>
          <w:szCs w:val="24"/>
        </w:rPr>
        <w:t xml:space="preserve">The service demands represented in the residential sector </w:t>
      </w:r>
      <w:r w:rsidR="00D2598F">
        <w:rPr>
          <w:rFonts w:ascii="Times New Roman" w:hAnsi="Times New Roman" w:cs="Times New Roman"/>
          <w:sz w:val="24"/>
          <w:szCs w:val="24"/>
        </w:rPr>
        <w:t>include</w:t>
      </w:r>
      <w:r w:rsidR="00551FE1" w:rsidRPr="0025159D">
        <w:rPr>
          <w:rFonts w:ascii="Times New Roman" w:hAnsi="Times New Roman" w:cs="Times New Roman"/>
          <w:sz w:val="24"/>
          <w:szCs w:val="24"/>
        </w:rPr>
        <w:t xml:space="preserve"> space cooling, space heating, refrigeration, freezing, lighting, water heating, cooking, clothes drying,</w:t>
      </w:r>
      <w:r w:rsidR="00D2598F">
        <w:rPr>
          <w:rFonts w:ascii="Times New Roman" w:hAnsi="Times New Roman" w:cs="Times New Roman"/>
          <w:sz w:val="24"/>
          <w:szCs w:val="24"/>
        </w:rPr>
        <w:t xml:space="preserve"> and</w:t>
      </w:r>
      <w:r w:rsidR="00551FE1" w:rsidRPr="0025159D">
        <w:rPr>
          <w:rFonts w:ascii="Times New Roman" w:hAnsi="Times New Roman" w:cs="Times New Roman"/>
          <w:sz w:val="24"/>
          <w:szCs w:val="24"/>
        </w:rPr>
        <w:t xml:space="preserve"> dishwashing. In the commercial sector, we </w:t>
      </w:r>
      <w:r w:rsidR="007403D0" w:rsidRPr="0025159D">
        <w:rPr>
          <w:rFonts w:ascii="Times New Roman" w:hAnsi="Times New Roman" w:cs="Times New Roman"/>
          <w:sz w:val="24"/>
          <w:szCs w:val="24"/>
        </w:rPr>
        <w:t>model</w:t>
      </w:r>
      <w:r w:rsidR="00551FE1" w:rsidRPr="0025159D">
        <w:rPr>
          <w:rFonts w:ascii="Times New Roman" w:hAnsi="Times New Roman" w:cs="Times New Roman"/>
          <w:sz w:val="24"/>
          <w:szCs w:val="24"/>
        </w:rPr>
        <w:t xml:space="preserve"> space cooling, space heating, water heating, refrigeration, cooking, lighting</w:t>
      </w:r>
      <w:r w:rsidR="00D2598F">
        <w:rPr>
          <w:rFonts w:ascii="Times New Roman" w:hAnsi="Times New Roman" w:cs="Times New Roman"/>
          <w:sz w:val="24"/>
          <w:szCs w:val="24"/>
        </w:rPr>
        <w:t>,</w:t>
      </w:r>
      <w:r w:rsidR="00551FE1" w:rsidRPr="0025159D">
        <w:rPr>
          <w:rFonts w:ascii="Times New Roman" w:hAnsi="Times New Roman" w:cs="Times New Roman"/>
          <w:sz w:val="24"/>
          <w:szCs w:val="24"/>
        </w:rPr>
        <w:t xml:space="preserve"> and ventilation. </w:t>
      </w:r>
      <w:r w:rsidR="003150B8" w:rsidRPr="0025159D">
        <w:rPr>
          <w:rFonts w:ascii="Times New Roman" w:hAnsi="Times New Roman" w:cs="Times New Roman"/>
          <w:sz w:val="24"/>
          <w:szCs w:val="24"/>
        </w:rPr>
        <w:t xml:space="preserve">The NREL Electrification Futures Study </w:t>
      </w:r>
      <w:r w:rsidR="00E576B4" w:rsidRPr="0025159D">
        <w:rPr>
          <w:rFonts w:ascii="Times New Roman" w:hAnsi="Times New Roman" w:cs="Times New Roman"/>
          <w:sz w:val="24"/>
          <w:szCs w:val="24"/>
        </w:rPr>
        <w:t xml:space="preserve">(EFS) </w:t>
      </w:r>
      <w:r w:rsidR="00551FE1" w:rsidRPr="0025159D">
        <w:rPr>
          <w:rFonts w:ascii="Times New Roman" w:hAnsi="Times New Roman" w:cs="Times New Roman"/>
          <w:sz w:val="24"/>
          <w:szCs w:val="24"/>
        </w:rPr>
        <w:t xml:space="preserve">provides </w:t>
      </w:r>
      <w:r w:rsidR="007403D0" w:rsidRPr="0025159D">
        <w:rPr>
          <w:rFonts w:ascii="Times New Roman" w:hAnsi="Times New Roman" w:cs="Times New Roman"/>
          <w:sz w:val="24"/>
          <w:szCs w:val="24"/>
        </w:rPr>
        <w:t xml:space="preserve">annual </w:t>
      </w:r>
      <w:r w:rsidR="00551FE1" w:rsidRPr="0025159D">
        <w:rPr>
          <w:rFonts w:ascii="Times New Roman" w:hAnsi="Times New Roman" w:cs="Times New Roman"/>
          <w:sz w:val="24"/>
          <w:szCs w:val="24"/>
        </w:rPr>
        <w:t>projections for the</w:t>
      </w:r>
      <w:r w:rsidR="007403D0" w:rsidRPr="0025159D">
        <w:rPr>
          <w:rFonts w:ascii="Times New Roman" w:hAnsi="Times New Roman" w:cs="Times New Roman"/>
          <w:sz w:val="24"/>
          <w:szCs w:val="24"/>
        </w:rPr>
        <w:t>se</w:t>
      </w:r>
      <w:r w:rsidR="00551FE1" w:rsidRPr="0025159D">
        <w:rPr>
          <w:rFonts w:ascii="Times New Roman" w:hAnsi="Times New Roman" w:cs="Times New Roman"/>
          <w:sz w:val="24"/>
          <w:szCs w:val="24"/>
        </w:rPr>
        <w:t xml:space="preserve"> end-use </w:t>
      </w:r>
      <w:r w:rsidR="003150B8" w:rsidRPr="0025159D">
        <w:rPr>
          <w:rFonts w:ascii="Times New Roman" w:hAnsi="Times New Roman" w:cs="Times New Roman"/>
          <w:sz w:val="24"/>
          <w:szCs w:val="24"/>
        </w:rPr>
        <w:t>demand</w:t>
      </w:r>
      <w:r w:rsidR="007403D0" w:rsidRPr="0025159D">
        <w:rPr>
          <w:rFonts w:ascii="Times New Roman" w:hAnsi="Times New Roman" w:cs="Times New Roman"/>
          <w:sz w:val="24"/>
          <w:szCs w:val="24"/>
        </w:rPr>
        <w:t>s</w:t>
      </w:r>
      <w:r w:rsidR="003150B8" w:rsidRPr="0025159D">
        <w:rPr>
          <w:rFonts w:ascii="Times New Roman" w:hAnsi="Times New Roman" w:cs="Times New Roman"/>
          <w:sz w:val="24"/>
          <w:szCs w:val="24"/>
        </w:rPr>
        <w:t xml:space="preserve"> in the U</w:t>
      </w:r>
      <w:r w:rsidR="00481321" w:rsidRPr="0025159D">
        <w:rPr>
          <w:rFonts w:ascii="Times New Roman" w:hAnsi="Times New Roman" w:cs="Times New Roman"/>
          <w:sz w:val="24"/>
          <w:szCs w:val="24"/>
        </w:rPr>
        <w:t xml:space="preserve">nited </w:t>
      </w:r>
      <w:r w:rsidR="003150B8" w:rsidRPr="0025159D">
        <w:rPr>
          <w:rFonts w:ascii="Times New Roman" w:hAnsi="Times New Roman" w:cs="Times New Roman"/>
          <w:sz w:val="24"/>
          <w:szCs w:val="24"/>
        </w:rPr>
        <w:t>S</w:t>
      </w:r>
      <w:r w:rsidR="00481321" w:rsidRPr="0025159D">
        <w:rPr>
          <w:rFonts w:ascii="Times New Roman" w:hAnsi="Times New Roman" w:cs="Times New Roman"/>
          <w:sz w:val="24"/>
          <w:szCs w:val="24"/>
        </w:rPr>
        <w:t>tates through</w:t>
      </w:r>
      <w:r w:rsidR="003150B8" w:rsidRPr="0025159D">
        <w:rPr>
          <w:rFonts w:ascii="Times New Roman" w:hAnsi="Times New Roman" w:cs="Times New Roman"/>
          <w:sz w:val="24"/>
          <w:szCs w:val="24"/>
        </w:rPr>
        <w:t xml:space="preserve"> 2050. These annual projections are available at the state level for </w:t>
      </w:r>
      <w:r w:rsidR="007403D0" w:rsidRPr="0025159D">
        <w:rPr>
          <w:rFonts w:ascii="Times New Roman" w:hAnsi="Times New Roman" w:cs="Times New Roman"/>
          <w:sz w:val="24"/>
          <w:szCs w:val="24"/>
        </w:rPr>
        <w:t xml:space="preserve">each </w:t>
      </w:r>
      <w:r w:rsidR="008E0DB6">
        <w:rPr>
          <w:rFonts w:ascii="Times New Roman" w:hAnsi="Times New Roman" w:cs="Times New Roman"/>
          <w:sz w:val="24"/>
          <w:szCs w:val="24"/>
        </w:rPr>
        <w:t>end-use demand</w:t>
      </w:r>
      <w:r w:rsidR="002D6699">
        <w:rPr>
          <w:rFonts w:ascii="Times New Roman" w:hAnsi="Times New Roman" w:cs="Times New Roman"/>
          <w:sz w:val="24"/>
          <w:szCs w:val="24"/>
        </w:rPr>
        <w:t xml:space="preserve"> in </w:t>
      </w:r>
      <w:r w:rsidR="009B68BA">
        <w:rPr>
          <w:rFonts w:ascii="Times New Roman" w:hAnsi="Times New Roman" w:cs="Times New Roman"/>
          <w:sz w:val="24"/>
          <w:szCs w:val="24"/>
        </w:rPr>
        <w:t>Table S1</w:t>
      </w:r>
      <w:r w:rsidR="003150B8" w:rsidRPr="0025159D">
        <w:rPr>
          <w:rFonts w:ascii="Times New Roman" w:hAnsi="Times New Roman" w:cs="Times New Roman"/>
          <w:sz w:val="24"/>
          <w:szCs w:val="24"/>
        </w:rPr>
        <w:t xml:space="preserve">. </w:t>
      </w:r>
    </w:p>
    <w:p w14:paraId="6E5451BD" w14:textId="46A7AE5F" w:rsidR="007403D0" w:rsidRPr="0025159D" w:rsidRDefault="003150B8" w:rsidP="003150B8">
      <w:pPr>
        <w:rPr>
          <w:rFonts w:ascii="Times New Roman" w:hAnsi="Times New Roman" w:cs="Times New Roman"/>
          <w:sz w:val="24"/>
          <w:szCs w:val="24"/>
        </w:rPr>
      </w:pPr>
      <w:r w:rsidRPr="0025159D">
        <w:rPr>
          <w:rFonts w:ascii="Times New Roman" w:hAnsi="Times New Roman" w:cs="Times New Roman"/>
          <w:sz w:val="24"/>
          <w:szCs w:val="24"/>
        </w:rPr>
        <w:t>We us</w:t>
      </w:r>
      <w:r w:rsidR="007403D0" w:rsidRPr="0025159D">
        <w:rPr>
          <w:rFonts w:ascii="Times New Roman" w:hAnsi="Times New Roman" w:cs="Times New Roman"/>
          <w:sz w:val="24"/>
          <w:szCs w:val="24"/>
        </w:rPr>
        <w:t>e</w:t>
      </w:r>
      <w:r w:rsidRPr="0025159D">
        <w:rPr>
          <w:rFonts w:ascii="Times New Roman" w:hAnsi="Times New Roman" w:cs="Times New Roman"/>
          <w:sz w:val="24"/>
          <w:szCs w:val="24"/>
        </w:rPr>
        <w:t xml:space="preserve"> the estimates of buildings-related service demands for the end-use demands listed </w:t>
      </w:r>
      <w:r w:rsidR="007403D0" w:rsidRPr="0025159D">
        <w:rPr>
          <w:rFonts w:ascii="Times New Roman" w:hAnsi="Times New Roman" w:cs="Times New Roman"/>
          <w:sz w:val="24"/>
          <w:szCs w:val="24"/>
        </w:rPr>
        <w:t>above</w:t>
      </w:r>
      <w:r w:rsidRPr="0025159D">
        <w:rPr>
          <w:rFonts w:ascii="Times New Roman" w:hAnsi="Times New Roman" w:cs="Times New Roman"/>
          <w:sz w:val="24"/>
          <w:szCs w:val="24"/>
        </w:rPr>
        <w:t xml:space="preserve">. </w:t>
      </w:r>
      <w:r w:rsidR="007403D0" w:rsidRPr="0025159D">
        <w:rPr>
          <w:rFonts w:ascii="Times New Roman" w:hAnsi="Times New Roman" w:cs="Times New Roman"/>
          <w:sz w:val="24"/>
          <w:szCs w:val="24"/>
        </w:rPr>
        <w:t xml:space="preserve">In certain cases, external data was required to spatially allocate the demands reported from the </w:t>
      </w:r>
      <w:r w:rsidRPr="0025159D">
        <w:rPr>
          <w:rFonts w:ascii="Times New Roman" w:hAnsi="Times New Roman" w:cs="Times New Roman"/>
          <w:sz w:val="24"/>
          <w:szCs w:val="24"/>
        </w:rPr>
        <w:t>EFS</w:t>
      </w:r>
      <w:r w:rsidR="007403D0" w:rsidRPr="0025159D">
        <w:rPr>
          <w:rFonts w:ascii="Times New Roman" w:hAnsi="Times New Roman" w:cs="Times New Roman"/>
          <w:sz w:val="24"/>
          <w:szCs w:val="24"/>
        </w:rPr>
        <w:t>.</w:t>
      </w:r>
      <w:r w:rsidRPr="0025159D">
        <w:rPr>
          <w:rFonts w:ascii="Times New Roman" w:hAnsi="Times New Roman" w:cs="Times New Roman"/>
          <w:sz w:val="24"/>
          <w:szCs w:val="24"/>
        </w:rPr>
        <w:t xml:space="preserve"> For example, residential space heating service demands were downscaled using the product of each</w:t>
      </w:r>
      <w:r w:rsidR="00481321" w:rsidRPr="0025159D">
        <w:rPr>
          <w:rFonts w:ascii="Times New Roman" w:hAnsi="Times New Roman" w:cs="Times New Roman"/>
          <w:sz w:val="24"/>
          <w:szCs w:val="24"/>
        </w:rPr>
        <w:t xml:space="preserve"> </w:t>
      </w:r>
      <w:r w:rsidRPr="0025159D">
        <w:rPr>
          <w:rFonts w:ascii="Times New Roman" w:hAnsi="Times New Roman" w:cs="Times New Roman"/>
          <w:sz w:val="24"/>
          <w:szCs w:val="24"/>
        </w:rPr>
        <w:t>state</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 xml:space="preserve">s share of heating-degree-days and residential square footage. </w:t>
      </w:r>
      <w:r w:rsidR="007403D0" w:rsidRPr="0025159D">
        <w:rPr>
          <w:rFonts w:ascii="Times New Roman" w:hAnsi="Times New Roman" w:cs="Times New Roman"/>
          <w:sz w:val="24"/>
          <w:szCs w:val="24"/>
        </w:rPr>
        <w:t>Next</w:t>
      </w:r>
      <w:r w:rsidR="00E534C8" w:rsidRPr="0025159D">
        <w:rPr>
          <w:rFonts w:ascii="Times New Roman" w:hAnsi="Times New Roman" w:cs="Times New Roman"/>
          <w:sz w:val="24"/>
          <w:szCs w:val="24"/>
        </w:rPr>
        <w:t>,</w:t>
      </w:r>
      <w:r w:rsidRPr="0025159D">
        <w:rPr>
          <w:rFonts w:ascii="Times New Roman" w:hAnsi="Times New Roman" w:cs="Times New Roman"/>
          <w:sz w:val="24"/>
          <w:szCs w:val="24"/>
        </w:rPr>
        <w:t xml:space="preserve"> we perform an additional aggregation to represent the state-level demands from </w:t>
      </w:r>
      <w:r w:rsidR="007403D0" w:rsidRPr="0025159D">
        <w:rPr>
          <w:rFonts w:ascii="Times New Roman" w:hAnsi="Times New Roman" w:cs="Times New Roman"/>
          <w:sz w:val="24"/>
          <w:szCs w:val="24"/>
        </w:rPr>
        <w:t xml:space="preserve">this exercise into the </w:t>
      </w:r>
      <w:r w:rsidR="00CD25D3">
        <w:rPr>
          <w:rFonts w:ascii="Times New Roman" w:hAnsi="Times New Roman" w:cs="Times New Roman"/>
          <w:sz w:val="24"/>
          <w:szCs w:val="24"/>
        </w:rPr>
        <w:t>nine</w:t>
      </w:r>
      <w:r w:rsidR="007403D0" w:rsidRPr="0025159D">
        <w:rPr>
          <w:rFonts w:ascii="Times New Roman" w:hAnsi="Times New Roman" w:cs="Times New Roman"/>
          <w:sz w:val="24"/>
          <w:szCs w:val="24"/>
        </w:rPr>
        <w:t xml:space="preserve"> regions represented in</w:t>
      </w:r>
      <w:r w:rsidR="00E367B7" w:rsidRPr="0025159D">
        <w:rPr>
          <w:rFonts w:ascii="Times New Roman" w:hAnsi="Times New Roman" w:cs="Times New Roman"/>
          <w:sz w:val="24"/>
          <w:szCs w:val="24"/>
        </w:rPr>
        <w:t xml:space="preserve">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_Ref149838405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Figure S</w:t>
      </w:r>
      <w:r w:rsidR="00E367B7" w:rsidRPr="0025159D">
        <w:rPr>
          <w:rFonts w:ascii="Times New Roman" w:hAnsi="Times New Roman" w:cs="Times New Roman"/>
          <w:noProof/>
          <w:sz w:val="24"/>
          <w:szCs w:val="24"/>
        </w:rPr>
        <w:t>1</w:t>
      </w:r>
      <w:r w:rsidR="00E367B7"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t>
      </w:r>
      <w:r w:rsidR="007403D0" w:rsidRPr="0025159D">
        <w:rPr>
          <w:rFonts w:ascii="Times New Roman" w:hAnsi="Times New Roman" w:cs="Times New Roman"/>
          <w:sz w:val="24"/>
          <w:szCs w:val="24"/>
        </w:rPr>
        <w:t>In the case of c</w:t>
      </w:r>
      <w:r w:rsidRPr="0025159D">
        <w:rPr>
          <w:rFonts w:ascii="Times New Roman" w:hAnsi="Times New Roman" w:cs="Times New Roman"/>
          <w:sz w:val="24"/>
          <w:szCs w:val="24"/>
        </w:rPr>
        <w:t>ommercial ventilation</w:t>
      </w:r>
      <w:r w:rsidR="007403D0" w:rsidRPr="0025159D">
        <w:rPr>
          <w:rFonts w:ascii="Times New Roman" w:hAnsi="Times New Roman" w:cs="Times New Roman"/>
          <w:sz w:val="24"/>
          <w:szCs w:val="24"/>
        </w:rPr>
        <w:t>,</w:t>
      </w:r>
      <w:r w:rsidRPr="0025159D">
        <w:rPr>
          <w:rFonts w:ascii="Times New Roman" w:hAnsi="Times New Roman" w:cs="Times New Roman"/>
          <w:sz w:val="24"/>
          <w:szCs w:val="24"/>
        </w:rPr>
        <w:t xml:space="preserve"> the annual service demands were estimated from </w:t>
      </w:r>
      <w:r w:rsidR="007403D0" w:rsidRPr="0025159D">
        <w:rPr>
          <w:rFonts w:ascii="Times New Roman" w:hAnsi="Times New Roman" w:cs="Times New Roman"/>
          <w:sz w:val="24"/>
          <w:szCs w:val="24"/>
        </w:rPr>
        <w:t xml:space="preserve">the </w:t>
      </w:r>
      <w:r w:rsidRPr="0025159D">
        <w:rPr>
          <w:rFonts w:ascii="Times New Roman" w:hAnsi="Times New Roman" w:cs="Times New Roman"/>
          <w:sz w:val="24"/>
          <w:szCs w:val="24"/>
        </w:rPr>
        <w:t xml:space="preserve">AEO as the product of the commercial square footage of a region </w:t>
      </w:r>
      <w:r w:rsidR="00481321" w:rsidRPr="0025159D">
        <w:rPr>
          <w:rFonts w:ascii="Times New Roman" w:hAnsi="Times New Roman" w:cs="Times New Roman"/>
          <w:sz w:val="24"/>
          <w:szCs w:val="24"/>
        </w:rPr>
        <w:t xml:space="preserve">multiplied by </w:t>
      </w:r>
      <w:r w:rsidR="00EC7E2A" w:rsidRPr="0025159D">
        <w:rPr>
          <w:rFonts w:ascii="Times New Roman" w:hAnsi="Times New Roman" w:cs="Times New Roman"/>
          <w:sz w:val="24"/>
          <w:szCs w:val="24"/>
        </w:rPr>
        <w:t>ventilation</w:t>
      </w:r>
      <w:r w:rsidRPr="0025159D">
        <w:rPr>
          <w:rFonts w:ascii="Times New Roman" w:hAnsi="Times New Roman" w:cs="Times New Roman"/>
          <w:sz w:val="24"/>
          <w:szCs w:val="24"/>
        </w:rPr>
        <w:t xml:space="preserve"> efficiency </w:t>
      </w:r>
      <w:r w:rsidR="00481321" w:rsidRPr="0025159D">
        <w:rPr>
          <w:rFonts w:ascii="Times New Roman" w:hAnsi="Times New Roman" w:cs="Times New Roman"/>
          <w:sz w:val="24"/>
          <w:szCs w:val="24"/>
        </w:rPr>
        <w:t xml:space="preserve">and </w:t>
      </w:r>
      <w:r w:rsidR="00E534C8" w:rsidRPr="0025159D">
        <w:rPr>
          <w:rFonts w:ascii="Times New Roman" w:hAnsi="Times New Roman" w:cs="Times New Roman"/>
          <w:sz w:val="24"/>
          <w:szCs w:val="24"/>
        </w:rPr>
        <w:t>ventilation</w:t>
      </w:r>
      <w:r w:rsidRPr="0025159D">
        <w:rPr>
          <w:rFonts w:ascii="Times New Roman" w:hAnsi="Times New Roman" w:cs="Times New Roman"/>
          <w:sz w:val="24"/>
          <w:szCs w:val="24"/>
        </w:rPr>
        <w:t xml:space="preserve"> energy consumption. </w:t>
      </w:r>
    </w:p>
    <w:p w14:paraId="1CF8A467" w14:textId="77777777" w:rsidR="00D0284A" w:rsidRDefault="00D0284A" w:rsidP="00D0274A">
      <w:pPr>
        <w:pStyle w:val="Caption"/>
        <w:rPr>
          <w:rFonts w:ascii="Times New Roman" w:hAnsi="Times New Roman" w:cs="Times New Roman"/>
          <w:b/>
          <w:bCs/>
          <w:i w:val="0"/>
          <w:iCs w:val="0"/>
          <w:color w:val="auto"/>
          <w:sz w:val="24"/>
          <w:szCs w:val="24"/>
        </w:rPr>
      </w:pPr>
      <w:bookmarkStart w:id="10" w:name="_Ref150509338"/>
    </w:p>
    <w:p w14:paraId="03CA9649" w14:textId="77777777" w:rsidR="00D0284A" w:rsidRDefault="00D0284A" w:rsidP="00D0274A">
      <w:pPr>
        <w:pStyle w:val="Caption"/>
        <w:rPr>
          <w:rFonts w:ascii="Times New Roman" w:hAnsi="Times New Roman" w:cs="Times New Roman"/>
          <w:b/>
          <w:bCs/>
          <w:i w:val="0"/>
          <w:iCs w:val="0"/>
          <w:color w:val="auto"/>
          <w:sz w:val="24"/>
          <w:szCs w:val="24"/>
        </w:rPr>
      </w:pPr>
    </w:p>
    <w:p w14:paraId="547B0CF4" w14:textId="77777777" w:rsidR="00D0284A" w:rsidRDefault="00D0284A" w:rsidP="00D0274A">
      <w:pPr>
        <w:pStyle w:val="Caption"/>
        <w:rPr>
          <w:rFonts w:ascii="Times New Roman" w:hAnsi="Times New Roman" w:cs="Times New Roman"/>
          <w:b/>
          <w:bCs/>
          <w:i w:val="0"/>
          <w:iCs w:val="0"/>
          <w:color w:val="auto"/>
          <w:sz w:val="24"/>
          <w:szCs w:val="24"/>
        </w:rPr>
      </w:pPr>
    </w:p>
    <w:p w14:paraId="756F4065" w14:textId="77777777" w:rsidR="0045452A" w:rsidRDefault="0045452A" w:rsidP="00D0274A">
      <w:pPr>
        <w:pStyle w:val="Caption"/>
        <w:rPr>
          <w:rFonts w:ascii="Times New Roman" w:hAnsi="Times New Roman" w:cs="Times New Roman"/>
          <w:b/>
          <w:bCs/>
          <w:i w:val="0"/>
          <w:iCs w:val="0"/>
          <w:color w:val="auto"/>
          <w:sz w:val="24"/>
          <w:szCs w:val="24"/>
        </w:rPr>
      </w:pPr>
    </w:p>
    <w:p w14:paraId="367A4F0B" w14:textId="77777777" w:rsidR="0045452A" w:rsidRDefault="0045452A" w:rsidP="00D0274A">
      <w:pPr>
        <w:pStyle w:val="Caption"/>
        <w:rPr>
          <w:rFonts w:ascii="Times New Roman" w:hAnsi="Times New Roman" w:cs="Times New Roman"/>
          <w:b/>
          <w:bCs/>
          <w:i w:val="0"/>
          <w:iCs w:val="0"/>
          <w:color w:val="auto"/>
          <w:sz w:val="24"/>
          <w:szCs w:val="24"/>
        </w:rPr>
      </w:pPr>
    </w:p>
    <w:p w14:paraId="4D922AAC" w14:textId="77777777" w:rsidR="00B25A8F" w:rsidRDefault="00B25A8F" w:rsidP="00D0274A">
      <w:pPr>
        <w:pStyle w:val="Caption"/>
        <w:rPr>
          <w:rFonts w:ascii="Times New Roman" w:hAnsi="Times New Roman" w:cs="Times New Roman"/>
          <w:b/>
          <w:bCs/>
          <w:i w:val="0"/>
          <w:iCs w:val="0"/>
          <w:color w:val="auto"/>
          <w:sz w:val="24"/>
          <w:szCs w:val="24"/>
        </w:rPr>
      </w:pPr>
    </w:p>
    <w:p w14:paraId="282EC04D" w14:textId="69F09507" w:rsidR="003150B8" w:rsidRPr="00973B19" w:rsidRDefault="00E1330B" w:rsidP="00D0274A">
      <w:pPr>
        <w:pStyle w:val="Caption"/>
        <w:rPr>
          <w:rFonts w:ascii="Times New Roman" w:hAnsi="Times New Roman" w:cs="Times New Roman"/>
          <w:b/>
          <w:bCs/>
          <w:i w:val="0"/>
          <w:iCs w:val="0"/>
          <w:sz w:val="24"/>
          <w:szCs w:val="24"/>
        </w:rPr>
      </w:pPr>
      <w:r w:rsidRPr="00973B19">
        <w:rPr>
          <w:rFonts w:ascii="Times New Roman" w:hAnsi="Times New Roman" w:cs="Times New Roman"/>
          <w:b/>
          <w:bCs/>
          <w:i w:val="0"/>
          <w:iCs w:val="0"/>
          <w:color w:val="auto"/>
          <w:sz w:val="24"/>
          <w:szCs w:val="24"/>
        </w:rPr>
        <w:lastRenderedPageBreak/>
        <w:t>Table S</w:t>
      </w:r>
      <w:r w:rsidRPr="00973B19">
        <w:rPr>
          <w:rFonts w:ascii="Times New Roman" w:hAnsi="Times New Roman" w:cs="Times New Roman"/>
          <w:b/>
          <w:bCs/>
          <w:i w:val="0"/>
          <w:iCs w:val="0"/>
          <w:color w:val="auto"/>
          <w:sz w:val="24"/>
          <w:szCs w:val="24"/>
        </w:rPr>
        <w:fldChar w:fldCharType="begin"/>
      </w:r>
      <w:r w:rsidRPr="00973B19">
        <w:rPr>
          <w:rFonts w:ascii="Times New Roman" w:hAnsi="Times New Roman" w:cs="Times New Roman"/>
          <w:b/>
          <w:bCs/>
          <w:i w:val="0"/>
          <w:iCs w:val="0"/>
          <w:color w:val="auto"/>
          <w:sz w:val="24"/>
          <w:szCs w:val="24"/>
        </w:rPr>
        <w:instrText xml:space="preserve"> SEQ Table_S \* ARABIC </w:instrText>
      </w:r>
      <w:r w:rsidRPr="00973B19">
        <w:rPr>
          <w:rFonts w:ascii="Times New Roman" w:hAnsi="Times New Roman" w:cs="Times New Roman"/>
          <w:b/>
          <w:bCs/>
          <w:i w:val="0"/>
          <w:iCs w:val="0"/>
          <w:color w:val="auto"/>
          <w:sz w:val="24"/>
          <w:szCs w:val="24"/>
        </w:rPr>
        <w:fldChar w:fldCharType="separate"/>
      </w:r>
      <w:r w:rsidR="00E367B7" w:rsidRPr="00973B19">
        <w:rPr>
          <w:rFonts w:ascii="Times New Roman" w:hAnsi="Times New Roman" w:cs="Times New Roman"/>
          <w:b/>
          <w:bCs/>
          <w:i w:val="0"/>
          <w:iCs w:val="0"/>
          <w:noProof/>
          <w:color w:val="auto"/>
          <w:sz w:val="24"/>
          <w:szCs w:val="24"/>
        </w:rPr>
        <w:t>1</w:t>
      </w:r>
      <w:r w:rsidRPr="00973B19">
        <w:rPr>
          <w:rFonts w:ascii="Times New Roman" w:hAnsi="Times New Roman" w:cs="Times New Roman"/>
          <w:b/>
          <w:bCs/>
          <w:i w:val="0"/>
          <w:iCs w:val="0"/>
          <w:color w:val="auto"/>
          <w:sz w:val="24"/>
          <w:szCs w:val="24"/>
        </w:rPr>
        <w:fldChar w:fldCharType="end"/>
      </w:r>
      <w:bookmarkEnd w:id="10"/>
      <w:r w:rsidR="003150B8" w:rsidRPr="00973B19">
        <w:rPr>
          <w:rFonts w:ascii="Times New Roman" w:hAnsi="Times New Roman" w:cs="Times New Roman"/>
          <w:b/>
          <w:bCs/>
          <w:i w:val="0"/>
          <w:iCs w:val="0"/>
          <w:color w:val="auto"/>
          <w:sz w:val="24"/>
          <w:szCs w:val="24"/>
        </w:rPr>
        <w:t xml:space="preserve">. Annual service demand categories and units </w:t>
      </w:r>
      <w:r w:rsidR="00CD25D3">
        <w:rPr>
          <w:rFonts w:ascii="Times New Roman" w:hAnsi="Times New Roman" w:cs="Times New Roman"/>
          <w:b/>
          <w:bCs/>
          <w:i w:val="0"/>
          <w:iCs w:val="0"/>
          <w:color w:val="auto"/>
          <w:sz w:val="24"/>
          <w:szCs w:val="24"/>
        </w:rPr>
        <w:t>are drawn</w:t>
      </w:r>
      <w:r w:rsidR="003150B8" w:rsidRPr="00973B19">
        <w:rPr>
          <w:rFonts w:ascii="Times New Roman" w:hAnsi="Times New Roman" w:cs="Times New Roman"/>
          <w:b/>
          <w:bCs/>
          <w:i w:val="0"/>
          <w:iCs w:val="0"/>
          <w:color w:val="auto"/>
          <w:sz w:val="24"/>
          <w:szCs w:val="24"/>
        </w:rPr>
        <w:t xml:space="preserve"> from the NREL Electrification Futures Study. </w:t>
      </w:r>
    </w:p>
    <w:p w14:paraId="55128295" w14:textId="5B032BF6" w:rsidR="003150B8" w:rsidRPr="0025159D" w:rsidRDefault="003150B8" w:rsidP="003150B8">
      <w:pPr>
        <w:jc w:val="center"/>
        <w:rPr>
          <w:rFonts w:ascii="Times New Roman" w:hAnsi="Times New Roman" w:cs="Times New Roman"/>
          <w:sz w:val="24"/>
          <w:szCs w:val="24"/>
        </w:rPr>
      </w:pPr>
      <w:r w:rsidRPr="0025159D">
        <w:rPr>
          <w:rFonts w:ascii="Times New Roman" w:hAnsi="Times New Roman" w:cs="Times New Roman"/>
          <w:noProof/>
          <w:sz w:val="24"/>
          <w:szCs w:val="24"/>
          <w14:ligatures w14:val="standardContextual"/>
        </w:rPr>
        <w:drawing>
          <wp:inline distT="0" distB="0" distL="0" distR="0" wp14:anchorId="23BA7381" wp14:editId="68519C8C">
            <wp:extent cx="3400425" cy="4305025"/>
            <wp:effectExtent l="0" t="0" r="0" b="635"/>
            <wp:docPr id="32328059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280591" name="Picture 1" descr="A screenshot of a computer&#10;&#10;Description automatically generated"/>
                    <pic:cNvPicPr/>
                  </pic:nvPicPr>
                  <pic:blipFill>
                    <a:blip r:embed="rId10"/>
                    <a:stretch>
                      <a:fillRect/>
                    </a:stretch>
                  </pic:blipFill>
                  <pic:spPr>
                    <a:xfrm>
                      <a:off x="0" y="0"/>
                      <a:ext cx="3410219" cy="4317425"/>
                    </a:xfrm>
                    <a:prstGeom prst="rect">
                      <a:avLst/>
                    </a:prstGeom>
                  </pic:spPr>
                </pic:pic>
              </a:graphicData>
            </a:graphic>
          </wp:inline>
        </w:drawing>
      </w:r>
    </w:p>
    <w:p w14:paraId="3B54E55D" w14:textId="4BCD0648" w:rsidR="003150B8" w:rsidRPr="00DB2115" w:rsidRDefault="003150B8" w:rsidP="003150B8">
      <w:pPr>
        <w:rPr>
          <w:rFonts w:ascii="Times New Roman" w:hAnsi="Times New Roman" w:cs="Times New Roman"/>
          <w:sz w:val="21"/>
          <w:szCs w:val="21"/>
        </w:rPr>
      </w:pPr>
      <w:r w:rsidRPr="00DB2115">
        <w:rPr>
          <w:rFonts w:ascii="Times New Roman" w:hAnsi="Times New Roman" w:cs="Times New Roman"/>
          <w:sz w:val="21"/>
          <w:szCs w:val="21"/>
          <w:vertAlign w:val="superscript"/>
        </w:rPr>
        <w:t>1</w:t>
      </w:r>
      <w:r w:rsidRPr="00DB2115">
        <w:rPr>
          <w:rFonts w:ascii="Times New Roman" w:hAnsi="Times New Roman" w:cs="Times New Roman"/>
          <w:sz w:val="21"/>
          <w:szCs w:val="21"/>
        </w:rPr>
        <w:t>Service demand estimated from AEO as commercial</w:t>
      </w:r>
      <w:r w:rsidR="00CD25D3" w:rsidRPr="00DB2115">
        <w:rPr>
          <w:rFonts w:ascii="Times New Roman" w:hAnsi="Times New Roman" w:cs="Times New Roman"/>
          <w:sz w:val="21"/>
          <w:szCs w:val="21"/>
        </w:rPr>
        <w:t xml:space="preserve"> </w:t>
      </w:r>
      <w:r w:rsidRPr="00DB2115">
        <w:rPr>
          <w:rFonts w:ascii="Times New Roman" w:hAnsi="Times New Roman" w:cs="Times New Roman"/>
          <w:sz w:val="21"/>
          <w:szCs w:val="21"/>
        </w:rPr>
        <w:t>regional square footage × ventilation efficiency × ventilation energy consumption</w:t>
      </w:r>
      <w:r w:rsidR="00E534C8" w:rsidRPr="00DB2115">
        <w:rPr>
          <w:rFonts w:ascii="Times New Roman" w:hAnsi="Times New Roman" w:cs="Times New Roman"/>
          <w:sz w:val="21"/>
          <w:szCs w:val="21"/>
        </w:rPr>
        <w:t>.</w:t>
      </w:r>
      <w:r w:rsidRPr="00DB2115">
        <w:rPr>
          <w:rFonts w:ascii="Times New Roman" w:hAnsi="Times New Roman" w:cs="Times New Roman"/>
          <w:sz w:val="21"/>
          <w:szCs w:val="21"/>
          <w:vertAlign w:val="superscript"/>
        </w:rPr>
        <w:t>2</w:t>
      </w:r>
      <w:r w:rsidR="00CD25D3" w:rsidRPr="00DB2115">
        <w:rPr>
          <w:rFonts w:ascii="Times New Roman" w:hAnsi="Times New Roman" w:cs="Times New Roman"/>
          <w:sz w:val="21"/>
          <w:szCs w:val="21"/>
          <w:vertAlign w:val="superscript"/>
        </w:rPr>
        <w:t xml:space="preserve"> </w:t>
      </w:r>
      <w:r w:rsidRPr="00DB2115">
        <w:rPr>
          <w:rFonts w:ascii="Times New Roman" w:hAnsi="Times New Roman" w:cs="Times New Roman"/>
          <w:sz w:val="21"/>
          <w:szCs w:val="21"/>
        </w:rPr>
        <w:t xml:space="preserve">The commercial other category in </w:t>
      </w:r>
      <w:r w:rsidR="00E367B7" w:rsidRPr="00DB2115">
        <w:rPr>
          <w:rFonts w:ascii="Times New Roman" w:hAnsi="Times New Roman" w:cs="Times New Roman"/>
          <w:sz w:val="21"/>
          <w:szCs w:val="21"/>
        </w:rPr>
        <w:t xml:space="preserve">our </w:t>
      </w:r>
      <w:r w:rsidRPr="00DB2115">
        <w:rPr>
          <w:rFonts w:ascii="Times New Roman" w:hAnsi="Times New Roman" w:cs="Times New Roman"/>
          <w:sz w:val="21"/>
          <w:szCs w:val="21"/>
        </w:rPr>
        <w:t>databases aggregates the service demands reported by EFS for the categories: 'Commercial Other,</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xml:space="preserve"> 'District Services</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'Office Equipment (NON-P.C.)</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and 'Office Equipment (P.C.)</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w:t>
      </w:r>
      <w:r w:rsidRPr="00DB2115">
        <w:rPr>
          <w:rFonts w:ascii="Times New Roman" w:hAnsi="Times New Roman" w:cs="Times New Roman"/>
          <w:sz w:val="21"/>
          <w:szCs w:val="21"/>
          <w:vertAlign w:val="superscript"/>
        </w:rPr>
        <w:t>3</w:t>
      </w:r>
      <w:r w:rsidR="00CD25D3" w:rsidRPr="00DB2115">
        <w:rPr>
          <w:rFonts w:ascii="Times New Roman" w:hAnsi="Times New Roman" w:cs="Times New Roman"/>
          <w:sz w:val="21"/>
          <w:szCs w:val="21"/>
          <w:vertAlign w:val="superscript"/>
        </w:rPr>
        <w:t xml:space="preserve"> </w:t>
      </w:r>
      <w:r w:rsidRPr="00DB2115">
        <w:rPr>
          <w:rFonts w:ascii="Times New Roman" w:hAnsi="Times New Roman" w:cs="Times New Roman"/>
          <w:sz w:val="21"/>
          <w:szCs w:val="21"/>
        </w:rPr>
        <w:t>The residential other category in the OEO databases aggregates the service demands reported by EFS for the categories: 'Televisions and related</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xml:space="preserve"> 'Computers and related</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xml:space="preserve"> 'residential other uses</w:t>
      </w:r>
      <w:r w:rsidR="00CD25D3" w:rsidRPr="00DB2115">
        <w:rPr>
          <w:rFonts w:ascii="Times New Roman" w:hAnsi="Times New Roman" w:cs="Times New Roman"/>
          <w:sz w:val="21"/>
          <w:szCs w:val="21"/>
        </w:rPr>
        <w:t>,</w:t>
      </w:r>
      <w:r w:rsidRPr="00DB2115">
        <w:rPr>
          <w:rFonts w:ascii="Times New Roman" w:hAnsi="Times New Roman" w:cs="Times New Roman"/>
          <w:sz w:val="21"/>
          <w:szCs w:val="21"/>
        </w:rPr>
        <w:t>' and 'residential furnace fans</w:t>
      </w:r>
      <w:r w:rsidR="00CD25D3" w:rsidRPr="00DB2115">
        <w:rPr>
          <w:rFonts w:ascii="Times New Roman" w:hAnsi="Times New Roman" w:cs="Times New Roman"/>
          <w:sz w:val="21"/>
          <w:szCs w:val="21"/>
        </w:rPr>
        <w:t>.'</w:t>
      </w:r>
    </w:p>
    <w:p w14:paraId="00C79B05" w14:textId="7CAEB7B4" w:rsidR="00B11B6E" w:rsidRPr="0025159D" w:rsidRDefault="007403D0" w:rsidP="003150B8">
      <w:pPr>
        <w:rPr>
          <w:rFonts w:ascii="Times New Roman" w:hAnsi="Times New Roman" w:cs="Times New Roman"/>
          <w:i/>
          <w:iCs/>
          <w:sz w:val="24"/>
          <w:szCs w:val="24"/>
        </w:rPr>
      </w:pPr>
      <w:r w:rsidRPr="0025159D">
        <w:rPr>
          <w:rFonts w:ascii="Times New Roman" w:hAnsi="Times New Roman" w:cs="Times New Roman"/>
          <w:sz w:val="24"/>
          <w:szCs w:val="24"/>
        </w:rPr>
        <w:t xml:space="preserve">The EFS study </w:t>
      </w:r>
      <w:r w:rsidR="00E576B4" w:rsidRPr="0025159D">
        <w:rPr>
          <w:rFonts w:ascii="Times New Roman" w:hAnsi="Times New Roman" w:cs="Times New Roman"/>
          <w:sz w:val="24"/>
          <w:szCs w:val="24"/>
        </w:rPr>
        <w:t>provides</w:t>
      </w:r>
      <w:r w:rsidRPr="0025159D">
        <w:rPr>
          <w:rFonts w:ascii="Times New Roman" w:hAnsi="Times New Roman" w:cs="Times New Roman"/>
          <w:sz w:val="24"/>
          <w:szCs w:val="24"/>
        </w:rPr>
        <w:t xml:space="preserve"> state-level projections of hourly electricity demands for a subset of the subsectors listed above. </w:t>
      </w:r>
      <w:r w:rsidR="00CF5E57" w:rsidRPr="0025159D">
        <w:rPr>
          <w:rFonts w:ascii="Times New Roman" w:hAnsi="Times New Roman" w:cs="Times New Roman"/>
          <w:sz w:val="24"/>
          <w:szCs w:val="24"/>
        </w:rPr>
        <w:t xml:space="preserve">These </w:t>
      </w:r>
      <w:r w:rsidR="00D2598F">
        <w:rPr>
          <w:rFonts w:ascii="Times New Roman" w:hAnsi="Times New Roman" w:cs="Times New Roman"/>
          <w:sz w:val="24"/>
          <w:szCs w:val="24"/>
        </w:rPr>
        <w:t xml:space="preserve">load </w:t>
      </w:r>
      <w:r w:rsidR="00CF5E57" w:rsidRPr="0025159D">
        <w:rPr>
          <w:rFonts w:ascii="Times New Roman" w:hAnsi="Times New Roman" w:cs="Times New Roman"/>
          <w:sz w:val="24"/>
          <w:szCs w:val="24"/>
        </w:rPr>
        <w:t>profiles were developed by NREL using the outputs of other models such as ResStock/ComStock and other data (e.g., from metering studies) for a range of future scenarios. The result</w:t>
      </w:r>
      <w:r w:rsidR="00D2598F">
        <w:rPr>
          <w:rFonts w:ascii="Times New Roman" w:hAnsi="Times New Roman" w:cs="Times New Roman"/>
          <w:sz w:val="24"/>
          <w:szCs w:val="24"/>
        </w:rPr>
        <w:t>ing load profile</w:t>
      </w:r>
      <w:r w:rsidR="00CF5E57" w:rsidRPr="0025159D">
        <w:rPr>
          <w:rFonts w:ascii="Times New Roman" w:hAnsi="Times New Roman" w:cs="Times New Roman"/>
          <w:sz w:val="24"/>
          <w:szCs w:val="24"/>
        </w:rPr>
        <w:t xml:space="preserve"> from the 'High-Electrification and Rapid End-use Technology Advancement' scenario </w:t>
      </w:r>
      <w:r w:rsidR="00CD25D3">
        <w:rPr>
          <w:rFonts w:ascii="Times New Roman" w:hAnsi="Times New Roman" w:cs="Times New Roman"/>
          <w:sz w:val="24"/>
          <w:szCs w:val="24"/>
        </w:rPr>
        <w:t>is</w:t>
      </w:r>
      <w:r w:rsidR="00CF5E57" w:rsidRPr="0025159D">
        <w:rPr>
          <w:rFonts w:ascii="Times New Roman" w:hAnsi="Times New Roman" w:cs="Times New Roman"/>
          <w:sz w:val="24"/>
          <w:szCs w:val="24"/>
        </w:rPr>
        <w:t xml:space="preserve"> selected as the </w:t>
      </w:r>
      <w:r w:rsidR="00D2598F">
        <w:rPr>
          <w:rFonts w:ascii="Times New Roman" w:hAnsi="Times New Roman" w:cs="Times New Roman"/>
          <w:sz w:val="24"/>
          <w:szCs w:val="24"/>
        </w:rPr>
        <w:t>load</w:t>
      </w:r>
      <w:r w:rsidR="00D2598F" w:rsidRPr="0025159D">
        <w:rPr>
          <w:rFonts w:ascii="Times New Roman" w:hAnsi="Times New Roman" w:cs="Times New Roman"/>
          <w:sz w:val="24"/>
          <w:szCs w:val="24"/>
        </w:rPr>
        <w:t xml:space="preserve"> </w:t>
      </w:r>
      <w:r w:rsidR="00CD25D3">
        <w:rPr>
          <w:rFonts w:ascii="Times New Roman" w:hAnsi="Times New Roman" w:cs="Times New Roman"/>
          <w:sz w:val="24"/>
          <w:szCs w:val="24"/>
        </w:rPr>
        <w:t>profile</w:t>
      </w:r>
      <w:r w:rsidR="00D2598F">
        <w:rPr>
          <w:rFonts w:ascii="Times New Roman" w:hAnsi="Times New Roman" w:cs="Times New Roman"/>
          <w:sz w:val="24"/>
          <w:szCs w:val="24"/>
        </w:rPr>
        <w:t xml:space="preserve"> for electric end-uses</w:t>
      </w:r>
      <w:r w:rsidR="00CF5E57" w:rsidRPr="0025159D">
        <w:rPr>
          <w:rFonts w:ascii="Times New Roman" w:hAnsi="Times New Roman" w:cs="Times New Roman"/>
          <w:sz w:val="24"/>
          <w:szCs w:val="24"/>
        </w:rPr>
        <w:t xml:space="preserve"> in our database as it incorporates the largest share of total service demands. In cases where the hourly profile of a</w:t>
      </w:r>
      <w:r w:rsidR="0076512E">
        <w:rPr>
          <w:rFonts w:ascii="Times New Roman" w:hAnsi="Times New Roman" w:cs="Times New Roman"/>
          <w:sz w:val="24"/>
          <w:szCs w:val="24"/>
        </w:rPr>
        <w:t>n</w:t>
      </w:r>
      <w:r w:rsidR="00CF5E57" w:rsidRPr="0025159D">
        <w:rPr>
          <w:rFonts w:ascii="Times New Roman" w:hAnsi="Times New Roman" w:cs="Times New Roman"/>
          <w:sz w:val="24"/>
          <w:szCs w:val="24"/>
        </w:rPr>
        <w:t xml:space="preserve"> </w:t>
      </w:r>
      <w:r w:rsidR="0076512E">
        <w:rPr>
          <w:rFonts w:ascii="Times New Roman" w:hAnsi="Times New Roman" w:cs="Times New Roman"/>
          <w:sz w:val="24"/>
          <w:szCs w:val="24"/>
        </w:rPr>
        <w:t>end-use demand is</w:t>
      </w:r>
      <w:r w:rsidR="0076512E" w:rsidRPr="0025159D">
        <w:rPr>
          <w:rFonts w:ascii="Times New Roman" w:hAnsi="Times New Roman" w:cs="Times New Roman"/>
          <w:sz w:val="24"/>
          <w:szCs w:val="24"/>
        </w:rPr>
        <w:t xml:space="preserve"> </w:t>
      </w:r>
      <w:r w:rsidR="00CF5E57" w:rsidRPr="0025159D">
        <w:rPr>
          <w:rFonts w:ascii="Times New Roman" w:hAnsi="Times New Roman" w:cs="Times New Roman"/>
          <w:sz w:val="24"/>
          <w:szCs w:val="24"/>
        </w:rPr>
        <w:t xml:space="preserve">not available, we assume </w:t>
      </w:r>
      <w:r w:rsidR="0076512E">
        <w:rPr>
          <w:rFonts w:ascii="Times New Roman" w:hAnsi="Times New Roman" w:cs="Times New Roman"/>
          <w:sz w:val="24"/>
          <w:szCs w:val="24"/>
        </w:rPr>
        <w:t xml:space="preserve">the </w:t>
      </w:r>
      <w:r w:rsidR="00CF5E57" w:rsidRPr="0025159D">
        <w:rPr>
          <w:rFonts w:ascii="Times New Roman" w:hAnsi="Times New Roman" w:cs="Times New Roman"/>
          <w:sz w:val="24"/>
          <w:szCs w:val="24"/>
        </w:rPr>
        <w:t xml:space="preserve">service demands </w:t>
      </w:r>
      <w:r w:rsidR="0076512E">
        <w:rPr>
          <w:rFonts w:ascii="Times New Roman" w:hAnsi="Times New Roman" w:cs="Times New Roman"/>
          <w:sz w:val="24"/>
          <w:szCs w:val="24"/>
        </w:rPr>
        <w:t xml:space="preserve">to be </w:t>
      </w:r>
      <w:r w:rsidR="00CF5E57" w:rsidRPr="0025159D">
        <w:rPr>
          <w:rFonts w:ascii="Times New Roman" w:hAnsi="Times New Roman" w:cs="Times New Roman"/>
          <w:sz w:val="24"/>
          <w:szCs w:val="24"/>
        </w:rPr>
        <w:t>constant throughout the year.</w:t>
      </w:r>
      <w:r w:rsidR="00B11B6E" w:rsidRPr="0025159D">
        <w:rPr>
          <w:rFonts w:ascii="Times New Roman" w:hAnsi="Times New Roman" w:cs="Times New Roman"/>
          <w:i/>
          <w:iCs/>
          <w:sz w:val="24"/>
          <w:szCs w:val="24"/>
        </w:rPr>
        <w:t xml:space="preserve"> </w:t>
      </w:r>
    </w:p>
    <w:p w14:paraId="133399DB" w14:textId="715A2D16" w:rsidR="003150B8" w:rsidRPr="0025159D" w:rsidRDefault="00B11B6E" w:rsidP="00CF5E57">
      <w:pPr>
        <w:rPr>
          <w:rFonts w:ascii="Times New Roman" w:hAnsi="Times New Roman" w:cs="Times New Roman"/>
          <w:sz w:val="24"/>
          <w:szCs w:val="24"/>
        </w:rPr>
      </w:pPr>
      <w:r w:rsidRPr="0025159D">
        <w:rPr>
          <w:rFonts w:ascii="Times New Roman" w:hAnsi="Times New Roman" w:cs="Times New Roman"/>
          <w:sz w:val="24"/>
          <w:szCs w:val="24"/>
        </w:rPr>
        <w:t xml:space="preserve">The load profiles for space heating and cooling are combined into a single profile in the EFS data. </w:t>
      </w:r>
      <w:r w:rsidR="008E0DB6">
        <w:rPr>
          <w:rFonts w:ascii="Times New Roman" w:hAnsi="Times New Roman" w:cs="Times New Roman"/>
          <w:sz w:val="24"/>
          <w:szCs w:val="24"/>
        </w:rPr>
        <w:t xml:space="preserve">However, we are interested in separating these two profiles to represent these demands distinctly and </w:t>
      </w:r>
      <w:r w:rsidRPr="0025159D">
        <w:rPr>
          <w:rFonts w:ascii="Times New Roman" w:hAnsi="Times New Roman" w:cs="Times New Roman"/>
          <w:sz w:val="24"/>
          <w:szCs w:val="24"/>
        </w:rPr>
        <w:t xml:space="preserve">allow for </w:t>
      </w:r>
      <w:r w:rsidR="001A1FEB" w:rsidRPr="0025159D">
        <w:rPr>
          <w:rFonts w:ascii="Times New Roman" w:hAnsi="Times New Roman" w:cs="Times New Roman"/>
          <w:sz w:val="24"/>
          <w:szCs w:val="24"/>
        </w:rPr>
        <w:t>technological</w:t>
      </w:r>
      <w:r w:rsidRPr="0025159D">
        <w:rPr>
          <w:rFonts w:ascii="Times New Roman" w:hAnsi="Times New Roman" w:cs="Times New Roman"/>
          <w:sz w:val="24"/>
          <w:szCs w:val="24"/>
        </w:rPr>
        <w:t xml:space="preserve"> choice in the model. </w:t>
      </w:r>
      <w:r w:rsidR="008E0DB6">
        <w:rPr>
          <w:rFonts w:ascii="Times New Roman" w:hAnsi="Times New Roman" w:cs="Times New Roman"/>
          <w:sz w:val="24"/>
          <w:szCs w:val="24"/>
        </w:rPr>
        <w:t xml:space="preserve">We use population-weighted heating </w:t>
      </w:r>
      <w:r w:rsidR="008E0DB6">
        <w:rPr>
          <w:rFonts w:ascii="Times New Roman" w:hAnsi="Times New Roman" w:cs="Times New Roman"/>
          <w:sz w:val="24"/>
          <w:szCs w:val="24"/>
        </w:rPr>
        <w:lastRenderedPageBreak/>
        <w:t>and cooling degree hour (hdh/cdh) data to separate the heating and cooling profiles</w:t>
      </w:r>
      <w:r w:rsidR="00CF5E57" w:rsidRPr="0025159D">
        <w:rPr>
          <w:rFonts w:ascii="Times New Roman" w:hAnsi="Times New Roman" w:cs="Times New Roman"/>
          <w:sz w:val="24"/>
          <w:szCs w:val="24"/>
        </w:rPr>
        <w:t>.</w:t>
      </w:r>
      <w:r w:rsidR="0040347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{"citationID":"vEI9EbtQ","properties":{"formattedCitation":"\\super 18\\nosupersub{}","plainCitation":"18","noteIndex":0},"citationItems":[{"id":5261,"uris":["http://zotero.org/users/3151432/items/2NZSTTFC"],"itemData":{"id":5261,"type":"article-journal","container-title":"Iscience","issue":"9","note":"publisher: Elsevier","title":"Using temperature sensitivity to estimate shiftable electricity demand","volume":"25","author":[{"family":"Roberts","given":"Michael J"},{"family":"Zhang","given":"Sisi"},{"family":"Yuan","given":"Eleanor"},{"family":"Jones","given":"James"},{"family":"Fripp","given":"Matthias"}],"issued":{"date-parts":[["2022"]]}}}],"schema":"https://github.com/citation-style-language/schema/raw/master/csl-citation.json"} </w:instrText>
      </w:r>
      <w:r w:rsidR="0040347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18</w:t>
      </w:r>
      <w:r w:rsidR="0040347B" w:rsidRPr="0025159D">
        <w:rPr>
          <w:rFonts w:ascii="Times New Roman" w:hAnsi="Times New Roman" w:cs="Times New Roman"/>
          <w:sz w:val="24"/>
          <w:szCs w:val="24"/>
        </w:rPr>
        <w:fldChar w:fldCharType="end"/>
      </w:r>
      <w:r w:rsidR="00CF5E57" w:rsidRPr="0025159D">
        <w:rPr>
          <w:rFonts w:ascii="Times New Roman" w:hAnsi="Times New Roman" w:cs="Times New Roman"/>
          <w:sz w:val="24"/>
          <w:szCs w:val="24"/>
        </w:rPr>
        <w:t xml:space="preserve"> This data </w:t>
      </w:r>
      <w:r w:rsidR="00CD25D3">
        <w:rPr>
          <w:rFonts w:ascii="Times New Roman" w:hAnsi="Times New Roman" w:cs="Times New Roman"/>
          <w:sz w:val="24"/>
          <w:szCs w:val="24"/>
        </w:rPr>
        <w:t>is</w:t>
      </w:r>
      <w:r w:rsidR="0076512E" w:rsidRPr="0025159D">
        <w:rPr>
          <w:rFonts w:ascii="Times New Roman" w:hAnsi="Times New Roman" w:cs="Times New Roman"/>
          <w:sz w:val="24"/>
          <w:szCs w:val="24"/>
        </w:rPr>
        <w:t xml:space="preserve"> </w:t>
      </w:r>
      <w:r w:rsidR="00CF5E57" w:rsidRPr="0025159D">
        <w:rPr>
          <w:rFonts w:ascii="Times New Roman" w:hAnsi="Times New Roman" w:cs="Times New Roman"/>
          <w:sz w:val="24"/>
          <w:szCs w:val="24"/>
        </w:rPr>
        <w:t xml:space="preserve">available at the hourly timescale for the year 2010. We first calculate </w:t>
      </w:r>
      <w:r w:rsidRPr="0025159D">
        <w:rPr>
          <w:rFonts w:ascii="Times New Roman" w:hAnsi="Times New Roman" w:cs="Times New Roman"/>
          <w:sz w:val="24"/>
          <w:szCs w:val="24"/>
        </w:rPr>
        <w:t xml:space="preserve">an average hourly hdh (and cdh) fraction </w:t>
      </w:r>
      <w:r w:rsidR="00CF5E57" w:rsidRPr="0025159D">
        <w:rPr>
          <w:rFonts w:ascii="Times New Roman" w:hAnsi="Times New Roman" w:cs="Times New Roman"/>
          <w:sz w:val="24"/>
          <w:szCs w:val="24"/>
        </w:rPr>
        <w:t>for each hour of 2010</w:t>
      </w:r>
      <w:r w:rsidRPr="0025159D">
        <w:rPr>
          <w:rFonts w:ascii="Times New Roman" w:hAnsi="Times New Roman" w:cs="Times New Roman"/>
          <w:sz w:val="24"/>
          <w:szCs w:val="24"/>
        </w:rPr>
        <w:t xml:space="preserve"> within a given model region. Next</w:t>
      </w:r>
      <w:r w:rsidR="00CF5E57" w:rsidRPr="0025159D">
        <w:rPr>
          <w:rFonts w:ascii="Times New Roman" w:hAnsi="Times New Roman" w:cs="Times New Roman"/>
          <w:sz w:val="24"/>
          <w:szCs w:val="24"/>
        </w:rPr>
        <w:t xml:space="preserve">, the combined heating </w:t>
      </w:r>
      <w:r w:rsidR="001A1FEB" w:rsidRPr="0025159D">
        <w:rPr>
          <w:rFonts w:ascii="Times New Roman" w:hAnsi="Times New Roman" w:cs="Times New Roman"/>
          <w:sz w:val="24"/>
          <w:szCs w:val="24"/>
        </w:rPr>
        <w:t xml:space="preserve">(/cooling) </w:t>
      </w:r>
      <w:r w:rsidR="00CF5E57" w:rsidRPr="0025159D">
        <w:rPr>
          <w:rFonts w:ascii="Times New Roman" w:hAnsi="Times New Roman" w:cs="Times New Roman"/>
          <w:sz w:val="24"/>
          <w:szCs w:val="24"/>
        </w:rPr>
        <w:t xml:space="preserve">load </w:t>
      </w:r>
      <w:r w:rsidRPr="0025159D">
        <w:rPr>
          <w:rFonts w:ascii="Times New Roman" w:hAnsi="Times New Roman" w:cs="Times New Roman"/>
          <w:sz w:val="24"/>
          <w:szCs w:val="24"/>
        </w:rPr>
        <w:t xml:space="preserve">taken </w:t>
      </w:r>
      <w:r w:rsidR="00CF5E57" w:rsidRPr="0025159D">
        <w:rPr>
          <w:rFonts w:ascii="Times New Roman" w:hAnsi="Times New Roman" w:cs="Times New Roman"/>
          <w:sz w:val="24"/>
          <w:szCs w:val="24"/>
        </w:rPr>
        <w:t xml:space="preserve">from EFS is multiplied by these fractions to estimate </w:t>
      </w:r>
      <w:r w:rsidR="008E0DB6">
        <w:rPr>
          <w:rFonts w:ascii="Times New Roman" w:hAnsi="Times New Roman" w:cs="Times New Roman"/>
          <w:sz w:val="24"/>
          <w:szCs w:val="24"/>
        </w:rPr>
        <w:t>each hour's heating (/cooling) load</w:t>
      </w:r>
      <w:r w:rsidR="00CF5E57" w:rsidRPr="0025159D">
        <w:rPr>
          <w:rFonts w:ascii="Times New Roman" w:hAnsi="Times New Roman" w:cs="Times New Roman"/>
          <w:sz w:val="24"/>
          <w:szCs w:val="24"/>
        </w:rPr>
        <w:t xml:space="preserve">. </w:t>
      </w:r>
    </w:p>
    <w:p w14:paraId="23B89CBA" w14:textId="4037117F"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b/>
          <w:bCs/>
          <w:sz w:val="24"/>
          <w:szCs w:val="24"/>
        </w:rPr>
        <w:t xml:space="preserve">Demand Technology Specification: </w:t>
      </w:r>
      <w:r w:rsidRPr="0025159D">
        <w:rPr>
          <w:rFonts w:ascii="Times New Roman" w:hAnsi="Times New Roman" w:cs="Times New Roman"/>
          <w:sz w:val="24"/>
          <w:szCs w:val="24"/>
        </w:rPr>
        <w:t>The characteristics of the demand technologies in the residential and commercial sectors in the OEO database are based on the Residential Demand Module (RDM) and Commercial Demand Module (CDM) of the National Energy Modeling System (NEMS) - Updated Buildings Sector Appliance and Equipment Costs and Efficiency. In our database</w:t>
      </w:r>
      <w:r w:rsidR="00D2598F">
        <w:rPr>
          <w:rFonts w:ascii="Times New Roman" w:hAnsi="Times New Roman" w:cs="Times New Roman"/>
          <w:sz w:val="24"/>
          <w:szCs w:val="24"/>
        </w:rPr>
        <w:t>,</w:t>
      </w:r>
      <w:r w:rsidRPr="0025159D">
        <w:rPr>
          <w:rFonts w:ascii="Times New Roman" w:hAnsi="Times New Roman" w:cs="Times New Roman"/>
          <w:sz w:val="24"/>
          <w:szCs w:val="24"/>
        </w:rPr>
        <w:t xml:space="preserve"> we incorporate 1) technology-specific efficiencies, 2) fixed and variable operations and maintenance costs, 3) investment costs, 4) lifetimes, and 5) typical capacities based on contract reports prepared by Navigant Consulting, Inc. for the U.S. Energy Information Administration. </w:t>
      </w:r>
      <w:r w:rsidR="0076512E">
        <w:rPr>
          <w:rFonts w:ascii="Times New Roman" w:hAnsi="Times New Roman" w:cs="Times New Roman"/>
          <w:sz w:val="24"/>
          <w:szCs w:val="24"/>
        </w:rPr>
        <w:t>W</w:t>
      </w:r>
      <w:r w:rsidRPr="0025159D">
        <w:rPr>
          <w:rFonts w:ascii="Times New Roman" w:hAnsi="Times New Roman" w:cs="Times New Roman"/>
          <w:sz w:val="24"/>
          <w:szCs w:val="24"/>
        </w:rPr>
        <w:t xml:space="preserve">e represent a diverse set of equipment classes/types capable of servicing different parts of the </w:t>
      </w:r>
      <w:r w:rsidR="00CD25D3">
        <w:rPr>
          <w:rFonts w:ascii="Times New Roman" w:hAnsi="Times New Roman" w:cs="Times New Roman"/>
          <w:sz w:val="24"/>
          <w:szCs w:val="24"/>
        </w:rPr>
        <w:t>building</w:t>
      </w:r>
      <w:r w:rsidRPr="0025159D">
        <w:rPr>
          <w:rFonts w:ascii="Times New Roman" w:hAnsi="Times New Roman" w:cs="Times New Roman"/>
          <w:sz w:val="24"/>
          <w:szCs w:val="24"/>
        </w:rPr>
        <w:t xml:space="preserve"> sector. For example, the technologies capable of meeting residential cooling demand include room air conditioners, central air conditioners, and heat pumps. Three types of heat pumps are represented for residential cooling: air-source, ground-source, and natural gas heat pumps. We use this dataset </w:t>
      </w:r>
      <w:r w:rsidR="008E0DB6">
        <w:rPr>
          <w:rFonts w:ascii="Times New Roman" w:hAnsi="Times New Roman" w:cs="Times New Roman"/>
          <w:sz w:val="24"/>
          <w:szCs w:val="24"/>
        </w:rPr>
        <w:t>to adjust</w:t>
      </w:r>
      <w:r w:rsidRPr="0025159D">
        <w:rPr>
          <w:rFonts w:ascii="Times New Roman" w:hAnsi="Times New Roman" w:cs="Times New Roman"/>
          <w:sz w:val="24"/>
          <w:szCs w:val="24"/>
        </w:rPr>
        <w:t xml:space="preserve"> the heat pump coefficient of performance (COP) to reflect more regionally appropriate values. </w:t>
      </w:r>
      <w:r w:rsidR="001A1FEB" w:rsidRPr="0025159D">
        <w:rPr>
          <w:rFonts w:ascii="Times New Roman" w:hAnsi="Times New Roman" w:cs="Times New Roman"/>
          <w:sz w:val="24"/>
          <w:szCs w:val="24"/>
        </w:rPr>
        <w:t xml:space="preserve">Other work has </w:t>
      </w:r>
      <w:r w:rsidRPr="0025159D">
        <w:rPr>
          <w:rFonts w:ascii="Times New Roman" w:hAnsi="Times New Roman" w:cs="Times New Roman"/>
          <w:sz w:val="24"/>
          <w:szCs w:val="24"/>
        </w:rPr>
        <w:t xml:space="preserve">estimated a linear relationship between COP and outside temperature for </w:t>
      </w:r>
      <w:r w:rsidR="008E0DB6">
        <w:rPr>
          <w:rFonts w:ascii="Times New Roman" w:hAnsi="Times New Roman" w:cs="Times New Roman"/>
          <w:sz w:val="24"/>
          <w:szCs w:val="24"/>
        </w:rPr>
        <w:t>various</w:t>
      </w:r>
      <w:r w:rsidRPr="0025159D">
        <w:rPr>
          <w:rFonts w:ascii="Times New Roman" w:hAnsi="Times New Roman" w:cs="Times New Roman"/>
          <w:sz w:val="24"/>
          <w:szCs w:val="24"/>
        </w:rPr>
        <w:t xml:space="preserve"> heat pumps.</w:t>
      </w:r>
      <w:r w:rsidR="0040347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{"citationID":"jVYf06EU","properties":{"formattedCitation":"\\super 19\\nosupersub{}","plainCitation":"19","noteIndex":0},"citationItems":[{"id":5262,"uris":["http://zotero.org/users/3151432/items/42ER2ML8"],"itemData":{"id":5262,"type":"article-journal","container-title":"Environmental Science &amp; Technology","issue":"16","note":"publisher: ACS Publications","page":"9814–9823","title":"The environmental consequences of electrifying space heating","volume":"54","author":[{"family":"Vaishnav","given":"Parth"},{"family":"Fatimah","given":"Adilla Mulia"}],"issued":{"date-parts":[["2020"]]}}}],"schema":"https://github.com/citation-style-language/schema/raw/master/csl-citation.json"} </w:instrText>
      </w:r>
      <w:r w:rsidR="0040347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19</w:t>
      </w:r>
      <w:r w:rsidR="0040347B"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t>
      </w:r>
      <w:r w:rsidR="00E576B4" w:rsidRPr="0025159D">
        <w:rPr>
          <w:rFonts w:ascii="Times New Roman" w:hAnsi="Times New Roman" w:cs="Times New Roman"/>
          <w:sz w:val="24"/>
          <w:szCs w:val="24"/>
        </w:rPr>
        <w:t>Our</w:t>
      </w:r>
      <w:r w:rsidR="001A1FEB" w:rsidRPr="0025159D">
        <w:rPr>
          <w:rFonts w:ascii="Times New Roman" w:hAnsi="Times New Roman" w:cs="Times New Roman"/>
          <w:sz w:val="24"/>
          <w:szCs w:val="24"/>
        </w:rPr>
        <w:t xml:space="preserve"> work assumes </w:t>
      </w:r>
      <w:r w:rsidRPr="0025159D">
        <w:rPr>
          <w:rFonts w:ascii="Times New Roman" w:hAnsi="Times New Roman" w:cs="Times New Roman"/>
          <w:sz w:val="24"/>
          <w:szCs w:val="24"/>
        </w:rPr>
        <w:t>that the indoor temperatures stay constant at 70</w:t>
      </w:r>
      <w:r w:rsidR="00E576B4" w:rsidRPr="0025159D">
        <w:rPr>
          <w:rFonts w:ascii="Times New Roman" w:hAnsi="Times New Roman" w:cs="Times New Roman"/>
          <w:sz w:val="24"/>
          <w:szCs w:val="24"/>
        </w:rPr>
        <w:t>º</w:t>
      </w:r>
      <w:r w:rsidRPr="0025159D">
        <w:rPr>
          <w:rFonts w:ascii="Times New Roman" w:hAnsi="Times New Roman" w:cs="Times New Roman"/>
          <w:sz w:val="24"/>
          <w:szCs w:val="24"/>
        </w:rPr>
        <w:t>F</w:t>
      </w:r>
      <w:r w:rsidR="00CD25D3">
        <w:rPr>
          <w:rFonts w:ascii="Times New Roman" w:hAnsi="Times New Roman" w:cs="Times New Roman"/>
          <w:sz w:val="24"/>
          <w:szCs w:val="24"/>
        </w:rPr>
        <w:t>,</w:t>
      </w:r>
      <w:r w:rsidR="00E576B4" w:rsidRPr="0025159D">
        <w:rPr>
          <w:rFonts w:ascii="Times New Roman" w:hAnsi="Times New Roman" w:cs="Times New Roman"/>
          <w:sz w:val="24"/>
          <w:szCs w:val="24"/>
        </w:rPr>
        <w:t xml:space="preserve"> and w</w:t>
      </w:r>
      <w:r w:rsidRPr="0025159D">
        <w:rPr>
          <w:rFonts w:ascii="Times New Roman" w:hAnsi="Times New Roman" w:cs="Times New Roman"/>
          <w:sz w:val="24"/>
          <w:szCs w:val="24"/>
        </w:rPr>
        <w:t xml:space="preserve">e use the slope of this linear relationship to adjust heat pump COPs at the </w:t>
      </w:r>
      <w:r w:rsidR="00CD25D3">
        <w:rPr>
          <w:rFonts w:ascii="Times New Roman" w:hAnsi="Times New Roman" w:cs="Times New Roman"/>
          <w:sz w:val="24"/>
          <w:szCs w:val="24"/>
        </w:rPr>
        <w:t>regional</w:t>
      </w:r>
      <w:r w:rsidRPr="0025159D">
        <w:rPr>
          <w:rFonts w:ascii="Times New Roman" w:hAnsi="Times New Roman" w:cs="Times New Roman"/>
          <w:sz w:val="24"/>
          <w:szCs w:val="24"/>
        </w:rPr>
        <w:t xml:space="preserve"> level using state-level </w:t>
      </w:r>
      <w:r w:rsidR="00CD25D3">
        <w:rPr>
          <w:rFonts w:ascii="Times New Roman" w:hAnsi="Times New Roman" w:cs="Times New Roman"/>
          <w:sz w:val="24"/>
          <w:szCs w:val="24"/>
        </w:rPr>
        <w:t>population-weighted</w:t>
      </w:r>
      <w:r w:rsidRPr="0025159D">
        <w:rPr>
          <w:rFonts w:ascii="Times New Roman" w:hAnsi="Times New Roman" w:cs="Times New Roman"/>
          <w:sz w:val="24"/>
          <w:szCs w:val="24"/>
        </w:rPr>
        <w:t xml:space="preserve"> temperatures.</w:t>
      </w:r>
    </w:p>
    <w:p w14:paraId="11892F84" w14:textId="78878963"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sz w:val="24"/>
          <w:szCs w:val="24"/>
        </w:rPr>
        <w:t xml:space="preserve">Along with diversity in technology representations, </w:t>
      </w:r>
      <w:r w:rsidR="001A1FEB" w:rsidRPr="0025159D">
        <w:rPr>
          <w:rFonts w:ascii="Times New Roman" w:hAnsi="Times New Roman" w:cs="Times New Roman"/>
          <w:sz w:val="24"/>
          <w:szCs w:val="24"/>
        </w:rPr>
        <w:t>we also incorporate the changes in</w:t>
      </w:r>
      <w:r w:rsidRPr="0025159D">
        <w:rPr>
          <w:rFonts w:ascii="Times New Roman" w:hAnsi="Times New Roman" w:cs="Times New Roman"/>
          <w:sz w:val="24"/>
          <w:szCs w:val="24"/>
        </w:rPr>
        <w:t xml:space="preserve"> the techno-economic parameters for residential and commercial equipment from 2020 to 2050 in </w:t>
      </w:r>
      <w:r w:rsidR="00335593" w:rsidRPr="0025159D">
        <w:rPr>
          <w:rFonts w:ascii="Times New Roman" w:hAnsi="Times New Roman" w:cs="Times New Roman"/>
          <w:sz w:val="24"/>
          <w:szCs w:val="24"/>
        </w:rPr>
        <w:t>5-year</w:t>
      </w:r>
      <w:r w:rsidRPr="0025159D">
        <w:rPr>
          <w:rFonts w:ascii="Times New Roman" w:hAnsi="Times New Roman" w:cs="Times New Roman"/>
          <w:sz w:val="24"/>
          <w:szCs w:val="24"/>
        </w:rPr>
        <w:t xml:space="preserve"> increments</w:t>
      </w:r>
      <w:r w:rsidR="001A1FEB" w:rsidRPr="0025159D">
        <w:rPr>
          <w:rFonts w:ascii="Times New Roman" w:hAnsi="Times New Roman" w:cs="Times New Roman"/>
          <w:sz w:val="24"/>
          <w:szCs w:val="24"/>
        </w:rPr>
        <w:t xml:space="preserve"> based on projections incorporated in NEMS</w:t>
      </w:r>
      <w:r w:rsidRPr="0025159D">
        <w:rPr>
          <w:rFonts w:ascii="Times New Roman" w:hAnsi="Times New Roman" w:cs="Times New Roman"/>
          <w:sz w:val="24"/>
          <w:szCs w:val="24"/>
        </w:rPr>
        <w:t xml:space="preserve">. In most cases, two versions of </w:t>
      </w:r>
      <w:r w:rsidR="001A1FEB" w:rsidRPr="0025159D">
        <w:rPr>
          <w:rFonts w:ascii="Times New Roman" w:hAnsi="Times New Roman" w:cs="Times New Roman"/>
          <w:sz w:val="24"/>
          <w:szCs w:val="24"/>
        </w:rPr>
        <w:t xml:space="preserve">a given </w:t>
      </w:r>
      <w:r w:rsidRPr="0025159D">
        <w:rPr>
          <w:rFonts w:ascii="Times New Roman" w:hAnsi="Times New Roman" w:cs="Times New Roman"/>
          <w:sz w:val="24"/>
          <w:szCs w:val="24"/>
        </w:rPr>
        <w:t xml:space="preserve">technology are included in our database: 1) a standard version and 2) a </w:t>
      </w:r>
      <w:r w:rsidR="00CD25D3">
        <w:rPr>
          <w:rFonts w:ascii="Times New Roman" w:hAnsi="Times New Roman" w:cs="Times New Roman"/>
          <w:sz w:val="24"/>
          <w:szCs w:val="24"/>
        </w:rPr>
        <w:t>high-efficiency</w:t>
      </w:r>
      <w:r w:rsidRPr="0025159D">
        <w:rPr>
          <w:rFonts w:ascii="Times New Roman" w:hAnsi="Times New Roman" w:cs="Times New Roman"/>
          <w:sz w:val="24"/>
          <w:szCs w:val="24"/>
        </w:rPr>
        <w:t xml:space="preserve"> version. For example</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w:t>
      </w:r>
      <w:r w:rsidR="00710C16">
        <w:rPr>
          <w:rFonts w:ascii="Times New Roman" w:hAnsi="Times New Roman" w:cs="Times New Roman"/>
          <w:sz w:val="24"/>
          <w:szCs w:val="24"/>
        </w:rPr>
        <w:t>t</w:t>
      </w:r>
      <w:r w:rsidRPr="0025159D">
        <w:rPr>
          <w:rFonts w:ascii="Times New Roman" w:hAnsi="Times New Roman" w:cs="Times New Roman"/>
          <w:sz w:val="24"/>
          <w:szCs w:val="24"/>
        </w:rPr>
        <w:t xml:space="preserve">he heating seasonal performance </w:t>
      </w:r>
      <w:r w:rsidR="00CD25D3">
        <w:rPr>
          <w:rFonts w:ascii="Times New Roman" w:hAnsi="Times New Roman" w:cs="Times New Roman"/>
          <w:sz w:val="24"/>
          <w:szCs w:val="24"/>
        </w:rPr>
        <w:t>factor</w:t>
      </w:r>
      <w:r w:rsidRPr="0025159D">
        <w:rPr>
          <w:rFonts w:ascii="Times New Roman" w:hAnsi="Times New Roman" w:cs="Times New Roman"/>
          <w:sz w:val="24"/>
          <w:szCs w:val="24"/>
        </w:rPr>
        <w:t xml:space="preserve"> (HSPF) for a typical air-source heat pump of a 2020 vintage is 8.6</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whereas a high-efficiency version has an HSPF of 9.0</w:t>
      </w:r>
      <w:r w:rsidR="00E576B4" w:rsidRPr="0025159D">
        <w:rPr>
          <w:rFonts w:ascii="Times New Roman" w:hAnsi="Times New Roman" w:cs="Times New Roman"/>
          <w:sz w:val="24"/>
          <w:szCs w:val="24"/>
        </w:rPr>
        <w:t>. T</w:t>
      </w:r>
      <w:r w:rsidRPr="0025159D">
        <w:rPr>
          <w:rFonts w:ascii="Times New Roman" w:hAnsi="Times New Roman" w:cs="Times New Roman"/>
          <w:sz w:val="24"/>
          <w:szCs w:val="24"/>
        </w:rPr>
        <w:t>he costs</w:t>
      </w:r>
      <w:r w:rsidR="00E576B4" w:rsidRPr="0025159D">
        <w:rPr>
          <w:rFonts w:ascii="Times New Roman" w:hAnsi="Times New Roman" w:cs="Times New Roman"/>
          <w:sz w:val="24"/>
          <w:szCs w:val="24"/>
        </w:rPr>
        <w:t xml:space="preserve"> and </w:t>
      </w:r>
      <w:r w:rsidRPr="0025159D">
        <w:rPr>
          <w:rFonts w:ascii="Times New Roman" w:hAnsi="Times New Roman" w:cs="Times New Roman"/>
          <w:sz w:val="24"/>
          <w:szCs w:val="24"/>
        </w:rPr>
        <w:t xml:space="preserve">lifetimes may also vary across these different </w:t>
      </w:r>
      <w:r w:rsidR="00E576B4" w:rsidRPr="0025159D">
        <w:rPr>
          <w:rFonts w:ascii="Times New Roman" w:hAnsi="Times New Roman" w:cs="Times New Roman"/>
          <w:sz w:val="24"/>
          <w:szCs w:val="24"/>
        </w:rPr>
        <w:t>technology options</w:t>
      </w:r>
      <w:r w:rsidRPr="0025159D">
        <w:rPr>
          <w:rFonts w:ascii="Times New Roman" w:hAnsi="Times New Roman" w:cs="Times New Roman"/>
          <w:sz w:val="24"/>
          <w:szCs w:val="24"/>
        </w:rPr>
        <w:t xml:space="preserve">. The techno-economic parameters </w:t>
      </w:r>
      <w:r w:rsidR="001A1FEB" w:rsidRPr="0025159D">
        <w:rPr>
          <w:rFonts w:ascii="Times New Roman" w:hAnsi="Times New Roman" w:cs="Times New Roman"/>
          <w:sz w:val="24"/>
          <w:szCs w:val="24"/>
        </w:rPr>
        <w:t xml:space="preserve">of a given technology </w:t>
      </w:r>
      <w:r w:rsidRPr="0025159D">
        <w:rPr>
          <w:rFonts w:ascii="Times New Roman" w:hAnsi="Times New Roman" w:cs="Times New Roman"/>
          <w:sz w:val="24"/>
          <w:szCs w:val="24"/>
        </w:rPr>
        <w:t>are assumed to be region agnostic</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w:t>
      </w:r>
      <w:r w:rsidR="008E0DB6">
        <w:rPr>
          <w:rFonts w:ascii="Times New Roman" w:hAnsi="Times New Roman" w:cs="Times New Roman"/>
          <w:sz w:val="24"/>
          <w:szCs w:val="24"/>
        </w:rPr>
        <w:t>except</w:t>
      </w:r>
      <w:r w:rsidRPr="0025159D">
        <w:rPr>
          <w:rFonts w:ascii="Times New Roman" w:hAnsi="Times New Roman" w:cs="Times New Roman"/>
          <w:sz w:val="24"/>
          <w:szCs w:val="24"/>
        </w:rPr>
        <w:t xml:space="preserve"> heat pump COPs as described above.</w:t>
      </w:r>
    </w:p>
    <w:p w14:paraId="1E3E31EB" w14:textId="5E5BAA06"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b/>
          <w:bCs/>
          <w:sz w:val="24"/>
          <w:szCs w:val="24"/>
        </w:rPr>
        <w:t xml:space="preserve">Existing Capacity: </w:t>
      </w:r>
      <w:r w:rsidR="00AD56B9" w:rsidRPr="0025159D">
        <w:rPr>
          <w:rFonts w:ascii="Times New Roman" w:hAnsi="Times New Roman" w:cs="Times New Roman"/>
          <w:sz w:val="24"/>
          <w:szCs w:val="24"/>
        </w:rPr>
        <w:t>W</w:t>
      </w:r>
      <w:r w:rsidRPr="0025159D">
        <w:rPr>
          <w:rFonts w:ascii="Times New Roman" w:hAnsi="Times New Roman" w:cs="Times New Roman"/>
          <w:sz w:val="24"/>
          <w:szCs w:val="24"/>
        </w:rPr>
        <w:t>e rely on two data source</w:t>
      </w:r>
      <w:r w:rsidR="00335593" w:rsidRPr="0025159D">
        <w:rPr>
          <w:rFonts w:ascii="Times New Roman" w:hAnsi="Times New Roman" w:cs="Times New Roman"/>
          <w:sz w:val="24"/>
          <w:szCs w:val="24"/>
        </w:rPr>
        <w:t>s</w:t>
      </w:r>
      <w:r w:rsidRPr="0025159D">
        <w:rPr>
          <w:rFonts w:ascii="Times New Roman" w:hAnsi="Times New Roman" w:cs="Times New Roman"/>
          <w:sz w:val="24"/>
          <w:szCs w:val="24"/>
        </w:rPr>
        <w:t xml:space="preserve"> to estimate existing capacity at the technology level in the buildings database: 1) NREL EFS service demands scaled using a derived utilization factor</w:t>
      </w:r>
      <w:r w:rsidR="0076512E">
        <w:rPr>
          <w:rFonts w:ascii="Times New Roman" w:hAnsi="Times New Roman" w:cs="Times New Roman"/>
          <w:sz w:val="24"/>
          <w:szCs w:val="24"/>
        </w:rPr>
        <w:t>, which gives us the existing capacities of most of the existing electric technologies</w:t>
      </w:r>
      <w:r w:rsidRPr="0025159D">
        <w:rPr>
          <w:rFonts w:ascii="Times New Roman" w:hAnsi="Times New Roman" w:cs="Times New Roman"/>
          <w:sz w:val="24"/>
          <w:szCs w:val="24"/>
        </w:rPr>
        <w:t xml:space="preserve"> and 2) </w:t>
      </w:r>
      <w:r w:rsidR="007F1A56" w:rsidRPr="0025159D">
        <w:rPr>
          <w:rFonts w:ascii="Times New Roman" w:hAnsi="Times New Roman" w:cs="Times New Roman"/>
          <w:sz w:val="24"/>
          <w:szCs w:val="24"/>
        </w:rPr>
        <w:t xml:space="preserve">the </w:t>
      </w:r>
      <w:r w:rsidRPr="0025159D">
        <w:rPr>
          <w:rFonts w:ascii="Times New Roman" w:hAnsi="Times New Roman" w:cs="Times New Roman"/>
          <w:sz w:val="24"/>
          <w:szCs w:val="24"/>
        </w:rPr>
        <w:t>MARKAL database</w:t>
      </w:r>
      <w:r w:rsidR="0076512E">
        <w:rPr>
          <w:rFonts w:ascii="Times New Roman" w:hAnsi="Times New Roman" w:cs="Times New Roman"/>
          <w:sz w:val="24"/>
          <w:szCs w:val="24"/>
        </w:rPr>
        <w:t>, which gives us the existing capacities for technologies not included in 1)</w:t>
      </w:r>
      <w:r w:rsidRPr="0025159D">
        <w:rPr>
          <w:rFonts w:ascii="Times New Roman" w:hAnsi="Times New Roman" w:cs="Times New Roman"/>
          <w:sz w:val="24"/>
          <w:szCs w:val="24"/>
        </w:rPr>
        <w:t xml:space="preserve">. The estimation method from the two data sources </w:t>
      </w:r>
      <w:r w:rsidR="00335593" w:rsidRPr="0025159D">
        <w:rPr>
          <w:rFonts w:ascii="Times New Roman" w:hAnsi="Times New Roman" w:cs="Times New Roman"/>
          <w:sz w:val="24"/>
          <w:szCs w:val="24"/>
        </w:rPr>
        <w:t>is</w:t>
      </w:r>
      <w:r w:rsidRPr="0025159D">
        <w:rPr>
          <w:rFonts w:ascii="Times New Roman" w:hAnsi="Times New Roman" w:cs="Times New Roman"/>
          <w:sz w:val="24"/>
          <w:szCs w:val="24"/>
        </w:rPr>
        <w:t xml:space="preserve"> briefly described below:</w:t>
      </w:r>
    </w:p>
    <w:p w14:paraId="514A1D62" w14:textId="18924DEC"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sz w:val="24"/>
          <w:szCs w:val="24"/>
        </w:rPr>
        <w:t xml:space="preserve">1) NREL </w:t>
      </w:r>
      <w:r w:rsidR="00AD56B9" w:rsidRPr="0025159D">
        <w:rPr>
          <w:rFonts w:ascii="Times New Roman" w:hAnsi="Times New Roman" w:cs="Times New Roman"/>
          <w:sz w:val="24"/>
          <w:szCs w:val="24"/>
        </w:rPr>
        <w:t>EFS</w:t>
      </w:r>
      <w:r w:rsidRPr="0025159D">
        <w:rPr>
          <w:rFonts w:ascii="Times New Roman" w:hAnsi="Times New Roman" w:cs="Times New Roman"/>
          <w:sz w:val="24"/>
          <w:szCs w:val="24"/>
        </w:rPr>
        <w:t>: First</w:t>
      </w:r>
      <w:r w:rsidR="00335593" w:rsidRPr="0025159D">
        <w:rPr>
          <w:rFonts w:ascii="Times New Roman" w:hAnsi="Times New Roman" w:cs="Times New Roman"/>
          <w:sz w:val="24"/>
          <w:szCs w:val="24"/>
        </w:rPr>
        <w:t>,</w:t>
      </w:r>
      <w:r w:rsidRPr="0025159D">
        <w:rPr>
          <w:rFonts w:ascii="Times New Roman" w:hAnsi="Times New Roman" w:cs="Times New Roman"/>
          <w:sz w:val="24"/>
          <w:szCs w:val="24"/>
        </w:rPr>
        <w:t xml:space="preserve"> an end-use service </w:t>
      </w:r>
      <w:r w:rsidR="00CD25D3">
        <w:rPr>
          <w:rFonts w:ascii="Times New Roman" w:hAnsi="Times New Roman" w:cs="Times New Roman"/>
          <w:sz w:val="24"/>
          <w:szCs w:val="24"/>
        </w:rPr>
        <w:t>demand-specific</w:t>
      </w:r>
      <w:r w:rsidRPr="0025159D">
        <w:rPr>
          <w:rFonts w:ascii="Times New Roman" w:hAnsi="Times New Roman" w:cs="Times New Roman"/>
          <w:sz w:val="24"/>
          <w:szCs w:val="24"/>
        </w:rPr>
        <w:t xml:space="preserve"> 'utilization factor' is calculated using the hourly load profile data published in the EFS. This is done by calculating the average demand across the 8</w:t>
      </w:r>
      <w:r w:rsidR="00335593" w:rsidRPr="0025159D">
        <w:rPr>
          <w:rFonts w:ascii="Times New Roman" w:hAnsi="Times New Roman" w:cs="Times New Roman"/>
          <w:sz w:val="24"/>
          <w:szCs w:val="24"/>
        </w:rPr>
        <w:t>,</w:t>
      </w:r>
      <w:r w:rsidRPr="0025159D">
        <w:rPr>
          <w:rFonts w:ascii="Times New Roman" w:hAnsi="Times New Roman" w:cs="Times New Roman"/>
          <w:sz w:val="24"/>
          <w:szCs w:val="24"/>
        </w:rPr>
        <w:t xml:space="preserve">760 hours divided by the 95th percentile demand for each end-use service demand in each </w:t>
      </w:r>
      <w:r w:rsidR="00AD56B9" w:rsidRPr="0025159D">
        <w:rPr>
          <w:rFonts w:ascii="Times New Roman" w:hAnsi="Times New Roman" w:cs="Times New Roman"/>
          <w:sz w:val="24"/>
          <w:szCs w:val="24"/>
        </w:rPr>
        <w:t xml:space="preserve">model </w:t>
      </w:r>
      <w:r w:rsidRPr="0025159D">
        <w:rPr>
          <w:rFonts w:ascii="Times New Roman" w:hAnsi="Times New Roman" w:cs="Times New Roman"/>
          <w:sz w:val="24"/>
          <w:szCs w:val="24"/>
        </w:rPr>
        <w:t xml:space="preserve">region for which hourly load profiles are available. The existing capacity </w:t>
      </w:r>
      <w:r w:rsidRPr="0025159D">
        <w:rPr>
          <w:rFonts w:ascii="Times New Roman" w:hAnsi="Times New Roman" w:cs="Times New Roman"/>
          <w:sz w:val="24"/>
          <w:szCs w:val="24"/>
        </w:rPr>
        <w:lastRenderedPageBreak/>
        <w:t xml:space="preserve">of the </w:t>
      </w:r>
      <w:r w:rsidR="00335593" w:rsidRPr="0025159D">
        <w:rPr>
          <w:rFonts w:ascii="Times New Roman" w:hAnsi="Times New Roman" w:cs="Times New Roman"/>
          <w:sz w:val="24"/>
          <w:szCs w:val="24"/>
        </w:rPr>
        <w:t>buildings</w:t>
      </w:r>
      <w:r w:rsidRPr="0025159D">
        <w:rPr>
          <w:rFonts w:ascii="Times New Roman" w:hAnsi="Times New Roman" w:cs="Times New Roman"/>
          <w:sz w:val="24"/>
          <w:szCs w:val="24"/>
        </w:rPr>
        <w:t xml:space="preserve"> sector technologies is then estimated as the service demand in 2017 from EFS scaled using the calculated utilization factors.</w:t>
      </w:r>
    </w:p>
    <w:p w14:paraId="396BC8D1" w14:textId="731A35E8"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sz w:val="24"/>
          <w:szCs w:val="24"/>
        </w:rPr>
        <w:t xml:space="preserve">2) MARKAL database: </w:t>
      </w:r>
      <w:r w:rsidR="008E0DB6">
        <w:rPr>
          <w:rFonts w:ascii="Times New Roman" w:hAnsi="Times New Roman" w:cs="Times New Roman"/>
          <w:sz w:val="24"/>
          <w:szCs w:val="24"/>
        </w:rPr>
        <w:t>We</w:t>
      </w:r>
      <w:r w:rsidRPr="0025159D">
        <w:rPr>
          <w:rFonts w:ascii="Times New Roman" w:hAnsi="Times New Roman" w:cs="Times New Roman"/>
          <w:sz w:val="24"/>
          <w:szCs w:val="24"/>
        </w:rPr>
        <w:t xml:space="preserve"> </w:t>
      </w:r>
      <w:r w:rsidR="007F1A56" w:rsidRPr="0025159D">
        <w:rPr>
          <w:rFonts w:ascii="Times New Roman" w:hAnsi="Times New Roman" w:cs="Times New Roman"/>
          <w:sz w:val="24"/>
          <w:szCs w:val="24"/>
        </w:rPr>
        <w:t xml:space="preserve">rely </w:t>
      </w:r>
      <w:r w:rsidRPr="0025159D">
        <w:rPr>
          <w:rFonts w:ascii="Times New Roman" w:hAnsi="Times New Roman" w:cs="Times New Roman"/>
          <w:sz w:val="24"/>
          <w:szCs w:val="24"/>
        </w:rPr>
        <w:t>on existing capacity estimations from the U</w:t>
      </w:r>
      <w:r w:rsidR="00E367B7" w:rsidRPr="0025159D">
        <w:rPr>
          <w:rFonts w:ascii="Times New Roman" w:hAnsi="Times New Roman" w:cs="Times New Roman"/>
          <w:sz w:val="24"/>
          <w:szCs w:val="24"/>
        </w:rPr>
        <w:t>.</w:t>
      </w:r>
      <w:r w:rsidRPr="0025159D">
        <w:rPr>
          <w:rFonts w:ascii="Times New Roman" w:hAnsi="Times New Roman" w:cs="Times New Roman"/>
          <w:sz w:val="24"/>
          <w:szCs w:val="24"/>
        </w:rPr>
        <w:t>S</w:t>
      </w:r>
      <w:r w:rsidR="00E367B7" w:rsidRPr="0025159D">
        <w:rPr>
          <w:rFonts w:ascii="Times New Roman" w:hAnsi="Times New Roman" w:cs="Times New Roman"/>
          <w:sz w:val="24"/>
          <w:szCs w:val="24"/>
        </w:rPr>
        <w:t>.</w:t>
      </w:r>
      <w:r w:rsidR="0040347B" w:rsidRPr="0025159D">
        <w:rPr>
          <w:rFonts w:ascii="Times New Roman" w:hAnsi="Times New Roman" w:cs="Times New Roman"/>
          <w:sz w:val="24"/>
          <w:szCs w:val="24"/>
        </w:rPr>
        <w:t xml:space="preserve"> </w:t>
      </w:r>
      <w:r w:rsidRPr="0025159D">
        <w:rPr>
          <w:rFonts w:ascii="Times New Roman" w:hAnsi="Times New Roman" w:cs="Times New Roman"/>
          <w:sz w:val="24"/>
          <w:szCs w:val="24"/>
        </w:rPr>
        <w:t>EPA MARKAL database.</w:t>
      </w:r>
      <w:r w:rsidR="0040347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{"citationID":"QCeSFXDQ","properties":{"formattedCitation":"\\super 20\\nosupersub{}","plainCitation":"20","noteIndex":0},"citationItems":[{"id":5263,"uris":["http://zotero.org/users/3151432/items/P2Z88FII"],"itemData":{"id":5263,"type":"article-journal","container-title":"Energy Economics","note":"publisher: Elsevier","page":"410–425","title":"The US power sector decarbonization: Investigating technology options with MARKAL nine-region model","volume":"73","author":[{"family":"Victor","given":"Nadejda"},{"family":"Nichols","given":"Christopher"},{"family":"Zelek","given":"Charles"}],"issued":{"date-parts":[["2018"]]}}}],"schema":"https://github.com/citation-style-language/schema/raw/master/csl-citation.json"} </w:instrText>
      </w:r>
      <w:r w:rsidR="0040347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20</w:t>
      </w:r>
      <w:r w:rsidR="0040347B"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MARKAL report</w:t>
      </w:r>
      <w:r w:rsidR="00AD56B9" w:rsidRPr="0025159D">
        <w:rPr>
          <w:rFonts w:ascii="Times New Roman" w:hAnsi="Times New Roman" w:cs="Times New Roman"/>
          <w:sz w:val="24"/>
          <w:szCs w:val="24"/>
        </w:rPr>
        <w:t>s</w:t>
      </w:r>
      <w:r w:rsidRPr="0025159D">
        <w:rPr>
          <w:rFonts w:ascii="Times New Roman" w:hAnsi="Times New Roman" w:cs="Times New Roman"/>
          <w:sz w:val="24"/>
          <w:szCs w:val="24"/>
        </w:rPr>
        <w:t xml:space="preserve"> the existing capacities for most technologies listed in the EIA dataset for the nine </w:t>
      </w:r>
      <w:r w:rsidR="00AD56B9" w:rsidRPr="0025159D">
        <w:rPr>
          <w:rFonts w:ascii="Times New Roman" w:hAnsi="Times New Roman" w:cs="Times New Roman"/>
          <w:sz w:val="24"/>
          <w:szCs w:val="24"/>
        </w:rPr>
        <w:t>c</w:t>
      </w:r>
      <w:r w:rsidRPr="0025159D">
        <w:rPr>
          <w:rFonts w:ascii="Times New Roman" w:hAnsi="Times New Roman" w:cs="Times New Roman"/>
          <w:sz w:val="24"/>
          <w:szCs w:val="24"/>
        </w:rPr>
        <w:t xml:space="preserve">ensus </w:t>
      </w:r>
      <w:r w:rsidR="00AD56B9" w:rsidRPr="0025159D">
        <w:rPr>
          <w:rFonts w:ascii="Times New Roman" w:hAnsi="Times New Roman" w:cs="Times New Roman"/>
          <w:sz w:val="24"/>
          <w:szCs w:val="24"/>
        </w:rPr>
        <w:t>d</w:t>
      </w:r>
      <w:r w:rsidRPr="0025159D">
        <w:rPr>
          <w:rFonts w:ascii="Times New Roman" w:hAnsi="Times New Roman" w:cs="Times New Roman"/>
          <w:sz w:val="24"/>
          <w:szCs w:val="24"/>
        </w:rPr>
        <w:t xml:space="preserve">ivisions. However, since </w:t>
      </w:r>
      <w:r w:rsidR="00AD56B9" w:rsidRPr="0025159D">
        <w:rPr>
          <w:rFonts w:ascii="Times New Roman" w:hAnsi="Times New Roman" w:cs="Times New Roman"/>
          <w:sz w:val="24"/>
          <w:szCs w:val="24"/>
        </w:rPr>
        <w:t xml:space="preserve">our </w:t>
      </w:r>
      <w:r w:rsidRPr="0025159D">
        <w:rPr>
          <w:rFonts w:ascii="Times New Roman" w:hAnsi="Times New Roman" w:cs="Times New Roman"/>
          <w:sz w:val="24"/>
          <w:szCs w:val="24"/>
        </w:rPr>
        <w:t>region</w:t>
      </w:r>
      <w:r w:rsidR="00AD56B9" w:rsidRPr="0025159D">
        <w:rPr>
          <w:rFonts w:ascii="Times New Roman" w:hAnsi="Times New Roman" w:cs="Times New Roman"/>
          <w:sz w:val="24"/>
          <w:szCs w:val="24"/>
        </w:rPr>
        <w:t>al representation</w:t>
      </w:r>
      <w:r w:rsidRPr="0025159D">
        <w:rPr>
          <w:rFonts w:ascii="Times New Roman" w:hAnsi="Times New Roman" w:cs="Times New Roman"/>
          <w:sz w:val="24"/>
          <w:szCs w:val="24"/>
        </w:rPr>
        <w:t xml:space="preserve"> differ</w:t>
      </w:r>
      <w:r w:rsidR="0040347B" w:rsidRPr="0025159D">
        <w:rPr>
          <w:rFonts w:ascii="Times New Roman" w:hAnsi="Times New Roman" w:cs="Times New Roman"/>
          <w:sz w:val="24"/>
          <w:szCs w:val="24"/>
        </w:rPr>
        <w:t>s</w:t>
      </w:r>
      <w:r w:rsidRPr="0025159D">
        <w:rPr>
          <w:rFonts w:ascii="Times New Roman" w:hAnsi="Times New Roman" w:cs="Times New Roman"/>
          <w:sz w:val="24"/>
          <w:szCs w:val="24"/>
        </w:rPr>
        <w:t xml:space="preserve"> from the </w:t>
      </w:r>
      <w:r w:rsidR="00AD56B9" w:rsidRPr="0025159D">
        <w:rPr>
          <w:rFonts w:ascii="Times New Roman" w:hAnsi="Times New Roman" w:cs="Times New Roman"/>
          <w:sz w:val="24"/>
          <w:szCs w:val="24"/>
        </w:rPr>
        <w:t>c</w:t>
      </w:r>
      <w:r w:rsidRPr="0025159D">
        <w:rPr>
          <w:rFonts w:ascii="Times New Roman" w:hAnsi="Times New Roman" w:cs="Times New Roman"/>
          <w:sz w:val="24"/>
          <w:szCs w:val="24"/>
        </w:rPr>
        <w:t xml:space="preserve">ensus </w:t>
      </w:r>
      <w:r w:rsidR="00AD56B9" w:rsidRPr="0025159D">
        <w:rPr>
          <w:rFonts w:ascii="Times New Roman" w:hAnsi="Times New Roman" w:cs="Times New Roman"/>
          <w:sz w:val="24"/>
          <w:szCs w:val="24"/>
        </w:rPr>
        <w:t>d</w:t>
      </w:r>
      <w:r w:rsidRPr="0025159D">
        <w:rPr>
          <w:rFonts w:ascii="Times New Roman" w:hAnsi="Times New Roman" w:cs="Times New Roman"/>
          <w:sz w:val="24"/>
          <w:szCs w:val="24"/>
        </w:rPr>
        <w:t>ivisions, we scale the reported existing capacities using U.S. Census state population data to obtain estimates of existing capacity in each U.S. state. Finally, we aggregate up to the regions</w:t>
      </w:r>
      <w:r w:rsidR="00AD56B9" w:rsidRPr="0025159D">
        <w:rPr>
          <w:rFonts w:ascii="Times New Roman" w:hAnsi="Times New Roman" w:cs="Times New Roman"/>
          <w:sz w:val="24"/>
          <w:szCs w:val="24"/>
        </w:rPr>
        <w:t xml:space="preserve"> shown in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_Ref149838405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Figure S</w:t>
      </w:r>
      <w:r w:rsidR="00E367B7" w:rsidRPr="0025159D">
        <w:rPr>
          <w:rFonts w:ascii="Times New Roman" w:hAnsi="Times New Roman" w:cs="Times New Roman"/>
          <w:noProof/>
          <w:sz w:val="24"/>
          <w:szCs w:val="24"/>
        </w:rPr>
        <w:t>1</w:t>
      </w:r>
      <w:r w:rsidR="00E367B7" w:rsidRPr="0025159D">
        <w:rPr>
          <w:rFonts w:ascii="Times New Roman" w:hAnsi="Times New Roman" w:cs="Times New Roman"/>
          <w:sz w:val="24"/>
          <w:szCs w:val="24"/>
        </w:rPr>
        <w:fldChar w:fldCharType="end"/>
      </w:r>
      <w:r w:rsidR="00E367B7" w:rsidRPr="0025159D">
        <w:rPr>
          <w:rFonts w:ascii="Times New Roman" w:hAnsi="Times New Roman" w:cs="Times New Roman"/>
          <w:sz w:val="24"/>
          <w:szCs w:val="24"/>
        </w:rPr>
        <w:t xml:space="preserve"> </w:t>
      </w:r>
      <w:r w:rsidRPr="0025159D">
        <w:rPr>
          <w:rFonts w:ascii="Times New Roman" w:hAnsi="Times New Roman" w:cs="Times New Roman"/>
          <w:sz w:val="24"/>
          <w:szCs w:val="24"/>
        </w:rPr>
        <w:t>and estimate the existing capacit</w:t>
      </w:r>
      <w:r w:rsidR="00AD56B9" w:rsidRPr="0025159D">
        <w:rPr>
          <w:rFonts w:ascii="Times New Roman" w:hAnsi="Times New Roman" w:cs="Times New Roman"/>
          <w:sz w:val="24"/>
          <w:szCs w:val="24"/>
        </w:rPr>
        <w:t xml:space="preserve">ies of the </w:t>
      </w:r>
      <w:r w:rsidRPr="0025159D">
        <w:rPr>
          <w:rFonts w:ascii="Times New Roman" w:hAnsi="Times New Roman" w:cs="Times New Roman"/>
          <w:sz w:val="24"/>
          <w:szCs w:val="24"/>
        </w:rPr>
        <w:t>technologies</w:t>
      </w:r>
      <w:r w:rsidR="00AD56B9" w:rsidRPr="0025159D">
        <w:rPr>
          <w:rFonts w:ascii="Times New Roman" w:hAnsi="Times New Roman" w:cs="Times New Roman"/>
          <w:sz w:val="24"/>
          <w:szCs w:val="24"/>
        </w:rPr>
        <w:t xml:space="preserve"> represented</w:t>
      </w:r>
      <w:r w:rsidRPr="0025159D">
        <w:rPr>
          <w:rFonts w:ascii="Times New Roman" w:hAnsi="Times New Roman" w:cs="Times New Roman"/>
          <w:sz w:val="24"/>
          <w:szCs w:val="24"/>
        </w:rPr>
        <w:t>.</w:t>
      </w:r>
      <w:r w:rsidR="00AD56B9"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MARKAL estimates the existing capacity by multiplying the demand met (taken from </w:t>
      </w:r>
      <w:r w:rsidR="00AD56B9" w:rsidRPr="0025159D">
        <w:rPr>
          <w:rFonts w:ascii="Times New Roman" w:hAnsi="Times New Roman" w:cs="Times New Roman"/>
          <w:sz w:val="24"/>
          <w:szCs w:val="24"/>
        </w:rPr>
        <w:t>AEO</w:t>
      </w:r>
      <w:r w:rsidRPr="0025159D">
        <w:rPr>
          <w:rFonts w:ascii="Times New Roman" w:hAnsi="Times New Roman" w:cs="Times New Roman"/>
          <w:sz w:val="24"/>
          <w:szCs w:val="24"/>
        </w:rPr>
        <w:t xml:space="preserve">) in an end-use service sub-sector by the estimated market share of a technology contributing to the end-use service category. This value is then divided by a utilization factor to estimate </w:t>
      </w:r>
      <w:r w:rsidR="00CD25D3">
        <w:rPr>
          <w:rFonts w:ascii="Times New Roman" w:hAnsi="Times New Roman" w:cs="Times New Roman"/>
          <w:sz w:val="24"/>
          <w:szCs w:val="24"/>
        </w:rPr>
        <w:t xml:space="preserve">the </w:t>
      </w:r>
      <w:r w:rsidRPr="0025159D">
        <w:rPr>
          <w:rFonts w:ascii="Times New Roman" w:hAnsi="Times New Roman" w:cs="Times New Roman"/>
          <w:sz w:val="24"/>
          <w:szCs w:val="24"/>
        </w:rPr>
        <w:t xml:space="preserve">existing capacity of a certain technology in a given region. </w:t>
      </w:r>
    </w:p>
    <w:p w14:paraId="1609D2AD" w14:textId="1052FBE1" w:rsidR="00CF5E57" w:rsidRPr="0025159D" w:rsidRDefault="007A62DB" w:rsidP="00CF5E57">
      <w:pPr>
        <w:rPr>
          <w:rFonts w:ascii="Times New Roman" w:hAnsi="Times New Roman" w:cs="Times New Roman"/>
          <w:b/>
          <w:bCs/>
          <w:sz w:val="24"/>
          <w:szCs w:val="24"/>
        </w:rPr>
      </w:pPr>
      <w:r w:rsidRPr="0025159D">
        <w:rPr>
          <w:rFonts w:ascii="Times New Roman" w:hAnsi="Times New Roman" w:cs="Times New Roman"/>
          <w:b/>
          <w:bCs/>
          <w:sz w:val="24"/>
          <w:szCs w:val="24"/>
        </w:rPr>
        <w:fldChar w:fldCharType="begin"/>
      </w:r>
      <w:r w:rsidRPr="0025159D">
        <w:rPr>
          <w:rFonts w:ascii="Times New Roman" w:hAnsi="Times New Roman" w:cs="Times New Roman"/>
          <w:b/>
          <w:bCs/>
          <w:sz w:val="24"/>
          <w:szCs w:val="24"/>
        </w:rPr>
        <w:instrText xml:space="preserve"> REF _Ref149837353 \h </w:instrText>
      </w:r>
      <w:r w:rsidR="0025159D" w:rsidRPr="0025159D">
        <w:rPr>
          <w:rFonts w:ascii="Times New Roman" w:hAnsi="Times New Roman" w:cs="Times New Roman"/>
          <w:b/>
          <w:bCs/>
          <w:sz w:val="24"/>
          <w:szCs w:val="24"/>
        </w:rPr>
        <w:instrText xml:space="preserve"> \* MERGEFORMAT </w:instrText>
      </w:r>
      <w:r w:rsidRPr="0025159D">
        <w:rPr>
          <w:rFonts w:ascii="Times New Roman" w:hAnsi="Times New Roman" w:cs="Times New Roman"/>
          <w:b/>
          <w:bCs/>
          <w:sz w:val="24"/>
          <w:szCs w:val="24"/>
        </w:rPr>
      </w:r>
      <w:r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rPr>
        <w:t>Section S</w:t>
      </w:r>
      <w:r w:rsidRPr="0025159D">
        <w:rPr>
          <w:rFonts w:ascii="Times New Roman" w:hAnsi="Times New Roman" w:cs="Times New Roman"/>
          <w:b/>
          <w:bCs/>
          <w:noProof/>
          <w:sz w:val="24"/>
          <w:szCs w:val="24"/>
        </w:rPr>
        <w:t>4</w:t>
      </w:r>
      <w:r w:rsidRPr="0025159D">
        <w:rPr>
          <w:rFonts w:ascii="Times New Roman" w:hAnsi="Times New Roman" w:cs="Times New Roman"/>
          <w:b/>
          <w:bCs/>
          <w:sz w:val="24"/>
          <w:szCs w:val="24"/>
        </w:rPr>
        <w:fldChar w:fldCharType="end"/>
      </w:r>
      <w:r w:rsidR="00CF5E57" w:rsidRPr="0025159D">
        <w:rPr>
          <w:rFonts w:ascii="Times New Roman" w:hAnsi="Times New Roman" w:cs="Times New Roman"/>
          <w:b/>
          <w:bCs/>
          <w:sz w:val="24"/>
          <w:szCs w:val="24"/>
        </w:rPr>
        <w:t>.3 Transport</w:t>
      </w:r>
      <w:r w:rsidR="004513CA" w:rsidRPr="0025159D">
        <w:rPr>
          <w:rFonts w:ascii="Times New Roman" w:hAnsi="Times New Roman" w:cs="Times New Roman"/>
          <w:b/>
          <w:bCs/>
          <w:sz w:val="24"/>
          <w:szCs w:val="24"/>
        </w:rPr>
        <w:t>ation</w:t>
      </w:r>
      <w:r w:rsidR="00CF5E57" w:rsidRPr="0025159D">
        <w:rPr>
          <w:rFonts w:ascii="Times New Roman" w:hAnsi="Times New Roman" w:cs="Times New Roman"/>
          <w:b/>
          <w:bCs/>
          <w:sz w:val="24"/>
          <w:szCs w:val="24"/>
        </w:rPr>
        <w:t xml:space="preserve"> </w:t>
      </w:r>
      <w:r w:rsidR="00973B19">
        <w:rPr>
          <w:rFonts w:ascii="Times New Roman" w:hAnsi="Times New Roman" w:cs="Times New Roman"/>
          <w:b/>
          <w:bCs/>
          <w:sz w:val="24"/>
          <w:szCs w:val="24"/>
        </w:rPr>
        <w:t>s</w:t>
      </w:r>
      <w:r w:rsidR="00CF5E57" w:rsidRPr="0025159D">
        <w:rPr>
          <w:rFonts w:ascii="Times New Roman" w:hAnsi="Times New Roman" w:cs="Times New Roman"/>
          <w:b/>
          <w:bCs/>
          <w:sz w:val="24"/>
          <w:szCs w:val="24"/>
        </w:rPr>
        <w:t>ector:</w:t>
      </w:r>
    </w:p>
    <w:p w14:paraId="754CC8E8" w14:textId="561DF99A" w:rsidR="00CF5E57" w:rsidRPr="0025159D" w:rsidRDefault="00AD56B9" w:rsidP="00CF5E57">
      <w:pPr>
        <w:rPr>
          <w:rFonts w:ascii="Times New Roman" w:hAnsi="Times New Roman" w:cs="Times New Roman"/>
          <w:sz w:val="24"/>
          <w:szCs w:val="24"/>
        </w:rPr>
      </w:pPr>
      <w:r w:rsidRPr="0025159D">
        <w:rPr>
          <w:rFonts w:ascii="Times New Roman" w:hAnsi="Times New Roman" w:cs="Times New Roman"/>
          <w:sz w:val="24"/>
          <w:szCs w:val="24"/>
        </w:rPr>
        <w:t xml:space="preserve">The transportation sector models the following </w:t>
      </w:r>
      <w:r w:rsidR="004513CA" w:rsidRPr="0025159D">
        <w:rPr>
          <w:rFonts w:ascii="Times New Roman" w:hAnsi="Times New Roman" w:cs="Times New Roman"/>
          <w:sz w:val="24"/>
          <w:szCs w:val="24"/>
        </w:rPr>
        <w:t xml:space="preserve">transport </w:t>
      </w:r>
      <w:r w:rsidRPr="0025159D">
        <w:rPr>
          <w:rFonts w:ascii="Times New Roman" w:hAnsi="Times New Roman" w:cs="Times New Roman"/>
          <w:sz w:val="24"/>
          <w:szCs w:val="24"/>
        </w:rPr>
        <w:t xml:space="preserve">modes: </w:t>
      </w:r>
      <w:r w:rsidR="00CF5E57" w:rsidRPr="0025159D">
        <w:rPr>
          <w:rFonts w:ascii="Times New Roman" w:hAnsi="Times New Roman" w:cs="Times New Roman"/>
          <w:sz w:val="24"/>
          <w:szCs w:val="24"/>
        </w:rPr>
        <w:t xml:space="preserve">light-duty vehicles, trucks, buses, rail passenger, rail freight, subways, aviation, marine, and off-highway. The demands, efficiencies, and costs for these transport modes are drawn from </w:t>
      </w:r>
      <w:r w:rsidR="008E0DB6">
        <w:rPr>
          <w:rFonts w:ascii="Times New Roman" w:hAnsi="Times New Roman" w:cs="Times New Roman"/>
          <w:sz w:val="24"/>
          <w:szCs w:val="24"/>
        </w:rPr>
        <w:t>various</w:t>
      </w:r>
      <w:r w:rsidR="00CF5E57" w:rsidRPr="0025159D">
        <w:rPr>
          <w:rFonts w:ascii="Times New Roman" w:hAnsi="Times New Roman" w:cs="Times New Roman"/>
          <w:sz w:val="24"/>
          <w:szCs w:val="24"/>
        </w:rPr>
        <w:t xml:space="preserve"> data sources, including the </w:t>
      </w:r>
      <w:r w:rsidRPr="0025159D">
        <w:rPr>
          <w:rFonts w:ascii="Times New Roman" w:hAnsi="Times New Roman" w:cs="Times New Roman"/>
          <w:sz w:val="24"/>
          <w:szCs w:val="24"/>
        </w:rPr>
        <w:t>MARKAL</w:t>
      </w:r>
      <w:r w:rsidR="00CF5E57" w:rsidRPr="0025159D">
        <w:rPr>
          <w:rFonts w:ascii="Times New Roman" w:hAnsi="Times New Roman" w:cs="Times New Roman"/>
          <w:sz w:val="24"/>
          <w:szCs w:val="24"/>
        </w:rPr>
        <w:t xml:space="preserve"> database, Princeton's Net-Zero America study, the National Renewable Energy Laboratory, and Argonne National Laboratory.</w:t>
      </w:r>
    </w:p>
    <w:p w14:paraId="5AD59A31" w14:textId="5F1CE005" w:rsidR="00CF5E57" w:rsidRPr="0025159D" w:rsidRDefault="00CF5E57" w:rsidP="00CF5E57">
      <w:pPr>
        <w:rPr>
          <w:rFonts w:ascii="Times New Roman" w:hAnsi="Times New Roman" w:cs="Times New Roman"/>
          <w:sz w:val="24"/>
          <w:szCs w:val="24"/>
        </w:rPr>
      </w:pPr>
      <w:r w:rsidRPr="0025159D">
        <w:rPr>
          <w:rFonts w:ascii="Times New Roman" w:hAnsi="Times New Roman" w:cs="Times New Roman"/>
          <w:sz w:val="24"/>
          <w:szCs w:val="24"/>
        </w:rPr>
        <w:t xml:space="preserve">The transportation sector in </w:t>
      </w:r>
      <w:r w:rsidR="00AD56B9" w:rsidRPr="0025159D">
        <w:rPr>
          <w:rFonts w:ascii="Times New Roman" w:hAnsi="Times New Roman" w:cs="Times New Roman"/>
          <w:sz w:val="24"/>
          <w:szCs w:val="24"/>
        </w:rPr>
        <w:t xml:space="preserve">our </w:t>
      </w:r>
      <w:r w:rsidRPr="0025159D">
        <w:rPr>
          <w:rFonts w:ascii="Times New Roman" w:hAnsi="Times New Roman" w:cs="Times New Roman"/>
          <w:sz w:val="24"/>
          <w:szCs w:val="24"/>
        </w:rPr>
        <w:t xml:space="preserve">database can be split into three categories: light-duty, medium-duty, and heavy-duty vehicles. We represent seven light-duty </w:t>
      </w:r>
      <w:r w:rsidR="00CD25D3">
        <w:rPr>
          <w:rFonts w:ascii="Times New Roman" w:hAnsi="Times New Roman" w:cs="Times New Roman"/>
          <w:sz w:val="24"/>
          <w:szCs w:val="24"/>
        </w:rPr>
        <w:t>vehicle-size</w:t>
      </w:r>
      <w:r w:rsidRPr="0025159D">
        <w:rPr>
          <w:rFonts w:ascii="Times New Roman" w:hAnsi="Times New Roman" w:cs="Times New Roman"/>
          <w:sz w:val="24"/>
          <w:szCs w:val="24"/>
        </w:rPr>
        <w:t xml:space="preserve"> classes. We </w:t>
      </w:r>
      <w:r w:rsidR="004513CA" w:rsidRPr="0025159D">
        <w:rPr>
          <w:rFonts w:ascii="Times New Roman" w:hAnsi="Times New Roman" w:cs="Times New Roman"/>
          <w:sz w:val="24"/>
          <w:szCs w:val="24"/>
        </w:rPr>
        <w:t xml:space="preserve">exogenously </w:t>
      </w:r>
      <w:r w:rsidRPr="0025159D">
        <w:rPr>
          <w:rFonts w:ascii="Times New Roman" w:hAnsi="Times New Roman" w:cs="Times New Roman"/>
          <w:sz w:val="24"/>
          <w:szCs w:val="24"/>
        </w:rPr>
        <w:t>constrain the percent of end-use demand met by each size class. As Temoa optimizes for the least-cost solution</w:t>
      </w:r>
      <w:r w:rsidR="00C15534">
        <w:rPr>
          <w:rFonts w:ascii="Times New Roman" w:hAnsi="Times New Roman" w:cs="Times New Roman"/>
          <w:sz w:val="24"/>
          <w:szCs w:val="24"/>
        </w:rPr>
        <w:t>, the model would deploy only cheap, fuel-efficient minicars and compact cars without this constraint</w:t>
      </w:r>
      <w:r w:rsidRPr="0025159D">
        <w:rPr>
          <w:rFonts w:ascii="Times New Roman" w:hAnsi="Times New Roman" w:cs="Times New Roman"/>
          <w:sz w:val="24"/>
          <w:szCs w:val="24"/>
        </w:rPr>
        <w:t xml:space="preserve">. We base size-class demand distributions </w:t>
      </w:r>
      <w:r w:rsidR="008170BC" w:rsidRPr="0025159D">
        <w:rPr>
          <w:rFonts w:ascii="Times New Roman" w:hAnsi="Times New Roman" w:cs="Times New Roman"/>
          <w:sz w:val="24"/>
          <w:szCs w:val="24"/>
        </w:rPr>
        <w:t xml:space="preserve">using </w:t>
      </w:r>
      <w:r w:rsidRPr="0025159D">
        <w:rPr>
          <w:rFonts w:ascii="Times New Roman" w:hAnsi="Times New Roman" w:cs="Times New Roman"/>
          <w:sz w:val="24"/>
          <w:szCs w:val="24"/>
        </w:rPr>
        <w:t>the MARKAL database.</w:t>
      </w:r>
      <w:r w:rsidR="00AD56B9" w:rsidRPr="0025159D">
        <w:rPr>
          <w:rFonts w:ascii="Times New Roman" w:hAnsi="Times New Roman" w:cs="Times New Roman"/>
          <w:sz w:val="24"/>
          <w:szCs w:val="24"/>
        </w:rPr>
        <w:t xml:space="preserve"> </w:t>
      </w:r>
      <w:r w:rsidRPr="0025159D">
        <w:rPr>
          <w:rFonts w:ascii="Times New Roman" w:hAnsi="Times New Roman" w:cs="Times New Roman"/>
          <w:sz w:val="24"/>
          <w:szCs w:val="24"/>
        </w:rPr>
        <w:t>Medium-duty vehicles consist only of medium-duty trucks, corresponding to class 6 and 7 trucks.</w:t>
      </w:r>
      <w:r w:rsidR="00335593"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Heavy-duty vehicles include heavy trucks, buses, passenger and freight rail, aviation, marine vessels, and off-highway vehicles. Each transportation technology meets a separate, exogenously specified end-use demand. Depending on the technology, the demand may be in </w:t>
      </w:r>
      <w:r w:rsidR="00CD25D3">
        <w:rPr>
          <w:rFonts w:ascii="Times New Roman" w:hAnsi="Times New Roman" w:cs="Times New Roman"/>
          <w:sz w:val="24"/>
          <w:szCs w:val="24"/>
        </w:rPr>
        <w:t>ton miles</w:t>
      </w:r>
      <w:r w:rsidRPr="0025159D">
        <w:rPr>
          <w:rFonts w:ascii="Times New Roman" w:hAnsi="Times New Roman" w:cs="Times New Roman"/>
          <w:sz w:val="24"/>
          <w:szCs w:val="24"/>
        </w:rPr>
        <w:t xml:space="preserve">, </w:t>
      </w:r>
      <w:r w:rsidR="00CD25D3">
        <w:rPr>
          <w:rFonts w:ascii="Times New Roman" w:hAnsi="Times New Roman" w:cs="Times New Roman"/>
          <w:sz w:val="24"/>
          <w:szCs w:val="24"/>
        </w:rPr>
        <w:t>passenger miles</w:t>
      </w:r>
      <w:r w:rsidRPr="0025159D">
        <w:rPr>
          <w:rFonts w:ascii="Times New Roman" w:hAnsi="Times New Roman" w:cs="Times New Roman"/>
          <w:sz w:val="24"/>
          <w:szCs w:val="24"/>
        </w:rPr>
        <w:t xml:space="preserve">, or </w:t>
      </w:r>
      <w:r w:rsidR="00CD25D3">
        <w:rPr>
          <w:rFonts w:ascii="Times New Roman" w:hAnsi="Times New Roman" w:cs="Times New Roman"/>
          <w:sz w:val="24"/>
          <w:szCs w:val="24"/>
        </w:rPr>
        <w:t>vehicle miles</w:t>
      </w:r>
      <w:r w:rsidRPr="0025159D">
        <w:rPr>
          <w:rFonts w:ascii="Times New Roman" w:hAnsi="Times New Roman" w:cs="Times New Roman"/>
          <w:sz w:val="24"/>
          <w:szCs w:val="24"/>
        </w:rPr>
        <w:t xml:space="preserve"> traveled. Temoa does not currently allow for modal switching. For example, a long-haul truck cannot meet the same freight demand as a train; the two have distinct exogenously defined demand profiles. Existing work shows that modal switching is one effective means of reducing transportation energy consumption</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and </w:t>
      </w:r>
      <w:r w:rsidR="008170BC" w:rsidRPr="0025159D">
        <w:rPr>
          <w:rFonts w:ascii="Times New Roman" w:hAnsi="Times New Roman" w:cs="Times New Roman"/>
          <w:sz w:val="24"/>
          <w:szCs w:val="24"/>
        </w:rPr>
        <w:t>future work will</w:t>
      </w:r>
      <w:r w:rsidRPr="0025159D">
        <w:rPr>
          <w:rFonts w:ascii="Times New Roman" w:hAnsi="Times New Roman" w:cs="Times New Roman"/>
          <w:sz w:val="24"/>
          <w:szCs w:val="24"/>
        </w:rPr>
        <w:t xml:space="preserve"> incorporate modal </w:t>
      </w:r>
      <w:r w:rsidR="008170BC" w:rsidRPr="0025159D">
        <w:rPr>
          <w:rFonts w:ascii="Times New Roman" w:hAnsi="Times New Roman" w:cs="Times New Roman"/>
          <w:sz w:val="24"/>
          <w:szCs w:val="24"/>
        </w:rPr>
        <w:t xml:space="preserve">switching </w:t>
      </w:r>
      <w:r w:rsidRPr="0025159D">
        <w:rPr>
          <w:rFonts w:ascii="Times New Roman" w:hAnsi="Times New Roman" w:cs="Times New Roman"/>
          <w:sz w:val="24"/>
          <w:szCs w:val="24"/>
        </w:rPr>
        <w:t>into the Temoa framework.</w:t>
      </w:r>
      <w:r w:rsidR="0040347B" w:rsidRPr="0025159D">
        <w:rPr>
          <w:rFonts w:ascii="Times New Roman" w:hAnsi="Times New Roman" w:cs="Times New Roman"/>
          <w:sz w:val="24"/>
          <w:szCs w:val="24"/>
        </w:rPr>
        <w:fldChar w:fldCharType="begin"/>
      </w:r>
      <w:r w:rsidR="00A12FE9">
        <w:rPr>
          <w:rFonts w:ascii="Times New Roman" w:hAnsi="Times New Roman" w:cs="Times New Roman"/>
          <w:sz w:val="24"/>
          <w:szCs w:val="24"/>
        </w:rPr>
        <w:instrText xml:space="preserve"> ADDIN ZOTERO_ITEM CSL_CITATION {"citationID":"ifmyC4Vs","properties":{"formattedCitation":"\\super 21\\nosupersub{}","plainCitation":"21","noteIndex":0},"citationItems":[{"id":5264,"uris":["http://zotero.org/users/3151432/items/CT5N4GA9"],"itemData":{"id":5264,"type":"article-journal","container-title":"Environmental Research Letters","issue":"8","note":"publisher: IOP Publishing","page":"083001","title":"Decarbonizing intraregional freight systems with a focus on modal shift","volume":"13","author":[{"family":"Kaack","given":"Lynn H"},{"family":"Vaishnav","given":"Parth"},{"family":"Morgan","given":"M Granger"},{"family":"Azevedo","given":"Inês L"},{"family":"Rai","given":"Srijana"}],"issued":{"date-parts":[["2018"]]}}}],"schema":"https://github.com/citation-style-language/schema/raw/master/csl-citation.json"} </w:instrText>
      </w:r>
      <w:r w:rsidR="0040347B" w:rsidRPr="0025159D">
        <w:rPr>
          <w:rFonts w:ascii="Times New Roman" w:hAnsi="Times New Roman" w:cs="Times New Roman"/>
          <w:sz w:val="24"/>
          <w:szCs w:val="24"/>
        </w:rPr>
        <w:fldChar w:fldCharType="separate"/>
      </w:r>
      <w:r w:rsidR="00A12FE9" w:rsidRPr="00A12FE9">
        <w:rPr>
          <w:rFonts w:ascii="Times New Roman" w:hAnsi="Times New Roman" w:cs="Times New Roman"/>
          <w:sz w:val="24"/>
          <w:szCs w:val="24"/>
          <w:vertAlign w:val="superscript"/>
        </w:rPr>
        <w:t>21</w:t>
      </w:r>
      <w:r w:rsidR="0040347B" w:rsidRPr="0025159D">
        <w:rPr>
          <w:rFonts w:ascii="Times New Roman" w:hAnsi="Times New Roman" w:cs="Times New Roman"/>
          <w:sz w:val="24"/>
          <w:szCs w:val="24"/>
        </w:rPr>
        <w:fldChar w:fldCharType="end"/>
      </w:r>
    </w:p>
    <w:p w14:paraId="371DA6A8" w14:textId="66001776" w:rsidR="00CF5E57" w:rsidRDefault="00CF5E57" w:rsidP="00CF5E57">
      <w:pPr>
        <w:rPr>
          <w:rFonts w:ascii="Times New Roman" w:hAnsi="Times New Roman" w:cs="Times New Roman"/>
          <w:sz w:val="24"/>
          <w:szCs w:val="24"/>
        </w:rPr>
      </w:pPr>
      <w:r w:rsidRPr="0025159D">
        <w:rPr>
          <w:rFonts w:ascii="Times New Roman" w:hAnsi="Times New Roman" w:cs="Times New Roman"/>
          <w:sz w:val="24"/>
          <w:szCs w:val="24"/>
        </w:rPr>
        <w:t>We define technology-specific discount rates, or hurdle rates, for some technologies. Hurdle rates allow the modeler to account for consumer preferences otherwise ignored in a least-cost optimization model.</w:t>
      </w:r>
      <w:r w:rsidR="00AA71D7">
        <w:rPr>
          <w:rFonts w:ascii="Times New Roman" w:hAnsi="Times New Roman" w:cs="Times New Roman"/>
          <w:sz w:val="24"/>
          <w:szCs w:val="24"/>
        </w:rPr>
        <w:fldChar w:fldCharType="begin"/>
      </w:r>
      <w:r w:rsidR="00AA71D7">
        <w:rPr>
          <w:rFonts w:ascii="Times New Roman" w:hAnsi="Times New Roman" w:cs="Times New Roman"/>
          <w:sz w:val="24"/>
          <w:szCs w:val="24"/>
        </w:rPr>
        <w:instrText xml:space="preserve"> ADDIN ZOTERO_ITEM CSL_CITATION {"citationID":"9qUUWELg","properties":{"formattedCitation":"\\super 22\\nosupersub{}","plainCitation":"22","noteIndex":0},"citationItems":[{"id":5268,"uris":["http://zotero.org/users/3151432/items/QLXJ6ZMF"],"itemData":{"id":5268,"type":"article-journal","container-title":"Transportation Research Part D: Transport and Environment","note":"publisher: Elsevier","page":"322–342","title":"Improving the behavioral realism of global integrated assessment models: An application to consumers’ vehicle choices","volume":"55","author":[{"family":"McCollum","given":"David L"},{"family":"Wilson","given":"Charlie"},{"family":"Pettifor","given":"Hazel"},{"family":"Ramea","given":"Kalai"},{"family":"Krey","given":"Volker"},{"family":"Riahi","given":"Keywan"},{"family":"Bertram","given":"Christoph"},{"family":"Lin","given":"Zhenhong"},{"family":"Edelenbosch","given":"Oreane Y"},{"family":"Fujisawa","given":"Sei"}],"issued":{"date-parts":[["2017"]]}}}],"schema":"https://github.com/citation-style-language/schema/raw/master/csl-citation.json"} </w:instrText>
      </w:r>
      <w:r w:rsidR="00AA71D7">
        <w:rPr>
          <w:rFonts w:ascii="Times New Roman" w:hAnsi="Times New Roman" w:cs="Times New Roman"/>
          <w:sz w:val="24"/>
          <w:szCs w:val="24"/>
        </w:rPr>
        <w:fldChar w:fldCharType="separate"/>
      </w:r>
      <w:r w:rsidR="00AA71D7" w:rsidRPr="00AA71D7">
        <w:rPr>
          <w:rFonts w:ascii="Times New Roman" w:hAnsi="Times New Roman" w:cs="Times New Roman"/>
          <w:sz w:val="24"/>
          <w:szCs w:val="24"/>
          <w:vertAlign w:val="superscript"/>
        </w:rPr>
        <w:t>22</w:t>
      </w:r>
      <w:r w:rsidR="00AA71D7">
        <w:rPr>
          <w:rFonts w:ascii="Times New Roman" w:hAnsi="Times New Roman" w:cs="Times New Roman"/>
          <w:sz w:val="24"/>
          <w:szCs w:val="24"/>
        </w:rPr>
        <w:fldChar w:fldCharType="end"/>
      </w:r>
      <w:r w:rsidRPr="0025159D">
        <w:rPr>
          <w:rFonts w:ascii="Times New Roman" w:hAnsi="Times New Roman" w:cs="Times New Roman"/>
          <w:sz w:val="24"/>
          <w:szCs w:val="24"/>
        </w:rPr>
        <w:t xml:space="preserve"> In the light-duty vehicle sector, we assume that conventional and hybrid gasoline-fueled vehicles (excluding plug-in hybrid vehicles) have a 5% hurdle rate, equal to the model's global discount rate, and all other powertrains have a 6% </w:t>
      </w:r>
      <w:r w:rsidR="00AA71D7">
        <w:rPr>
          <w:rFonts w:ascii="Times New Roman" w:hAnsi="Times New Roman" w:cs="Times New Roman"/>
          <w:sz w:val="24"/>
          <w:szCs w:val="24"/>
        </w:rPr>
        <w:t>hurdle</w:t>
      </w:r>
      <w:r w:rsidR="00AA71D7"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rate. For heavy-duty vehicles, conventional technologies have a 5% </w:t>
      </w:r>
      <w:r w:rsidR="00AA71D7">
        <w:rPr>
          <w:rFonts w:ascii="Times New Roman" w:hAnsi="Times New Roman" w:cs="Times New Roman"/>
          <w:sz w:val="24"/>
          <w:szCs w:val="24"/>
        </w:rPr>
        <w:t>hurdle</w:t>
      </w:r>
      <w:r w:rsidR="00AA71D7" w:rsidRPr="0025159D">
        <w:rPr>
          <w:rFonts w:ascii="Times New Roman" w:hAnsi="Times New Roman" w:cs="Times New Roman"/>
          <w:sz w:val="24"/>
          <w:szCs w:val="24"/>
        </w:rPr>
        <w:t xml:space="preserve"> </w:t>
      </w:r>
      <w:r w:rsidRPr="0025159D">
        <w:rPr>
          <w:rFonts w:ascii="Times New Roman" w:hAnsi="Times New Roman" w:cs="Times New Roman"/>
          <w:sz w:val="24"/>
          <w:szCs w:val="24"/>
        </w:rPr>
        <w:t>rate</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and alternative-fueled vehicles have a 10% </w:t>
      </w:r>
      <w:r w:rsidR="00AA71D7">
        <w:rPr>
          <w:rFonts w:ascii="Times New Roman" w:hAnsi="Times New Roman" w:cs="Times New Roman"/>
          <w:sz w:val="24"/>
          <w:szCs w:val="24"/>
        </w:rPr>
        <w:t>hurdle</w:t>
      </w:r>
      <w:r w:rsidR="00AA71D7" w:rsidRPr="0025159D">
        <w:rPr>
          <w:rFonts w:ascii="Times New Roman" w:hAnsi="Times New Roman" w:cs="Times New Roman"/>
          <w:sz w:val="24"/>
          <w:szCs w:val="24"/>
        </w:rPr>
        <w:t xml:space="preserve"> </w:t>
      </w:r>
      <w:r w:rsidRPr="0025159D">
        <w:rPr>
          <w:rFonts w:ascii="Times New Roman" w:hAnsi="Times New Roman" w:cs="Times New Roman"/>
          <w:sz w:val="24"/>
          <w:szCs w:val="24"/>
        </w:rPr>
        <w:t>rate.</w:t>
      </w:r>
    </w:p>
    <w:p w14:paraId="44092D3A" w14:textId="77777777" w:rsidR="00B25A8F" w:rsidRPr="0025159D" w:rsidRDefault="00B25A8F" w:rsidP="00CF5E57">
      <w:pPr>
        <w:rPr>
          <w:rFonts w:ascii="Times New Roman" w:hAnsi="Times New Roman" w:cs="Times New Roman"/>
          <w:sz w:val="24"/>
          <w:szCs w:val="24"/>
        </w:rPr>
      </w:pPr>
    </w:p>
    <w:p w14:paraId="372B5BE3" w14:textId="2E5A9762" w:rsidR="00720EFF" w:rsidRPr="0025159D" w:rsidRDefault="007A62DB" w:rsidP="003150B8">
      <w:pPr>
        <w:rPr>
          <w:rFonts w:ascii="Times New Roman" w:hAnsi="Times New Roman" w:cs="Times New Roman"/>
          <w:b/>
          <w:bCs/>
          <w:sz w:val="24"/>
          <w:szCs w:val="24"/>
        </w:rPr>
      </w:pPr>
      <w:r w:rsidRPr="0025159D">
        <w:rPr>
          <w:rFonts w:ascii="Times New Roman" w:hAnsi="Times New Roman" w:cs="Times New Roman"/>
          <w:b/>
          <w:bCs/>
          <w:sz w:val="24"/>
          <w:szCs w:val="24"/>
        </w:rPr>
        <w:lastRenderedPageBreak/>
        <w:fldChar w:fldCharType="begin"/>
      </w:r>
      <w:r w:rsidRPr="0025159D">
        <w:rPr>
          <w:rFonts w:ascii="Times New Roman" w:hAnsi="Times New Roman" w:cs="Times New Roman"/>
          <w:b/>
          <w:bCs/>
          <w:sz w:val="24"/>
          <w:szCs w:val="24"/>
        </w:rPr>
        <w:instrText xml:space="preserve"> REF _Ref149837353 \h </w:instrText>
      </w:r>
      <w:r w:rsidR="0025159D" w:rsidRPr="0025159D">
        <w:rPr>
          <w:rFonts w:ascii="Times New Roman" w:hAnsi="Times New Roman" w:cs="Times New Roman"/>
          <w:b/>
          <w:bCs/>
          <w:sz w:val="24"/>
          <w:szCs w:val="24"/>
        </w:rPr>
        <w:instrText xml:space="preserve"> \* MERGEFORMAT </w:instrText>
      </w:r>
      <w:r w:rsidRPr="0025159D">
        <w:rPr>
          <w:rFonts w:ascii="Times New Roman" w:hAnsi="Times New Roman" w:cs="Times New Roman"/>
          <w:b/>
          <w:bCs/>
          <w:sz w:val="24"/>
          <w:szCs w:val="24"/>
        </w:rPr>
      </w:r>
      <w:r w:rsidRPr="0025159D">
        <w:rPr>
          <w:rFonts w:ascii="Times New Roman" w:hAnsi="Times New Roman" w:cs="Times New Roman"/>
          <w:b/>
          <w:bCs/>
          <w:sz w:val="24"/>
          <w:szCs w:val="24"/>
        </w:rPr>
        <w:fldChar w:fldCharType="separate"/>
      </w:r>
      <w:r w:rsidRPr="0025159D">
        <w:rPr>
          <w:rFonts w:ascii="Times New Roman" w:hAnsi="Times New Roman" w:cs="Times New Roman"/>
          <w:b/>
          <w:bCs/>
          <w:sz w:val="24"/>
          <w:szCs w:val="24"/>
        </w:rPr>
        <w:t>Section S</w:t>
      </w:r>
      <w:r w:rsidRPr="0025159D">
        <w:rPr>
          <w:rFonts w:ascii="Times New Roman" w:hAnsi="Times New Roman" w:cs="Times New Roman"/>
          <w:b/>
          <w:bCs/>
          <w:noProof/>
          <w:sz w:val="24"/>
          <w:szCs w:val="24"/>
        </w:rPr>
        <w:t>4</w:t>
      </w:r>
      <w:r w:rsidRPr="0025159D">
        <w:rPr>
          <w:rFonts w:ascii="Times New Roman" w:hAnsi="Times New Roman" w:cs="Times New Roman"/>
          <w:b/>
          <w:bCs/>
          <w:sz w:val="24"/>
          <w:szCs w:val="24"/>
        </w:rPr>
        <w:fldChar w:fldCharType="end"/>
      </w:r>
      <w:r w:rsidR="00CF5E57" w:rsidRPr="0025159D">
        <w:rPr>
          <w:rFonts w:ascii="Times New Roman" w:hAnsi="Times New Roman" w:cs="Times New Roman"/>
          <w:b/>
          <w:bCs/>
          <w:sz w:val="24"/>
          <w:szCs w:val="24"/>
        </w:rPr>
        <w:t xml:space="preserve">.4 </w:t>
      </w:r>
      <w:r w:rsidR="00720EFF" w:rsidRPr="0025159D">
        <w:rPr>
          <w:rFonts w:ascii="Times New Roman" w:hAnsi="Times New Roman" w:cs="Times New Roman"/>
          <w:b/>
          <w:bCs/>
          <w:sz w:val="24"/>
          <w:szCs w:val="24"/>
        </w:rPr>
        <w:t>Industrial Sector:</w:t>
      </w:r>
    </w:p>
    <w:p w14:paraId="778D1E27" w14:textId="07430FC0" w:rsidR="00CF5E57" w:rsidRPr="0025159D" w:rsidRDefault="00CF5E57" w:rsidP="003150B8">
      <w:pPr>
        <w:rPr>
          <w:rFonts w:ascii="Times New Roman" w:hAnsi="Times New Roman" w:cs="Times New Roman"/>
          <w:sz w:val="24"/>
          <w:szCs w:val="24"/>
        </w:rPr>
      </w:pPr>
      <w:r w:rsidRPr="0025159D">
        <w:rPr>
          <w:rFonts w:ascii="Times New Roman" w:hAnsi="Times New Roman" w:cs="Times New Roman"/>
          <w:sz w:val="24"/>
          <w:szCs w:val="24"/>
        </w:rPr>
        <w:t>The industrial sector in the OEO database is subdivided into the manufacturing and non-manufacturing sectors. Their representation in the OEO database consists of two key components: 1) end-use service demands and 2) the demand technologies/processes used to meet those demands.</w:t>
      </w:r>
    </w:p>
    <w:p w14:paraId="63045833" w14:textId="6B4F5FD8" w:rsidR="00C3223E" w:rsidRDefault="00CF5E57" w:rsidP="00CF5E57">
      <w:pPr>
        <w:rPr>
          <w:rFonts w:ascii="Times New Roman" w:hAnsi="Times New Roman" w:cs="Times New Roman"/>
          <w:sz w:val="24"/>
          <w:szCs w:val="24"/>
        </w:rPr>
      </w:pPr>
      <w:r w:rsidRPr="0025159D">
        <w:rPr>
          <w:rFonts w:ascii="Times New Roman" w:hAnsi="Times New Roman" w:cs="Times New Roman"/>
          <w:b/>
          <w:bCs/>
          <w:sz w:val="24"/>
          <w:szCs w:val="24"/>
        </w:rPr>
        <w:t xml:space="preserve">Service Demands: </w:t>
      </w:r>
      <w:r w:rsidRPr="0025159D">
        <w:rPr>
          <w:rFonts w:ascii="Times New Roman" w:hAnsi="Times New Roman" w:cs="Times New Roman"/>
          <w:sz w:val="24"/>
          <w:szCs w:val="24"/>
        </w:rPr>
        <w:t xml:space="preserve">End-use demands in the industrial sector of the database are aggregated based on the North American Industry Classification System (NAICS). </w:t>
      </w:r>
      <w:r w:rsidR="00393CA6" w:rsidRPr="0025159D">
        <w:rPr>
          <w:rFonts w:ascii="Times New Roman" w:hAnsi="Times New Roman" w:cs="Times New Roman"/>
          <w:sz w:val="24"/>
          <w:szCs w:val="24"/>
        </w:rPr>
        <w:fldChar w:fldCharType="begin"/>
      </w:r>
      <w:r w:rsidR="00393CA6" w:rsidRPr="0025159D">
        <w:rPr>
          <w:rFonts w:ascii="Times New Roman" w:hAnsi="Times New Roman" w:cs="Times New Roman"/>
          <w:sz w:val="24"/>
          <w:szCs w:val="24"/>
        </w:rPr>
        <w:instrText xml:space="preserve"> REF _Ref149840738 \h  \* MERGEFORMAT </w:instrText>
      </w:r>
      <w:r w:rsidR="00393CA6" w:rsidRPr="0025159D">
        <w:rPr>
          <w:rFonts w:ascii="Times New Roman" w:hAnsi="Times New Roman" w:cs="Times New Roman"/>
          <w:sz w:val="24"/>
          <w:szCs w:val="24"/>
        </w:rPr>
      </w:r>
      <w:r w:rsidR="00393CA6" w:rsidRPr="0025159D">
        <w:rPr>
          <w:rFonts w:ascii="Times New Roman" w:hAnsi="Times New Roman" w:cs="Times New Roman"/>
          <w:sz w:val="24"/>
          <w:szCs w:val="24"/>
        </w:rPr>
        <w:fldChar w:fldCharType="separate"/>
      </w:r>
      <w:r w:rsidR="00393CA6" w:rsidRPr="0025159D">
        <w:rPr>
          <w:rFonts w:ascii="Times New Roman" w:hAnsi="Times New Roman" w:cs="Times New Roman"/>
          <w:sz w:val="24"/>
          <w:szCs w:val="24"/>
        </w:rPr>
        <w:t>Table S</w:t>
      </w:r>
      <w:r w:rsidR="00393CA6" w:rsidRPr="0025159D">
        <w:rPr>
          <w:rFonts w:ascii="Times New Roman" w:hAnsi="Times New Roman" w:cs="Times New Roman"/>
          <w:noProof/>
          <w:sz w:val="24"/>
          <w:szCs w:val="24"/>
        </w:rPr>
        <w:t>2</w:t>
      </w:r>
      <w:r w:rsidR="00393CA6" w:rsidRPr="0025159D">
        <w:rPr>
          <w:rFonts w:ascii="Times New Roman" w:hAnsi="Times New Roman" w:cs="Times New Roman"/>
          <w:sz w:val="24"/>
          <w:szCs w:val="24"/>
        </w:rPr>
        <w:fldChar w:fldCharType="end"/>
      </w:r>
      <w:r w:rsidR="00701F79"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shows the end-use demands represented, mapped to their NAICS codes. </w:t>
      </w:r>
      <w:r w:rsidR="00701F79" w:rsidRPr="0025159D">
        <w:rPr>
          <w:rFonts w:ascii="Times New Roman" w:hAnsi="Times New Roman" w:cs="Times New Roman"/>
          <w:sz w:val="24"/>
          <w:szCs w:val="24"/>
        </w:rPr>
        <w:t>T</w:t>
      </w:r>
      <w:r w:rsidRPr="0025159D">
        <w:rPr>
          <w:rFonts w:ascii="Times New Roman" w:hAnsi="Times New Roman" w:cs="Times New Roman"/>
          <w:sz w:val="24"/>
          <w:szCs w:val="24"/>
        </w:rPr>
        <w:t>he sector</w:t>
      </w:r>
      <w:r w:rsidR="00701F79" w:rsidRPr="0025159D">
        <w:rPr>
          <w:rFonts w:ascii="Times New Roman" w:hAnsi="Times New Roman" w:cs="Times New Roman"/>
          <w:sz w:val="24"/>
          <w:szCs w:val="24"/>
        </w:rPr>
        <w:t>s</w:t>
      </w:r>
      <w:r w:rsidRPr="0025159D">
        <w:rPr>
          <w:rFonts w:ascii="Times New Roman" w:hAnsi="Times New Roman" w:cs="Times New Roman"/>
          <w:sz w:val="24"/>
          <w:szCs w:val="24"/>
        </w:rPr>
        <w:t xml:space="preserve"> </w:t>
      </w:r>
      <w:r w:rsidR="00701F79" w:rsidRPr="0025159D">
        <w:rPr>
          <w:rFonts w:ascii="Times New Roman" w:hAnsi="Times New Roman" w:cs="Times New Roman"/>
          <w:sz w:val="24"/>
          <w:szCs w:val="24"/>
        </w:rPr>
        <w:t xml:space="preserve">represented here account for </w:t>
      </w:r>
      <w:r w:rsidRPr="0025159D">
        <w:rPr>
          <w:rFonts w:ascii="Times New Roman" w:hAnsi="Times New Roman" w:cs="Times New Roman"/>
          <w:sz w:val="24"/>
          <w:szCs w:val="24"/>
        </w:rPr>
        <w:t>approximately 99% of industrial energy consumption per the EIA. The demands for these industrial sub-sectors are represented in estimates of annual billion dollars of production shipment value</w:t>
      </w:r>
      <w:r w:rsidR="00CD25D3">
        <w:rPr>
          <w:rFonts w:ascii="Times New Roman" w:hAnsi="Times New Roman" w:cs="Times New Roman"/>
          <w:sz w:val="24"/>
          <w:szCs w:val="24"/>
        </w:rPr>
        <w:t>,</w:t>
      </w:r>
      <w:r w:rsidRPr="0025159D">
        <w:rPr>
          <w:rFonts w:ascii="Times New Roman" w:hAnsi="Times New Roman" w:cs="Times New Roman"/>
          <w:sz w:val="24"/>
          <w:szCs w:val="24"/>
        </w:rPr>
        <w:t xml:space="preserve"> </w:t>
      </w:r>
      <w:r w:rsidR="008E0DB6">
        <w:rPr>
          <w:rFonts w:ascii="Times New Roman" w:hAnsi="Times New Roman" w:cs="Times New Roman"/>
          <w:sz w:val="24"/>
          <w:szCs w:val="24"/>
        </w:rPr>
        <w:t>except</w:t>
      </w:r>
      <w:r w:rsidRPr="0025159D">
        <w:rPr>
          <w:rFonts w:ascii="Times New Roman" w:hAnsi="Times New Roman" w:cs="Times New Roman"/>
          <w:sz w:val="24"/>
          <w:szCs w:val="24"/>
        </w:rPr>
        <w:t xml:space="preserve"> cement manufacturing, where demands are instead represented </w:t>
      </w:r>
      <w:r w:rsidR="00CD25D3">
        <w:rPr>
          <w:rFonts w:ascii="Times New Roman" w:hAnsi="Times New Roman" w:cs="Times New Roman"/>
          <w:sz w:val="24"/>
          <w:szCs w:val="24"/>
        </w:rPr>
        <w:t>in a million</w:t>
      </w:r>
      <w:r w:rsidRPr="0025159D">
        <w:rPr>
          <w:rFonts w:ascii="Times New Roman" w:hAnsi="Times New Roman" w:cs="Times New Roman"/>
          <w:sz w:val="24"/>
          <w:szCs w:val="24"/>
        </w:rPr>
        <w:t xml:space="preserve"> metric tons of cement production. These demands are derived from the Manufacturing Energy Consumption Survey (MECS) for the base year 2014 on a U.S. state-by-state basis. The </w:t>
      </w:r>
      <w:r w:rsidR="00701F79" w:rsidRPr="0025159D">
        <w:rPr>
          <w:rFonts w:ascii="Times New Roman" w:hAnsi="Times New Roman" w:cs="Times New Roman"/>
          <w:sz w:val="24"/>
          <w:szCs w:val="24"/>
        </w:rPr>
        <w:t xml:space="preserve">state-based </w:t>
      </w:r>
      <w:r w:rsidRPr="0025159D">
        <w:rPr>
          <w:rFonts w:ascii="Times New Roman" w:hAnsi="Times New Roman" w:cs="Times New Roman"/>
          <w:sz w:val="24"/>
          <w:szCs w:val="24"/>
        </w:rPr>
        <w:t xml:space="preserve">demands are then aggregated </w:t>
      </w:r>
      <w:r w:rsidR="00701F79" w:rsidRPr="0025159D">
        <w:rPr>
          <w:rFonts w:ascii="Times New Roman" w:hAnsi="Times New Roman" w:cs="Times New Roman"/>
          <w:sz w:val="24"/>
          <w:szCs w:val="24"/>
        </w:rPr>
        <w:t xml:space="preserve">into the </w:t>
      </w:r>
      <w:r w:rsidRPr="0025159D">
        <w:rPr>
          <w:rFonts w:ascii="Times New Roman" w:hAnsi="Times New Roman" w:cs="Times New Roman"/>
          <w:sz w:val="24"/>
          <w:szCs w:val="24"/>
        </w:rPr>
        <w:t>regions shown in</w:t>
      </w:r>
      <w:r w:rsidR="00393CA6" w:rsidRPr="0025159D">
        <w:rPr>
          <w:rFonts w:ascii="Times New Roman" w:hAnsi="Times New Roman" w:cs="Times New Roman"/>
          <w:sz w:val="24"/>
          <w:szCs w:val="24"/>
        </w:rPr>
        <w:t xml:space="preserve"> </w:t>
      </w:r>
      <w:r w:rsidR="00393CA6" w:rsidRPr="0025159D">
        <w:rPr>
          <w:rFonts w:ascii="Times New Roman" w:hAnsi="Times New Roman" w:cs="Times New Roman"/>
          <w:sz w:val="24"/>
          <w:szCs w:val="24"/>
        </w:rPr>
        <w:fldChar w:fldCharType="begin"/>
      </w:r>
      <w:r w:rsidR="00393CA6" w:rsidRPr="0025159D">
        <w:rPr>
          <w:rFonts w:ascii="Times New Roman" w:hAnsi="Times New Roman" w:cs="Times New Roman"/>
          <w:sz w:val="24"/>
          <w:szCs w:val="24"/>
        </w:rPr>
        <w:instrText xml:space="preserve"> REF _Ref149838405 \h  \* MERGEFORMAT </w:instrText>
      </w:r>
      <w:r w:rsidR="00393CA6" w:rsidRPr="0025159D">
        <w:rPr>
          <w:rFonts w:ascii="Times New Roman" w:hAnsi="Times New Roman" w:cs="Times New Roman"/>
          <w:sz w:val="24"/>
          <w:szCs w:val="24"/>
        </w:rPr>
      </w:r>
      <w:r w:rsidR="00393CA6" w:rsidRPr="0025159D">
        <w:rPr>
          <w:rFonts w:ascii="Times New Roman" w:hAnsi="Times New Roman" w:cs="Times New Roman"/>
          <w:sz w:val="24"/>
          <w:szCs w:val="24"/>
        </w:rPr>
        <w:fldChar w:fldCharType="separate"/>
      </w:r>
      <w:r w:rsidR="00393CA6" w:rsidRPr="0025159D">
        <w:rPr>
          <w:rFonts w:ascii="Times New Roman" w:hAnsi="Times New Roman" w:cs="Times New Roman"/>
          <w:sz w:val="24"/>
          <w:szCs w:val="24"/>
        </w:rPr>
        <w:t>Figure S</w:t>
      </w:r>
      <w:r w:rsidR="00393CA6" w:rsidRPr="0025159D">
        <w:rPr>
          <w:rFonts w:ascii="Times New Roman" w:hAnsi="Times New Roman" w:cs="Times New Roman"/>
          <w:noProof/>
          <w:sz w:val="24"/>
          <w:szCs w:val="24"/>
        </w:rPr>
        <w:t>1</w:t>
      </w:r>
      <w:r w:rsidR="00393CA6" w:rsidRPr="0025159D">
        <w:rPr>
          <w:rFonts w:ascii="Times New Roman" w:hAnsi="Times New Roman" w:cs="Times New Roman"/>
          <w:sz w:val="24"/>
          <w:szCs w:val="24"/>
        </w:rPr>
        <w:fldChar w:fldCharType="end"/>
      </w:r>
      <w:r w:rsidRPr="0025159D">
        <w:rPr>
          <w:rFonts w:ascii="Times New Roman" w:hAnsi="Times New Roman" w:cs="Times New Roman"/>
          <w:sz w:val="24"/>
          <w:szCs w:val="24"/>
        </w:rPr>
        <w:t>.</w:t>
      </w:r>
      <w:r w:rsidRPr="0025159D">
        <w:rPr>
          <w:rFonts w:ascii="Times New Roman" w:hAnsi="Times New Roman" w:cs="Times New Roman"/>
          <w:b/>
          <w:bCs/>
          <w:sz w:val="24"/>
          <w:szCs w:val="24"/>
        </w:rPr>
        <w:t xml:space="preserve"> </w:t>
      </w:r>
      <w:r w:rsidR="00CD25D3">
        <w:rPr>
          <w:rFonts w:ascii="Times New Roman" w:hAnsi="Times New Roman" w:cs="Times New Roman"/>
          <w:sz w:val="24"/>
          <w:szCs w:val="24"/>
        </w:rPr>
        <w:t>Subsector-specific</w:t>
      </w:r>
      <w:r w:rsidRPr="0025159D">
        <w:rPr>
          <w:rFonts w:ascii="Times New Roman" w:hAnsi="Times New Roman" w:cs="Times New Roman"/>
          <w:sz w:val="24"/>
          <w:szCs w:val="24"/>
        </w:rPr>
        <w:t xml:space="preserve"> growth rates are applied to the end-use demands in the industrial sector. For example, growth in demand in the petroleum refining and the iron and steel mills and ferroalloys sub-sectors are assumed to be flat based on the refinery utilization and iron and steel manufacturing projections and in the AEO</w:t>
      </w:r>
      <w:r w:rsidR="00701F79" w:rsidRPr="0025159D">
        <w:rPr>
          <w:rFonts w:ascii="Times New Roman" w:hAnsi="Times New Roman" w:cs="Times New Roman"/>
          <w:sz w:val="24"/>
          <w:szCs w:val="24"/>
        </w:rPr>
        <w:t xml:space="preserve"> </w:t>
      </w:r>
      <w:r w:rsidRPr="0025159D">
        <w:rPr>
          <w:rFonts w:ascii="Times New Roman" w:hAnsi="Times New Roman" w:cs="Times New Roman"/>
          <w:sz w:val="24"/>
          <w:szCs w:val="24"/>
        </w:rPr>
        <w:t xml:space="preserve">reference case. </w:t>
      </w:r>
      <w:r w:rsidR="00053E7A">
        <w:rPr>
          <w:rFonts w:ascii="Times New Roman" w:hAnsi="Times New Roman" w:cs="Times New Roman"/>
          <w:sz w:val="24"/>
          <w:szCs w:val="24"/>
        </w:rPr>
        <w:t>Based on other work, the demand for plastic and rubber products is assumed to increase by 3% annually from 2020 to 2050</w:t>
      </w:r>
      <w:r w:rsidRPr="0025159D">
        <w:rPr>
          <w:rFonts w:ascii="Times New Roman" w:hAnsi="Times New Roman" w:cs="Times New Roman"/>
          <w:sz w:val="24"/>
          <w:szCs w:val="24"/>
        </w:rPr>
        <w:t>.</w:t>
      </w:r>
      <w:r w:rsidR="00393CA6" w:rsidRPr="0025159D">
        <w:rPr>
          <w:rFonts w:ascii="Times New Roman" w:hAnsi="Times New Roman" w:cs="Times New Roman"/>
          <w:sz w:val="24"/>
          <w:szCs w:val="24"/>
        </w:rPr>
        <w:fldChar w:fldCharType="begin"/>
      </w:r>
      <w:r w:rsidR="00AA71D7">
        <w:rPr>
          <w:rFonts w:ascii="Times New Roman" w:hAnsi="Times New Roman" w:cs="Times New Roman"/>
          <w:sz w:val="24"/>
          <w:szCs w:val="24"/>
        </w:rPr>
        <w:instrText xml:space="preserve"> ADDIN ZOTERO_ITEM CSL_CITATION {"citationID":"L8pYGc1m","properties":{"formattedCitation":"\\super 23\\nosupersub{}","plainCitation":"23","noteIndex":0},"citationItems":[{"id":5265,"uris":["http://zotero.org/users/3151432/items/U774LASZ"],"itemData":{"id":5265,"type":"article-journal","container-title":"Science","issue":"6563","note":"publisher: American Association for the Advancement of Science","page":"71–76","title":"Achieving net-zero greenhouse gas emission plastics by a circular carbon economy","volume":"374","author":[{"family":"Meys","given":"Raoul"},{"family":"Kätelhön","given":"Arne"},{"family":"Bachmann","given":"Marvin"},{"family":"Winter","given":"Benedikt"},{"family":"Zibunas","given":"Christian"},{"family":"Suh","given":"Sangwon"},{"family":"Bardow","given":"André"}],"issued":{"date-parts":[["2021"]]}}}],"schema":"https://github.com/citation-style-language/schema/raw/master/csl-citation.json"} </w:instrText>
      </w:r>
      <w:r w:rsidR="00393CA6" w:rsidRPr="0025159D">
        <w:rPr>
          <w:rFonts w:ascii="Times New Roman" w:hAnsi="Times New Roman" w:cs="Times New Roman"/>
          <w:sz w:val="24"/>
          <w:szCs w:val="24"/>
        </w:rPr>
        <w:fldChar w:fldCharType="separate"/>
      </w:r>
      <w:r w:rsidR="00AA71D7" w:rsidRPr="00AA71D7">
        <w:rPr>
          <w:rFonts w:ascii="Times New Roman" w:hAnsi="Times New Roman" w:cs="Times New Roman"/>
          <w:sz w:val="24"/>
          <w:szCs w:val="24"/>
          <w:vertAlign w:val="superscript"/>
        </w:rPr>
        <w:t>23</w:t>
      </w:r>
      <w:r w:rsidR="00393CA6"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The growth in demand </w:t>
      </w:r>
      <w:r w:rsidR="00CD25D3">
        <w:rPr>
          <w:rFonts w:ascii="Times New Roman" w:hAnsi="Times New Roman" w:cs="Times New Roman"/>
          <w:sz w:val="24"/>
          <w:szCs w:val="24"/>
        </w:rPr>
        <w:t>for</w:t>
      </w:r>
      <w:r w:rsidRPr="0025159D">
        <w:rPr>
          <w:rFonts w:ascii="Times New Roman" w:hAnsi="Times New Roman" w:cs="Times New Roman"/>
          <w:sz w:val="24"/>
          <w:szCs w:val="24"/>
        </w:rPr>
        <w:t xml:space="preserve"> cement manufacturing is also taken from </w:t>
      </w:r>
      <w:r w:rsidR="00CD25D3">
        <w:rPr>
          <w:rFonts w:ascii="Times New Roman" w:hAnsi="Times New Roman" w:cs="Times New Roman"/>
          <w:sz w:val="24"/>
          <w:szCs w:val="24"/>
        </w:rPr>
        <w:t xml:space="preserve">the </w:t>
      </w:r>
      <w:r w:rsidRPr="0025159D">
        <w:rPr>
          <w:rFonts w:ascii="Times New Roman" w:hAnsi="Times New Roman" w:cs="Times New Roman"/>
          <w:sz w:val="24"/>
          <w:szCs w:val="24"/>
        </w:rPr>
        <w:t>AEO reference case. Finally, the growth rates of all other manufacturing and non-manufacturing sub-sectors are assumed to increase at an annual rate of 1%.</w:t>
      </w:r>
    </w:p>
    <w:p w14:paraId="6057D501" w14:textId="77777777" w:rsidR="00C3223E" w:rsidRDefault="00C3223E">
      <w:pPr>
        <w:rPr>
          <w:rFonts w:ascii="Times New Roman" w:hAnsi="Times New Roman" w:cs="Times New Roman"/>
          <w:sz w:val="24"/>
          <w:szCs w:val="24"/>
        </w:rPr>
      </w:pPr>
      <w:r>
        <w:rPr>
          <w:rFonts w:ascii="Times New Roman" w:hAnsi="Times New Roman" w:cs="Times New Roman"/>
          <w:sz w:val="24"/>
          <w:szCs w:val="24"/>
        </w:rPr>
        <w:br w:type="page"/>
      </w:r>
    </w:p>
    <w:p w14:paraId="4A816278" w14:textId="3CFBF715" w:rsidR="00CF5E57" w:rsidRPr="0025159D" w:rsidRDefault="00393CA6" w:rsidP="00D0274A">
      <w:pPr>
        <w:pStyle w:val="Caption"/>
        <w:rPr>
          <w:rFonts w:ascii="Times New Roman" w:hAnsi="Times New Roman" w:cs="Times New Roman"/>
          <w:b/>
          <w:bCs/>
          <w:sz w:val="24"/>
          <w:szCs w:val="24"/>
        </w:rPr>
      </w:pPr>
      <w:bookmarkStart w:id="11" w:name="_Ref149840738"/>
      <w:r w:rsidRPr="0025159D">
        <w:rPr>
          <w:rFonts w:ascii="Times New Roman" w:hAnsi="Times New Roman" w:cs="Times New Roman"/>
          <w:b/>
          <w:bCs/>
          <w:i w:val="0"/>
          <w:iCs w:val="0"/>
          <w:color w:val="auto"/>
          <w:sz w:val="24"/>
          <w:szCs w:val="24"/>
        </w:rPr>
        <w:lastRenderedPageBreak/>
        <w:t>Table S</w:t>
      </w:r>
      <w:r w:rsidRPr="0025159D">
        <w:rPr>
          <w:rFonts w:ascii="Times New Roman" w:hAnsi="Times New Roman" w:cs="Times New Roman"/>
          <w:b/>
          <w:bCs/>
          <w:i w:val="0"/>
          <w:iCs w:val="0"/>
          <w:color w:val="auto"/>
          <w:sz w:val="24"/>
          <w:szCs w:val="24"/>
        </w:rPr>
        <w:fldChar w:fldCharType="begin"/>
      </w:r>
      <w:r w:rsidRPr="0025159D">
        <w:rPr>
          <w:rFonts w:ascii="Times New Roman" w:hAnsi="Times New Roman" w:cs="Times New Roman"/>
          <w:b/>
          <w:bCs/>
          <w:i w:val="0"/>
          <w:iCs w:val="0"/>
          <w:color w:val="auto"/>
          <w:sz w:val="24"/>
          <w:szCs w:val="24"/>
        </w:rPr>
        <w:instrText xml:space="preserve"> SEQ Table_S \* ARABIC </w:instrText>
      </w:r>
      <w:r w:rsidRPr="0025159D">
        <w:rPr>
          <w:rFonts w:ascii="Times New Roman" w:hAnsi="Times New Roman" w:cs="Times New Roman"/>
          <w:b/>
          <w:bCs/>
          <w:i w:val="0"/>
          <w:iCs w:val="0"/>
          <w:color w:val="auto"/>
          <w:sz w:val="24"/>
          <w:szCs w:val="24"/>
        </w:rPr>
        <w:fldChar w:fldCharType="separate"/>
      </w:r>
      <w:r w:rsidR="00E367B7" w:rsidRPr="0025159D">
        <w:rPr>
          <w:rFonts w:ascii="Times New Roman" w:hAnsi="Times New Roman" w:cs="Times New Roman"/>
          <w:b/>
          <w:bCs/>
          <w:i w:val="0"/>
          <w:iCs w:val="0"/>
          <w:noProof/>
          <w:color w:val="auto"/>
          <w:sz w:val="24"/>
          <w:szCs w:val="24"/>
        </w:rPr>
        <w:t>2</w:t>
      </w:r>
      <w:r w:rsidRPr="0025159D">
        <w:rPr>
          <w:rFonts w:ascii="Times New Roman" w:hAnsi="Times New Roman" w:cs="Times New Roman"/>
          <w:b/>
          <w:bCs/>
          <w:i w:val="0"/>
          <w:iCs w:val="0"/>
          <w:color w:val="auto"/>
          <w:sz w:val="24"/>
          <w:szCs w:val="24"/>
        </w:rPr>
        <w:fldChar w:fldCharType="end"/>
      </w:r>
      <w:bookmarkEnd w:id="11"/>
      <w:r w:rsidRPr="0025159D">
        <w:rPr>
          <w:rFonts w:ascii="Times New Roman" w:hAnsi="Times New Roman" w:cs="Times New Roman"/>
          <w:b/>
          <w:bCs/>
          <w:i w:val="0"/>
          <w:iCs w:val="0"/>
          <w:color w:val="auto"/>
          <w:sz w:val="24"/>
          <w:szCs w:val="24"/>
        </w:rPr>
        <w:t>:</w:t>
      </w:r>
      <w:r w:rsidR="00CF5E57" w:rsidRPr="0025159D">
        <w:rPr>
          <w:rFonts w:ascii="Times New Roman" w:hAnsi="Times New Roman" w:cs="Times New Roman"/>
          <w:b/>
          <w:bCs/>
          <w:i w:val="0"/>
          <w:iCs w:val="0"/>
          <w:color w:val="auto"/>
          <w:sz w:val="24"/>
          <w:szCs w:val="24"/>
        </w:rPr>
        <w:t xml:space="preserve"> Annual service demand categories </w:t>
      </w:r>
      <w:r w:rsidR="00E367B7" w:rsidRPr="0025159D">
        <w:rPr>
          <w:rFonts w:ascii="Times New Roman" w:hAnsi="Times New Roman" w:cs="Times New Roman"/>
          <w:b/>
          <w:bCs/>
          <w:i w:val="0"/>
          <w:iCs w:val="0"/>
          <w:color w:val="auto"/>
          <w:sz w:val="24"/>
          <w:szCs w:val="24"/>
        </w:rPr>
        <w:t>making up the Industrial Sector</w:t>
      </w:r>
      <w:r w:rsidR="00CF5E57" w:rsidRPr="0025159D">
        <w:rPr>
          <w:rFonts w:ascii="Times New Roman" w:hAnsi="Times New Roman" w:cs="Times New Roman"/>
          <w:b/>
          <w:bCs/>
          <w:i w:val="0"/>
          <w:iCs w:val="0"/>
          <w:color w:val="auto"/>
          <w:sz w:val="24"/>
          <w:szCs w:val="24"/>
        </w:rPr>
        <w:t>.</w:t>
      </w:r>
    </w:p>
    <w:p w14:paraId="1CA9A4A0" w14:textId="243D6F98" w:rsidR="00720EFF" w:rsidRPr="0025159D" w:rsidRDefault="00CF5E57" w:rsidP="00CF5E57">
      <w:pPr>
        <w:jc w:val="center"/>
        <w:rPr>
          <w:rFonts w:ascii="Times New Roman" w:hAnsi="Times New Roman" w:cs="Times New Roman"/>
          <w:sz w:val="24"/>
          <w:szCs w:val="24"/>
        </w:rPr>
      </w:pPr>
      <w:r w:rsidRPr="0025159D">
        <w:rPr>
          <w:rFonts w:ascii="Times New Roman" w:hAnsi="Times New Roman" w:cs="Times New Roman"/>
          <w:noProof/>
          <w:sz w:val="24"/>
          <w:szCs w:val="24"/>
          <w14:ligatures w14:val="standardContextual"/>
        </w:rPr>
        <w:drawing>
          <wp:inline distT="0" distB="0" distL="0" distR="0" wp14:anchorId="63EED230" wp14:editId="17407057">
            <wp:extent cx="2421731" cy="3228975"/>
            <wp:effectExtent l="0" t="0" r="0" b="0"/>
            <wp:docPr id="649346990" name="Picture 1" descr="A list of manufacturing produ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346990" name="Picture 1" descr="A list of manufacturing products&#10;&#10;Description automatically generated"/>
                    <pic:cNvPicPr/>
                  </pic:nvPicPr>
                  <pic:blipFill>
                    <a:blip r:embed="rId11"/>
                    <a:stretch>
                      <a:fillRect/>
                    </a:stretch>
                  </pic:blipFill>
                  <pic:spPr>
                    <a:xfrm>
                      <a:off x="0" y="0"/>
                      <a:ext cx="2426122" cy="3234829"/>
                    </a:xfrm>
                    <a:prstGeom prst="rect">
                      <a:avLst/>
                    </a:prstGeom>
                  </pic:spPr>
                </pic:pic>
              </a:graphicData>
            </a:graphic>
          </wp:inline>
        </w:drawing>
      </w:r>
    </w:p>
    <w:p w14:paraId="6A6D9DE8" w14:textId="56FD7CA2" w:rsidR="00041739" w:rsidRPr="0025159D" w:rsidRDefault="00CF5E57" w:rsidP="00CF5E57">
      <w:pPr>
        <w:rPr>
          <w:rFonts w:ascii="Times New Roman" w:hAnsi="Times New Roman" w:cs="Times New Roman"/>
          <w:sz w:val="24"/>
          <w:szCs w:val="24"/>
        </w:rPr>
      </w:pPr>
      <w:r w:rsidRPr="0025159D">
        <w:rPr>
          <w:rFonts w:ascii="Times New Roman" w:hAnsi="Times New Roman" w:cs="Times New Roman"/>
          <w:b/>
          <w:bCs/>
          <w:sz w:val="24"/>
          <w:szCs w:val="24"/>
        </w:rPr>
        <w:t xml:space="preserve">Demand Technology Specification: </w:t>
      </w:r>
      <w:r w:rsidR="00701F79" w:rsidRPr="0025159D">
        <w:rPr>
          <w:rFonts w:ascii="Times New Roman" w:hAnsi="Times New Roman" w:cs="Times New Roman"/>
          <w:sz w:val="24"/>
          <w:szCs w:val="24"/>
        </w:rPr>
        <w:t>Due to the heterogeneous nature of the industrial sector</w:t>
      </w:r>
      <w:r w:rsidRPr="0025159D">
        <w:rPr>
          <w:rFonts w:ascii="Times New Roman" w:hAnsi="Times New Roman" w:cs="Times New Roman"/>
          <w:sz w:val="24"/>
          <w:szCs w:val="24"/>
        </w:rPr>
        <w:t>, explicit end-use technology options with costs and efficiencies are not depicted for most</w:t>
      </w:r>
      <w:r w:rsidR="00701F79" w:rsidRPr="0025159D">
        <w:rPr>
          <w:rFonts w:ascii="Times New Roman" w:hAnsi="Times New Roman" w:cs="Times New Roman"/>
          <w:sz w:val="24"/>
          <w:szCs w:val="24"/>
        </w:rPr>
        <w:t xml:space="preserve"> </w:t>
      </w:r>
      <w:r w:rsidRPr="0025159D">
        <w:rPr>
          <w:rFonts w:ascii="Times New Roman" w:hAnsi="Times New Roman" w:cs="Times New Roman"/>
          <w:sz w:val="24"/>
          <w:szCs w:val="24"/>
        </w:rPr>
        <w:t>su</w:t>
      </w:r>
      <w:r w:rsidR="00701F79" w:rsidRPr="0025159D">
        <w:rPr>
          <w:rFonts w:ascii="Times New Roman" w:hAnsi="Times New Roman" w:cs="Times New Roman"/>
          <w:sz w:val="24"/>
          <w:szCs w:val="24"/>
        </w:rPr>
        <w:t>b</w:t>
      </w:r>
      <w:r w:rsidRPr="0025159D">
        <w:rPr>
          <w:rFonts w:ascii="Times New Roman" w:hAnsi="Times New Roman" w:cs="Times New Roman"/>
          <w:sz w:val="24"/>
          <w:szCs w:val="24"/>
        </w:rPr>
        <w:t xml:space="preserve">sectors. Instead, we consider the major energy consumed by common industrial processes </w:t>
      </w:r>
      <w:r w:rsidR="00053E7A">
        <w:rPr>
          <w:rFonts w:ascii="Times New Roman" w:hAnsi="Times New Roman" w:cs="Times New Roman"/>
          <w:sz w:val="24"/>
          <w:szCs w:val="24"/>
        </w:rPr>
        <w:t>to</w:t>
      </w:r>
      <w:r w:rsidRPr="0025159D">
        <w:rPr>
          <w:rFonts w:ascii="Times New Roman" w:hAnsi="Times New Roman" w:cs="Times New Roman"/>
          <w:sz w:val="24"/>
          <w:szCs w:val="24"/>
        </w:rPr>
        <w:t xml:space="preserve"> account for the heterogeneity across the industrial sector. These industrial processes include 1) process heating, 2) conventional boiler use, 3) combined heat and power or co-generation systems, 4) machine drives, 5) facility heating ventilation and air conditioning systems, 6) process cooling and refrigeration and 7) a catch-all 'other' energy use category.</w:t>
      </w:r>
      <w:r w:rsidR="00701F79" w:rsidRPr="0025159D">
        <w:rPr>
          <w:rFonts w:ascii="Times New Roman" w:hAnsi="Times New Roman" w:cs="Times New Roman"/>
          <w:sz w:val="24"/>
          <w:szCs w:val="24"/>
        </w:rPr>
        <w:t xml:space="preserve"> </w:t>
      </w:r>
      <w:r w:rsidR="00053E7A">
        <w:rPr>
          <w:rFonts w:ascii="Times New Roman" w:hAnsi="Times New Roman" w:cs="Times New Roman"/>
          <w:sz w:val="24"/>
          <w:szCs w:val="24"/>
        </w:rPr>
        <w:t>However, we</w:t>
      </w:r>
      <w:r w:rsidR="00701F79" w:rsidRPr="0025159D">
        <w:rPr>
          <w:rFonts w:ascii="Times New Roman" w:hAnsi="Times New Roman" w:cs="Times New Roman"/>
          <w:sz w:val="24"/>
          <w:szCs w:val="24"/>
        </w:rPr>
        <w:t xml:space="preserve"> incorporate </w:t>
      </w:r>
      <w:r w:rsidR="00F860A1" w:rsidRPr="0025159D">
        <w:rPr>
          <w:rFonts w:ascii="Times New Roman" w:hAnsi="Times New Roman" w:cs="Times New Roman"/>
          <w:sz w:val="24"/>
          <w:szCs w:val="24"/>
        </w:rPr>
        <w:t>technological</w:t>
      </w:r>
      <w:r w:rsidR="00701F79" w:rsidRPr="0025159D">
        <w:rPr>
          <w:rFonts w:ascii="Times New Roman" w:hAnsi="Times New Roman" w:cs="Times New Roman"/>
          <w:sz w:val="24"/>
          <w:szCs w:val="24"/>
        </w:rPr>
        <w:t xml:space="preserve"> choice in the case of </w:t>
      </w:r>
      <w:r w:rsidR="003F006C">
        <w:rPr>
          <w:rFonts w:ascii="Times New Roman" w:hAnsi="Times New Roman" w:cs="Times New Roman"/>
          <w:sz w:val="24"/>
          <w:szCs w:val="24"/>
        </w:rPr>
        <w:t xml:space="preserve">new </w:t>
      </w:r>
      <w:r w:rsidR="00701F79" w:rsidRPr="0025159D">
        <w:rPr>
          <w:rFonts w:ascii="Times New Roman" w:hAnsi="Times New Roman" w:cs="Times New Roman"/>
          <w:sz w:val="24"/>
          <w:szCs w:val="24"/>
        </w:rPr>
        <w:t xml:space="preserve">boiler use </w:t>
      </w:r>
      <w:r w:rsidR="00351D13" w:rsidRPr="0025159D">
        <w:rPr>
          <w:rFonts w:ascii="Times New Roman" w:hAnsi="Times New Roman" w:cs="Times New Roman"/>
          <w:sz w:val="24"/>
          <w:szCs w:val="24"/>
        </w:rPr>
        <w:t xml:space="preserve">and process heat. </w:t>
      </w:r>
      <w:r w:rsidR="003F006C">
        <w:rPr>
          <w:rFonts w:ascii="Times New Roman" w:hAnsi="Times New Roman" w:cs="Times New Roman"/>
          <w:sz w:val="24"/>
          <w:szCs w:val="24"/>
        </w:rPr>
        <w:t>W</w:t>
      </w:r>
      <w:r w:rsidR="003F006C" w:rsidRPr="003F006C">
        <w:rPr>
          <w:rFonts w:ascii="Times New Roman" w:hAnsi="Times New Roman" w:cs="Times New Roman"/>
          <w:sz w:val="24"/>
          <w:szCs w:val="24"/>
        </w:rPr>
        <w:t xml:space="preserve">e </w:t>
      </w:r>
      <w:r w:rsidR="003F006C">
        <w:rPr>
          <w:rFonts w:ascii="Times New Roman" w:hAnsi="Times New Roman" w:cs="Times New Roman"/>
          <w:sz w:val="24"/>
          <w:szCs w:val="24"/>
        </w:rPr>
        <w:t xml:space="preserve">specify </w:t>
      </w:r>
      <w:r w:rsidR="003F006C" w:rsidRPr="003F006C">
        <w:rPr>
          <w:rFonts w:ascii="Times New Roman" w:hAnsi="Times New Roman" w:cs="Times New Roman"/>
          <w:sz w:val="24"/>
          <w:szCs w:val="24"/>
        </w:rPr>
        <w:t>cost premiums for new conventional electric boilers (368 $2016/kW), electric process heating equipment (368 $2016/kW), hydrogen boilers (227 $2016/kW)</w:t>
      </w:r>
      <w:r w:rsidR="00CD25D3">
        <w:rPr>
          <w:rFonts w:ascii="Times New Roman" w:hAnsi="Times New Roman" w:cs="Times New Roman"/>
          <w:sz w:val="24"/>
          <w:szCs w:val="24"/>
        </w:rPr>
        <w:t>,</w:t>
      </w:r>
      <w:r w:rsidR="003F006C">
        <w:rPr>
          <w:rFonts w:ascii="Times New Roman" w:hAnsi="Times New Roman" w:cs="Times New Roman"/>
          <w:sz w:val="24"/>
          <w:szCs w:val="24"/>
        </w:rPr>
        <w:t xml:space="preserve"> and </w:t>
      </w:r>
      <w:r w:rsidR="003F006C" w:rsidRPr="003F006C">
        <w:rPr>
          <w:rFonts w:ascii="Times New Roman" w:hAnsi="Times New Roman" w:cs="Times New Roman"/>
          <w:sz w:val="24"/>
          <w:szCs w:val="24"/>
        </w:rPr>
        <w:t>hydrogen process heating equipment (227 $2016/kW) across the industrial</w:t>
      </w:r>
      <w:r w:rsidR="003F006C">
        <w:rPr>
          <w:rFonts w:ascii="Times New Roman" w:hAnsi="Times New Roman" w:cs="Times New Roman"/>
          <w:sz w:val="24"/>
          <w:szCs w:val="24"/>
        </w:rPr>
        <w:t xml:space="preserve"> manufacturing sectors</w:t>
      </w:r>
      <w:r w:rsidR="003F006C" w:rsidRPr="003F006C">
        <w:rPr>
          <w:rFonts w:ascii="Times New Roman" w:hAnsi="Times New Roman" w:cs="Times New Roman"/>
          <w:sz w:val="24"/>
          <w:szCs w:val="24"/>
        </w:rPr>
        <w:t>.</w:t>
      </w:r>
      <w:r w:rsidR="00F860A1">
        <w:rPr>
          <w:rFonts w:ascii="Times New Roman" w:hAnsi="Times New Roman" w:cs="Times New Roman"/>
          <w:sz w:val="24"/>
          <w:szCs w:val="24"/>
        </w:rPr>
        <w:t xml:space="preserve"> We also set the f</w:t>
      </w:r>
      <w:r w:rsidR="00F860A1" w:rsidRPr="00F860A1">
        <w:rPr>
          <w:rFonts w:ascii="Times New Roman" w:hAnsi="Times New Roman" w:cs="Times New Roman"/>
          <w:sz w:val="24"/>
          <w:szCs w:val="24"/>
        </w:rPr>
        <w:t xml:space="preserve">ixed cost premiums </w:t>
      </w:r>
      <w:r w:rsidR="00F860A1">
        <w:rPr>
          <w:rFonts w:ascii="Times New Roman" w:hAnsi="Times New Roman" w:cs="Times New Roman"/>
          <w:sz w:val="24"/>
          <w:szCs w:val="24"/>
        </w:rPr>
        <w:t xml:space="preserve">at </w:t>
      </w:r>
      <w:r w:rsidR="00F860A1" w:rsidRPr="00F860A1">
        <w:rPr>
          <w:rFonts w:ascii="Times New Roman" w:hAnsi="Times New Roman" w:cs="Times New Roman"/>
          <w:sz w:val="24"/>
          <w:szCs w:val="24"/>
        </w:rPr>
        <w:t>0.6 $2018/kW for the entire lifetime of these boilers and process heating equipment (20 years). In our modeling approach, heavy industries</w:t>
      </w:r>
      <w:r w:rsidR="00CD25D3">
        <w:rPr>
          <w:rFonts w:ascii="Times New Roman" w:hAnsi="Times New Roman" w:cs="Times New Roman"/>
          <w:sz w:val="24"/>
          <w:szCs w:val="24"/>
        </w:rPr>
        <w:t>,</w:t>
      </w:r>
      <w:r w:rsidR="00F860A1" w:rsidRPr="00F860A1">
        <w:rPr>
          <w:rFonts w:ascii="Times New Roman" w:hAnsi="Times New Roman" w:cs="Times New Roman"/>
          <w:sz w:val="24"/>
          <w:szCs w:val="24"/>
        </w:rPr>
        <w:t xml:space="preserve"> including cement, chemicals, iron and steel mills</w:t>
      </w:r>
      <w:r w:rsidR="008E0DB6">
        <w:rPr>
          <w:rFonts w:ascii="Times New Roman" w:hAnsi="Times New Roman" w:cs="Times New Roman"/>
          <w:sz w:val="24"/>
          <w:szCs w:val="24"/>
        </w:rPr>
        <w:t>, ferro-alloys</w:t>
      </w:r>
      <w:r w:rsidR="00F860A1" w:rsidRPr="00F860A1">
        <w:rPr>
          <w:rFonts w:ascii="Times New Roman" w:hAnsi="Times New Roman" w:cs="Times New Roman"/>
          <w:sz w:val="24"/>
          <w:szCs w:val="24"/>
        </w:rPr>
        <w:t>, petroleum refining, and plastics</w:t>
      </w:r>
      <w:r w:rsidR="00CD25D3">
        <w:rPr>
          <w:rFonts w:ascii="Times New Roman" w:hAnsi="Times New Roman" w:cs="Times New Roman"/>
          <w:sz w:val="24"/>
          <w:szCs w:val="24"/>
        </w:rPr>
        <w:t>,</w:t>
      </w:r>
      <w:r w:rsidR="00F860A1" w:rsidRPr="00F860A1">
        <w:rPr>
          <w:rFonts w:ascii="Times New Roman" w:hAnsi="Times New Roman" w:cs="Times New Roman"/>
          <w:sz w:val="24"/>
          <w:szCs w:val="24"/>
        </w:rPr>
        <w:t xml:space="preserve"> are precluded from </w:t>
      </w:r>
      <w:r w:rsidR="00053E7A">
        <w:rPr>
          <w:rFonts w:ascii="Times New Roman" w:hAnsi="Times New Roman" w:cs="Times New Roman"/>
          <w:sz w:val="24"/>
          <w:szCs w:val="24"/>
        </w:rPr>
        <w:t>using</w:t>
      </w:r>
      <w:r w:rsidR="00F860A1" w:rsidRPr="00F860A1">
        <w:rPr>
          <w:rFonts w:ascii="Times New Roman" w:hAnsi="Times New Roman" w:cs="Times New Roman"/>
          <w:sz w:val="24"/>
          <w:szCs w:val="24"/>
        </w:rPr>
        <w:t xml:space="preserve"> hydrogen or electricity for process heat. However, we assume that all sectors can electrify conventional boilers.</w:t>
      </w:r>
    </w:p>
    <w:p w14:paraId="43FFF38B" w14:textId="75103BBB" w:rsidR="00351D13" w:rsidRPr="00973B19" w:rsidRDefault="007A62DB" w:rsidP="00CE4AD4">
      <w:pPr>
        <w:rPr>
          <w:rFonts w:ascii="Times New Roman" w:hAnsi="Times New Roman" w:cs="Times New Roman"/>
          <w:b/>
          <w:bCs/>
          <w:sz w:val="24"/>
          <w:szCs w:val="24"/>
        </w:rPr>
      </w:pPr>
      <w:bookmarkStart w:id="12" w:name="_Ref149837547"/>
      <w:r w:rsidRPr="00973B19">
        <w:rPr>
          <w:rFonts w:ascii="Times New Roman" w:hAnsi="Times New Roman" w:cs="Times New Roman"/>
          <w:b/>
          <w:bCs/>
          <w:sz w:val="24"/>
          <w:szCs w:val="24"/>
        </w:rPr>
        <w:t>Section S</w:t>
      </w:r>
      <w:r w:rsidRPr="00973B19">
        <w:rPr>
          <w:rFonts w:ascii="Times New Roman" w:hAnsi="Times New Roman" w:cs="Times New Roman"/>
          <w:b/>
          <w:bCs/>
          <w:sz w:val="24"/>
          <w:szCs w:val="24"/>
        </w:rPr>
        <w:fldChar w:fldCharType="begin"/>
      </w:r>
      <w:r w:rsidRPr="00973B19">
        <w:rPr>
          <w:rFonts w:ascii="Times New Roman" w:hAnsi="Times New Roman" w:cs="Times New Roman"/>
          <w:b/>
          <w:bCs/>
          <w:sz w:val="24"/>
          <w:szCs w:val="24"/>
        </w:rPr>
        <w:instrText xml:space="preserve"> SEQ Section_S \* ARABIC </w:instrText>
      </w:r>
      <w:r w:rsidRPr="00973B19">
        <w:rPr>
          <w:rFonts w:ascii="Times New Roman" w:hAnsi="Times New Roman" w:cs="Times New Roman"/>
          <w:b/>
          <w:bCs/>
          <w:sz w:val="24"/>
          <w:szCs w:val="24"/>
        </w:rPr>
        <w:fldChar w:fldCharType="separate"/>
      </w:r>
      <w:r w:rsidRPr="00973B19">
        <w:rPr>
          <w:rFonts w:ascii="Times New Roman" w:hAnsi="Times New Roman" w:cs="Times New Roman"/>
          <w:b/>
          <w:bCs/>
          <w:sz w:val="24"/>
          <w:szCs w:val="24"/>
        </w:rPr>
        <w:t>5</w:t>
      </w:r>
      <w:r w:rsidRPr="00973B19">
        <w:rPr>
          <w:rFonts w:ascii="Times New Roman" w:hAnsi="Times New Roman" w:cs="Times New Roman"/>
          <w:b/>
          <w:bCs/>
          <w:sz w:val="24"/>
          <w:szCs w:val="24"/>
        </w:rPr>
        <w:fldChar w:fldCharType="end"/>
      </w:r>
      <w:bookmarkEnd w:id="12"/>
      <w:r w:rsidR="00351D13" w:rsidRPr="00973B19">
        <w:rPr>
          <w:rFonts w:ascii="Times New Roman" w:hAnsi="Times New Roman" w:cs="Times New Roman"/>
          <w:b/>
          <w:bCs/>
          <w:sz w:val="24"/>
          <w:szCs w:val="24"/>
        </w:rPr>
        <w:t>: Inflation Reduction Act Representation</w:t>
      </w:r>
    </w:p>
    <w:p w14:paraId="3B81F107" w14:textId="0492D0DD" w:rsidR="00C667AF" w:rsidRPr="0025159D" w:rsidRDefault="00351D13" w:rsidP="00C667AF">
      <w:pPr>
        <w:rPr>
          <w:rFonts w:ascii="Times New Roman" w:hAnsi="Times New Roman" w:cs="Times New Roman"/>
          <w:sz w:val="24"/>
          <w:szCs w:val="24"/>
        </w:rPr>
      </w:pPr>
      <w:r w:rsidRPr="0025159D">
        <w:rPr>
          <w:rFonts w:ascii="Times New Roman" w:hAnsi="Times New Roman" w:cs="Times New Roman"/>
          <w:sz w:val="24"/>
          <w:szCs w:val="24"/>
        </w:rPr>
        <w:t>W</w:t>
      </w:r>
      <w:r w:rsidR="00C667AF" w:rsidRPr="0025159D">
        <w:rPr>
          <w:rFonts w:ascii="Times New Roman" w:hAnsi="Times New Roman" w:cs="Times New Roman"/>
          <w:sz w:val="24"/>
          <w:szCs w:val="24"/>
        </w:rPr>
        <w:t xml:space="preserve">e include </w:t>
      </w:r>
      <w:r w:rsidRPr="0025159D">
        <w:rPr>
          <w:rFonts w:ascii="Times New Roman" w:hAnsi="Times New Roman" w:cs="Times New Roman"/>
          <w:sz w:val="24"/>
          <w:szCs w:val="24"/>
        </w:rPr>
        <w:t xml:space="preserve">the </w:t>
      </w:r>
      <w:r w:rsidR="00C667AF" w:rsidRPr="0025159D">
        <w:rPr>
          <w:rFonts w:ascii="Times New Roman" w:hAnsi="Times New Roman" w:cs="Times New Roman"/>
          <w:sz w:val="24"/>
          <w:szCs w:val="24"/>
        </w:rPr>
        <w:t xml:space="preserve">major provisions from the 2022 Inflation Reduction Act. The provisions we model </w:t>
      </w:r>
      <w:r w:rsidR="006C0FF7">
        <w:rPr>
          <w:rFonts w:ascii="Times New Roman" w:hAnsi="Times New Roman" w:cs="Times New Roman"/>
          <w:sz w:val="24"/>
          <w:szCs w:val="24"/>
        </w:rPr>
        <w:t xml:space="preserve">include </w:t>
      </w:r>
      <w:r w:rsidR="00C667AF" w:rsidRPr="0025159D">
        <w:rPr>
          <w:rFonts w:ascii="Times New Roman" w:hAnsi="Times New Roman" w:cs="Times New Roman"/>
          <w:sz w:val="24"/>
          <w:szCs w:val="24"/>
        </w:rPr>
        <w:t>the investment and production tax credits for renewable electricity generators, carbon capture</w:t>
      </w:r>
      <w:r w:rsidR="00CD25D3">
        <w:rPr>
          <w:rFonts w:ascii="Times New Roman" w:hAnsi="Times New Roman" w:cs="Times New Roman"/>
          <w:sz w:val="24"/>
          <w:szCs w:val="24"/>
        </w:rPr>
        <w:t>,</w:t>
      </w:r>
      <w:r w:rsidR="00C667AF" w:rsidRPr="0025159D">
        <w:rPr>
          <w:rFonts w:ascii="Times New Roman" w:hAnsi="Times New Roman" w:cs="Times New Roman"/>
          <w:sz w:val="24"/>
          <w:szCs w:val="24"/>
        </w:rPr>
        <w:t xml:space="preserve"> and use/sequestration, the production tax credit for existing nuclear capacity, the clean hydrogen production tax credit, and tax credits for passenger and commercial vehicles. We provide details on each modeled provision below.</w:t>
      </w:r>
    </w:p>
    <w:p w14:paraId="7822328B" w14:textId="43DB44EE"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lastRenderedPageBreak/>
        <w:t>Production Tax Credit (sections 45, 45Y)</w:t>
      </w:r>
      <w:r w:rsidR="00351D1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The production tax credit </w:t>
      </w:r>
      <w:r w:rsidR="00351D13" w:rsidRPr="0025159D">
        <w:rPr>
          <w:rFonts w:ascii="Times New Roman" w:hAnsi="Times New Roman" w:cs="Times New Roman"/>
          <w:sz w:val="24"/>
          <w:szCs w:val="24"/>
        </w:rPr>
        <w:t xml:space="preserve">(PTC) </w:t>
      </w:r>
      <w:r w:rsidRPr="0025159D">
        <w:rPr>
          <w:rFonts w:ascii="Times New Roman" w:hAnsi="Times New Roman" w:cs="Times New Roman"/>
          <w:sz w:val="24"/>
          <w:szCs w:val="24"/>
        </w:rPr>
        <w:t xml:space="preserve">provides $27.50/MWh over </w:t>
      </w:r>
      <w:r w:rsidR="00764387">
        <w:rPr>
          <w:rFonts w:ascii="Times New Roman" w:hAnsi="Times New Roman" w:cs="Times New Roman"/>
          <w:sz w:val="24"/>
          <w:szCs w:val="24"/>
        </w:rPr>
        <w:t>ten years</w:t>
      </w:r>
      <w:r w:rsidRPr="0025159D">
        <w:rPr>
          <w:rFonts w:ascii="Times New Roman" w:hAnsi="Times New Roman" w:cs="Times New Roman"/>
          <w:sz w:val="24"/>
          <w:szCs w:val="24"/>
        </w:rPr>
        <w:t xml:space="preserve"> of operation for qualified facilities (assuming labor requirements </w:t>
      </w:r>
      <w:r w:rsidR="00764387">
        <w:rPr>
          <w:rFonts w:ascii="Times New Roman" w:hAnsi="Times New Roman" w:cs="Times New Roman"/>
          <w:sz w:val="24"/>
          <w:szCs w:val="24"/>
        </w:rPr>
        <w:t xml:space="preserve">are </w:t>
      </w:r>
      <w:r w:rsidRPr="0025159D">
        <w:rPr>
          <w:rFonts w:ascii="Times New Roman" w:hAnsi="Times New Roman" w:cs="Times New Roman"/>
          <w:sz w:val="24"/>
          <w:szCs w:val="24"/>
        </w:rPr>
        <w:t xml:space="preserve">met). Bonuses are available for domestic content and projects located in energy communities. Following modeling assumptions from the National Renewable Energy Laboratory, we assume the bonus credits start at an average rate of 5% in 2023, increase to 10% by 2028, and stay at 10% until the credit expires in 2033. We also </w:t>
      </w:r>
      <w:r w:rsidR="00764387">
        <w:rPr>
          <w:rFonts w:ascii="Times New Roman" w:hAnsi="Times New Roman" w:cs="Times New Roman"/>
          <w:sz w:val="24"/>
          <w:szCs w:val="24"/>
        </w:rPr>
        <w:t>adjusted</w:t>
      </w:r>
      <w:r w:rsidRPr="0025159D">
        <w:rPr>
          <w:rFonts w:ascii="Times New Roman" w:hAnsi="Times New Roman" w:cs="Times New Roman"/>
          <w:sz w:val="24"/>
          <w:szCs w:val="24"/>
        </w:rPr>
        <w:t xml:space="preserve"> the tax credit to align with Temoa’s 5-year time periods. The IRA PTC begins in 2023, so </w:t>
      </w:r>
      <w:r w:rsidR="00764387">
        <w:rPr>
          <w:rFonts w:ascii="Times New Roman" w:hAnsi="Times New Roman" w:cs="Times New Roman"/>
          <w:sz w:val="24"/>
          <w:szCs w:val="24"/>
        </w:rPr>
        <w:t xml:space="preserve">it </w:t>
      </w:r>
      <w:r w:rsidRPr="0025159D">
        <w:rPr>
          <w:rFonts w:ascii="Times New Roman" w:hAnsi="Times New Roman" w:cs="Times New Roman"/>
          <w:sz w:val="24"/>
          <w:szCs w:val="24"/>
        </w:rPr>
        <w:t xml:space="preserve">is available only in the last two years of Temoa’s first time period (2020-2024). </w:t>
      </w:r>
      <w:r w:rsidR="00F860A1" w:rsidRPr="00F860A1">
        <w:rPr>
          <w:rFonts w:ascii="Times New Roman" w:hAnsi="Times New Roman" w:cs="Times New Roman"/>
          <w:sz w:val="24"/>
          <w:szCs w:val="24"/>
        </w:rPr>
        <w:t>We prorate the tax credit as necessary</w:t>
      </w:r>
      <w:r w:rsidR="00764387">
        <w:rPr>
          <w:rFonts w:ascii="Times New Roman" w:hAnsi="Times New Roman" w:cs="Times New Roman"/>
          <w:sz w:val="24"/>
          <w:szCs w:val="24"/>
        </w:rPr>
        <w:t>,</w:t>
      </w:r>
      <w:r w:rsidR="00F860A1" w:rsidRPr="00F860A1">
        <w:rPr>
          <w:rFonts w:ascii="Times New Roman" w:hAnsi="Times New Roman" w:cs="Times New Roman"/>
          <w:sz w:val="24"/>
          <w:szCs w:val="24"/>
        </w:rPr>
        <w:t xml:space="preserve"> given our 5-year model increment, ensuring that projects receive the equivalent of 10 years of tax credits</w:t>
      </w:r>
      <w:r w:rsidRPr="0025159D">
        <w:rPr>
          <w:rFonts w:ascii="Times New Roman" w:hAnsi="Times New Roman" w:cs="Times New Roman"/>
          <w:sz w:val="24"/>
          <w:szCs w:val="24"/>
        </w:rPr>
        <w:t>. We represent the IRA’s extension of the existing PTC (section 45) and the newly introduced technology-neutral PTC (section 45Y) that allows any zero-emission generation to qualify. Under section 45, qualifying technologies are solar, on</w:t>
      </w:r>
      <w:r w:rsidR="0039797E" w:rsidRPr="0025159D">
        <w:rPr>
          <w:rFonts w:ascii="Times New Roman" w:hAnsi="Times New Roman" w:cs="Times New Roman"/>
          <w:sz w:val="24"/>
          <w:szCs w:val="24"/>
        </w:rPr>
        <w:t>shore</w:t>
      </w:r>
      <w:r w:rsidRPr="0025159D">
        <w:rPr>
          <w:rFonts w:ascii="Times New Roman" w:hAnsi="Times New Roman" w:cs="Times New Roman"/>
          <w:sz w:val="24"/>
          <w:szCs w:val="24"/>
        </w:rPr>
        <w:t xml:space="preserve"> and offshore wind, geothermal, biomass, and hydropower. Section 45 is replaced with 45Y in 2025.</w:t>
      </w:r>
    </w:p>
    <w:p w14:paraId="5B56C595" w14:textId="0A64F872"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t>Investment Tax Credit (sections 48, 45E)</w:t>
      </w:r>
      <w:r w:rsidR="00351D1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The investment tax credit (ITC) offers 30% of a project’s installed capital costs, plus bonuses for domestic content and energy community locations. Pre-IRA, an ITC of 26% was available. We model the ITC as a reduction in capital cost for qualifying technologies, which include solar, on and offshore wind, geothermal, and energy storage. In Temoa’s first time period, we assume new qualifying technologies could receive a 26% reduction in 2020 and 2021 and a 30% reduction for 2022-2024, for an average credit of 28.4%. Projects constructed in the model’s second time period are eligible for full credit. The ITC drops to 22.5% in 2034, after which it sunsets. </w:t>
      </w:r>
    </w:p>
    <w:p w14:paraId="2AE6BDFF" w14:textId="5DF8F840" w:rsidR="00C667AF" w:rsidRPr="0025159D" w:rsidRDefault="00C667AF" w:rsidP="00C667AF">
      <w:pPr>
        <w:rPr>
          <w:rFonts w:ascii="Times New Roman" w:hAnsi="Times New Roman" w:cs="Times New Roman"/>
          <w:sz w:val="24"/>
          <w:szCs w:val="24"/>
        </w:rPr>
      </w:pPr>
      <w:r w:rsidRPr="0025159D">
        <w:rPr>
          <w:rFonts w:ascii="Times New Roman" w:hAnsi="Times New Roman" w:cs="Times New Roman"/>
          <w:sz w:val="24"/>
          <w:szCs w:val="24"/>
        </w:rPr>
        <w:t>Again</w:t>
      </w:r>
      <w:r w:rsidR="00D7047A">
        <w:rPr>
          <w:rFonts w:ascii="Times New Roman" w:hAnsi="Times New Roman" w:cs="Times New Roman"/>
          <w:sz w:val="24"/>
          <w:szCs w:val="24"/>
        </w:rPr>
        <w:t>,</w:t>
      </w:r>
      <w:r w:rsidRPr="0025159D">
        <w:rPr>
          <w:rFonts w:ascii="Times New Roman" w:hAnsi="Times New Roman" w:cs="Times New Roman"/>
          <w:sz w:val="24"/>
          <w:szCs w:val="24"/>
        </w:rPr>
        <w:t xml:space="preserve"> following </w:t>
      </w:r>
      <w:r w:rsidR="00764387">
        <w:rPr>
          <w:rFonts w:ascii="Times New Roman" w:hAnsi="Times New Roman" w:cs="Times New Roman"/>
          <w:sz w:val="24"/>
          <w:szCs w:val="24"/>
        </w:rPr>
        <w:t xml:space="preserve">the </w:t>
      </w:r>
      <w:r w:rsidRPr="0025159D">
        <w:rPr>
          <w:rFonts w:ascii="Times New Roman" w:hAnsi="Times New Roman" w:cs="Times New Roman"/>
          <w:sz w:val="24"/>
          <w:szCs w:val="24"/>
        </w:rPr>
        <w:t xml:space="preserve">NREL convention, we assume a 5% bonus starting in 2023 that increases to 10% by 2028, where it stays until the credit sunsets </w:t>
      </w:r>
      <w:r w:rsidR="00F860A1">
        <w:rPr>
          <w:rFonts w:ascii="Times New Roman" w:hAnsi="Times New Roman" w:cs="Times New Roman"/>
          <w:sz w:val="24"/>
          <w:szCs w:val="24"/>
        </w:rPr>
        <w:t>after</w:t>
      </w:r>
      <w:r w:rsidRPr="0025159D">
        <w:rPr>
          <w:rFonts w:ascii="Times New Roman" w:hAnsi="Times New Roman" w:cs="Times New Roman"/>
          <w:sz w:val="24"/>
          <w:szCs w:val="24"/>
        </w:rPr>
        <w:t xml:space="preserve"> 2034. We represent the IRA’s extension of the existing ITC (section 48) and the newly introduced technology-neutral ITC (section 48E) that allows any zero-emission generation to qualify. </w:t>
      </w:r>
    </w:p>
    <w:p w14:paraId="19723504" w14:textId="386D5FE9"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t>Carbon Capture (section 45Q)</w:t>
      </w:r>
      <w:r w:rsidR="00351D1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Credits for carbon capture vary depending on the source of the carbon dioxide and whether the captured carbon is sequestered or used. For post-combustion carbon capture, facilities earn $85/tonne for sequestered CO</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and $60/tonne for facilities that capture and use the CO</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For direct air capture facilities, the credits increase to $180/tonne for sequestration and $130/tonne for use. While we do not represent enhanced oil recovery, we credit facilities using CO</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w:t>
      </w:r>
      <w:r w:rsidR="00053E7A">
        <w:rPr>
          <w:rFonts w:ascii="Times New Roman" w:hAnsi="Times New Roman" w:cs="Times New Roman"/>
          <w:sz w:val="24"/>
          <w:szCs w:val="24"/>
        </w:rPr>
        <w:t>to produce</w:t>
      </w:r>
      <w:r w:rsidRPr="0025159D">
        <w:rPr>
          <w:rFonts w:ascii="Times New Roman" w:hAnsi="Times New Roman" w:cs="Times New Roman"/>
          <w:sz w:val="24"/>
          <w:szCs w:val="24"/>
        </w:rPr>
        <w:t xml:space="preserve"> synthetic fuels. We assume all wage and apprenticeship requirements are met. The credit is available for new facilities for 12 years</w:t>
      </w:r>
      <w:r w:rsidR="00764387">
        <w:rPr>
          <w:rFonts w:ascii="Times New Roman" w:hAnsi="Times New Roman" w:cs="Times New Roman"/>
          <w:sz w:val="24"/>
          <w:szCs w:val="24"/>
        </w:rPr>
        <w:t>,</w:t>
      </w:r>
      <w:r w:rsidRPr="0025159D">
        <w:rPr>
          <w:rFonts w:ascii="Times New Roman" w:hAnsi="Times New Roman" w:cs="Times New Roman"/>
          <w:sz w:val="24"/>
          <w:szCs w:val="24"/>
        </w:rPr>
        <w:t xml:space="preserve"> and facilities must be in place by 2033. </w:t>
      </w:r>
      <w:r w:rsidR="00053E7A">
        <w:rPr>
          <w:rFonts w:ascii="Times New Roman" w:hAnsi="Times New Roman" w:cs="Times New Roman"/>
          <w:sz w:val="24"/>
          <w:szCs w:val="24"/>
        </w:rPr>
        <w:t>Like</w:t>
      </w:r>
      <w:r w:rsidRPr="0025159D">
        <w:rPr>
          <w:rFonts w:ascii="Times New Roman" w:hAnsi="Times New Roman" w:cs="Times New Roman"/>
          <w:sz w:val="24"/>
          <w:szCs w:val="24"/>
        </w:rPr>
        <w:t xml:space="preserve"> the PTC and ITC, we model the credit in the first and third time periods as a weighted average to </w:t>
      </w:r>
      <w:r w:rsidR="0039797E" w:rsidRPr="0025159D">
        <w:rPr>
          <w:rFonts w:ascii="Times New Roman" w:hAnsi="Times New Roman" w:cs="Times New Roman"/>
          <w:sz w:val="24"/>
          <w:szCs w:val="24"/>
        </w:rPr>
        <w:t>effectively prorate</w:t>
      </w:r>
      <w:r w:rsidRPr="0025159D">
        <w:rPr>
          <w:rFonts w:ascii="Times New Roman" w:hAnsi="Times New Roman" w:cs="Times New Roman"/>
          <w:sz w:val="24"/>
          <w:szCs w:val="24"/>
        </w:rPr>
        <w:t xml:space="preserve"> Temoa’s five-year time periods and the credit’s time horizon.  The credit is modeled as a negative variable cost. </w:t>
      </w:r>
    </w:p>
    <w:p w14:paraId="42610F5F" w14:textId="7E24C4E4"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t>Existing Nuclear (section 45U)</w:t>
      </w:r>
      <w:r w:rsidR="00351D1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Existing nuclear technologies receive $30/MWh starting in 2024 and sunsetting in 2032. We model this credit as a negative variable cost, with the first and third time periods receiving a weighted average credit of 1/5 and 3/5, respectively.  </w:t>
      </w:r>
    </w:p>
    <w:p w14:paraId="6E4F6C74" w14:textId="61CEB77D"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t>Clean Hydrogen (section 45V)</w:t>
      </w:r>
      <w:r w:rsidR="00351D1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The clean hydrogen tax credit is tiered based on the carbon intensity of the production mechanism (see</w:t>
      </w:r>
      <w:r w:rsidR="00E367B7" w:rsidRPr="0025159D">
        <w:rPr>
          <w:rFonts w:ascii="Times New Roman" w:hAnsi="Times New Roman" w:cs="Times New Roman"/>
          <w:sz w:val="24"/>
          <w:szCs w:val="24"/>
        </w:rPr>
        <w:t xml:space="preserve">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_Ref149841726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Table S</w:t>
      </w:r>
      <w:r w:rsidR="00E367B7" w:rsidRPr="0025159D">
        <w:rPr>
          <w:rFonts w:ascii="Times New Roman" w:hAnsi="Times New Roman" w:cs="Times New Roman"/>
          <w:noProof/>
          <w:sz w:val="24"/>
          <w:szCs w:val="24"/>
        </w:rPr>
        <w:t>3</w:t>
      </w:r>
      <w:r w:rsidR="00E367B7" w:rsidRPr="0025159D">
        <w:rPr>
          <w:rFonts w:ascii="Times New Roman" w:hAnsi="Times New Roman" w:cs="Times New Roman"/>
          <w:sz w:val="24"/>
          <w:szCs w:val="24"/>
        </w:rPr>
        <w:fldChar w:fldCharType="end"/>
      </w:r>
      <w:r w:rsidRPr="0025159D">
        <w:rPr>
          <w:rFonts w:ascii="Times New Roman" w:hAnsi="Times New Roman" w:cs="Times New Roman"/>
          <w:sz w:val="24"/>
          <w:szCs w:val="24"/>
        </w:rPr>
        <w:t xml:space="preserve">). With the current </w:t>
      </w:r>
      <w:r w:rsidR="0039797E" w:rsidRPr="0025159D">
        <w:rPr>
          <w:rFonts w:ascii="Times New Roman" w:hAnsi="Times New Roman" w:cs="Times New Roman"/>
          <w:sz w:val="24"/>
          <w:szCs w:val="24"/>
        </w:rPr>
        <w:t xml:space="preserve">average </w:t>
      </w:r>
      <w:r w:rsidRPr="0025159D">
        <w:rPr>
          <w:rFonts w:ascii="Times New Roman" w:hAnsi="Times New Roman" w:cs="Times New Roman"/>
          <w:sz w:val="24"/>
          <w:szCs w:val="24"/>
        </w:rPr>
        <w:t xml:space="preserve">grid mix, </w:t>
      </w:r>
      <w:r w:rsidRPr="0025159D">
        <w:rPr>
          <w:rFonts w:ascii="Times New Roman" w:hAnsi="Times New Roman" w:cs="Times New Roman"/>
          <w:sz w:val="24"/>
          <w:szCs w:val="24"/>
        </w:rPr>
        <w:lastRenderedPageBreak/>
        <w:t>electrolytic hydrogen is not eligible for even the lowest tier. We allow hydrogen produced by biomass with CCS or an electrolyzer fed with new zero-emission electric capacity to receive the full $3/kg H</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credit. The International Energy Association assumes an emission factor of 1.0 kg CO</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/kg H</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for natural gas reforming with carbon capture, qualifying for the second tier of the tax credit ($1/kg H</w:t>
      </w:r>
      <w:r w:rsidRPr="00EC7E2A">
        <w:rPr>
          <w:rFonts w:ascii="Times New Roman" w:hAnsi="Times New Roman" w:cs="Times New Roman"/>
          <w:sz w:val="24"/>
          <w:szCs w:val="24"/>
          <w:vertAlign w:val="subscript"/>
        </w:rPr>
        <w:t>2</w:t>
      </w:r>
      <w:r w:rsidRPr="0025159D">
        <w:rPr>
          <w:rFonts w:ascii="Times New Roman" w:hAnsi="Times New Roman" w:cs="Times New Roman"/>
          <w:sz w:val="24"/>
          <w:szCs w:val="24"/>
        </w:rPr>
        <w:t xml:space="preserve">). All credits are modeled as a negative variable cost. </w:t>
      </w:r>
    </w:p>
    <w:p w14:paraId="10BF315D" w14:textId="63C31E86" w:rsidR="003369A3" w:rsidRPr="008003D1" w:rsidRDefault="00E367B7" w:rsidP="00D0274A">
      <w:pPr>
        <w:pStyle w:val="Caption"/>
        <w:rPr>
          <w:rFonts w:ascii="Times New Roman" w:hAnsi="Times New Roman" w:cs="Times New Roman"/>
          <w:i w:val="0"/>
          <w:iCs w:val="0"/>
          <w:color w:val="auto"/>
          <w:sz w:val="24"/>
          <w:szCs w:val="24"/>
        </w:rPr>
      </w:pPr>
      <w:bookmarkStart w:id="13" w:name="_Ref149841726"/>
      <w:r w:rsidRPr="00973B19">
        <w:rPr>
          <w:rFonts w:ascii="Times New Roman" w:hAnsi="Times New Roman" w:cs="Times New Roman"/>
          <w:b/>
          <w:bCs/>
          <w:i w:val="0"/>
          <w:iCs w:val="0"/>
          <w:color w:val="auto"/>
          <w:sz w:val="24"/>
          <w:szCs w:val="24"/>
        </w:rPr>
        <w:t>Table S</w:t>
      </w:r>
      <w:r w:rsidRPr="00973B19">
        <w:rPr>
          <w:rFonts w:ascii="Times New Roman" w:hAnsi="Times New Roman" w:cs="Times New Roman"/>
          <w:b/>
          <w:bCs/>
          <w:i w:val="0"/>
          <w:iCs w:val="0"/>
          <w:color w:val="auto"/>
          <w:sz w:val="24"/>
          <w:szCs w:val="24"/>
        </w:rPr>
        <w:fldChar w:fldCharType="begin"/>
      </w:r>
      <w:r w:rsidRPr="00973B19">
        <w:rPr>
          <w:rFonts w:ascii="Times New Roman" w:hAnsi="Times New Roman" w:cs="Times New Roman"/>
          <w:b/>
          <w:bCs/>
          <w:i w:val="0"/>
          <w:iCs w:val="0"/>
          <w:color w:val="auto"/>
          <w:sz w:val="24"/>
          <w:szCs w:val="24"/>
        </w:rPr>
        <w:instrText xml:space="preserve"> SEQ Table_S \* ARABIC </w:instrText>
      </w:r>
      <w:r w:rsidRPr="00973B19">
        <w:rPr>
          <w:rFonts w:ascii="Times New Roman" w:hAnsi="Times New Roman" w:cs="Times New Roman"/>
          <w:b/>
          <w:bCs/>
          <w:i w:val="0"/>
          <w:iCs w:val="0"/>
          <w:color w:val="auto"/>
          <w:sz w:val="24"/>
          <w:szCs w:val="24"/>
        </w:rPr>
        <w:fldChar w:fldCharType="separate"/>
      </w:r>
      <w:r w:rsidRPr="00973B19">
        <w:rPr>
          <w:rFonts w:ascii="Times New Roman" w:hAnsi="Times New Roman" w:cs="Times New Roman"/>
          <w:b/>
          <w:bCs/>
          <w:i w:val="0"/>
          <w:iCs w:val="0"/>
          <w:noProof/>
          <w:color w:val="auto"/>
          <w:sz w:val="24"/>
          <w:szCs w:val="24"/>
        </w:rPr>
        <w:t>3</w:t>
      </w:r>
      <w:r w:rsidRPr="00973B19">
        <w:rPr>
          <w:rFonts w:ascii="Times New Roman" w:hAnsi="Times New Roman" w:cs="Times New Roman"/>
          <w:b/>
          <w:bCs/>
          <w:i w:val="0"/>
          <w:iCs w:val="0"/>
          <w:color w:val="auto"/>
          <w:sz w:val="24"/>
          <w:szCs w:val="24"/>
        </w:rPr>
        <w:fldChar w:fldCharType="end"/>
      </w:r>
      <w:bookmarkEnd w:id="13"/>
      <w:r w:rsidR="003369A3" w:rsidRPr="00973B19">
        <w:rPr>
          <w:rFonts w:ascii="Times New Roman" w:hAnsi="Times New Roman" w:cs="Times New Roman"/>
          <w:b/>
          <w:bCs/>
          <w:i w:val="0"/>
          <w:iCs w:val="0"/>
          <w:color w:val="auto"/>
          <w:sz w:val="24"/>
          <w:szCs w:val="24"/>
        </w:rPr>
        <w:t>: Hydrogen credits in the Inflation Reduction Act</w:t>
      </w:r>
      <w:r w:rsidR="003369A3" w:rsidRPr="008003D1">
        <w:rPr>
          <w:rFonts w:ascii="Times New Roman" w:hAnsi="Times New Roman" w:cs="Times New Roman"/>
          <w:i w:val="0"/>
          <w:iCs w:val="0"/>
          <w:color w:val="auto"/>
          <w:sz w:val="24"/>
          <w:szCs w:val="24"/>
        </w:rPr>
        <w:t xml:space="preserve"> </w:t>
      </w:r>
      <w:r w:rsidR="003369A3" w:rsidRPr="008003D1">
        <w:rPr>
          <w:rFonts w:ascii="Times New Roman" w:hAnsi="Times New Roman" w:cs="Times New Roman"/>
          <w:i w:val="0"/>
          <w:iCs w:val="0"/>
          <w:color w:val="auto"/>
          <w:sz w:val="24"/>
          <w:szCs w:val="24"/>
        </w:rPr>
        <w:fldChar w:fldCharType="begin"/>
      </w:r>
      <w:r w:rsidR="00AA71D7">
        <w:rPr>
          <w:rFonts w:ascii="Times New Roman" w:hAnsi="Times New Roman" w:cs="Times New Roman"/>
          <w:i w:val="0"/>
          <w:iCs w:val="0"/>
          <w:color w:val="auto"/>
          <w:sz w:val="24"/>
          <w:szCs w:val="24"/>
        </w:rPr>
        <w:instrText xml:space="preserve"> ADDIN ZOTERO_ITEM CSL_CITATION {"citationID":"YBZNIOkv","properties":{"formattedCitation":"\\super 24\\nosupersub{}","plainCitation":"24","noteIndex":0},"citationItems":[{"id":"5Bqj4lr7/MXO4rItK","uris":["http://zotero.org/users/5932516/items/R2E4MIUF"],"itemData":{"id":1497,"type":"webpage","abstract":"The Inflation Reduction Act includes some two dozen tax provisions that will save families money on their energy bills and accelerate the deployment of clean energy, clean vehicles, clean buildings, and clean manufacturing. These tax provisions reflect the President’s strong belief in building the economy from the bottom up and middle out. Many of the…","container-title":"The White House","language":"en-US","title":"Clean Energy Tax Provisions in the Inflation Reduction Act","URL":"https://www.whitehouse.gov/cleanenergy/clean-energy-tax-provisions/","author":[{"family":"White House","given":""}],"accessed":{"date-parts":[["2023",6,6]]},"issued":{"date-parts":[["2022"]]}}}],"schema":"https://github.com/citation-style-language/schema/raw/master/csl-citation.json"} </w:instrText>
      </w:r>
      <w:r w:rsidR="003369A3" w:rsidRPr="008003D1">
        <w:rPr>
          <w:rFonts w:ascii="Times New Roman" w:hAnsi="Times New Roman" w:cs="Times New Roman"/>
          <w:i w:val="0"/>
          <w:iCs w:val="0"/>
          <w:color w:val="auto"/>
          <w:sz w:val="24"/>
          <w:szCs w:val="24"/>
        </w:rPr>
        <w:fldChar w:fldCharType="separate"/>
      </w:r>
      <w:r w:rsidR="00AA71D7" w:rsidRPr="00AA71D7">
        <w:rPr>
          <w:rFonts w:ascii="Times New Roman" w:hAnsi="Times New Roman" w:cs="Times New Roman"/>
          <w:sz w:val="24"/>
          <w:szCs w:val="24"/>
          <w:vertAlign w:val="superscript"/>
        </w:rPr>
        <w:t>24</w:t>
      </w:r>
      <w:r w:rsidR="003369A3" w:rsidRPr="008003D1">
        <w:rPr>
          <w:rFonts w:ascii="Times New Roman" w:hAnsi="Times New Roman" w:cs="Times New Roman"/>
          <w:i w:val="0"/>
          <w:iCs w:val="0"/>
          <w:color w:val="auto"/>
          <w:sz w:val="24"/>
          <w:szCs w:val="24"/>
        </w:rPr>
        <w:fldChar w:fldCharType="end"/>
      </w:r>
    </w:p>
    <w:tbl>
      <w:tblPr>
        <w:tblStyle w:val="TableGrid"/>
        <w:tblW w:w="0" w:type="auto"/>
        <w:jc w:val="center"/>
        <w:tblLook w:val="04A0" w:firstRow="1" w:lastRow="0" w:firstColumn="1" w:lastColumn="0" w:noHBand="0" w:noVBand="1"/>
      </w:tblPr>
      <w:tblGrid>
        <w:gridCol w:w="2203"/>
        <w:gridCol w:w="2203"/>
      </w:tblGrid>
      <w:tr w:rsidR="00C562DD" w:rsidRPr="0025159D" w14:paraId="1396618A" w14:textId="77777777" w:rsidTr="00D0274A">
        <w:trPr>
          <w:trHeight w:val="516"/>
          <w:jc w:val="center"/>
        </w:trPr>
        <w:tc>
          <w:tcPr>
            <w:tcW w:w="2203" w:type="dxa"/>
          </w:tcPr>
          <w:p w14:paraId="11D58911" w14:textId="77777777" w:rsidR="003369A3" w:rsidRPr="0025159D" w:rsidRDefault="003369A3" w:rsidP="00D0274A">
            <w:pPr>
              <w:jc w:val="center"/>
              <w:rPr>
                <w:rFonts w:ascii="Times New Roman" w:hAnsi="Times New Roman" w:cs="Times New Roman"/>
              </w:rPr>
            </w:pPr>
            <w:r w:rsidRPr="0025159D">
              <w:rPr>
                <w:rFonts w:ascii="Times New Roman" w:hAnsi="Times New Roman" w:cs="Times New Roman"/>
              </w:rPr>
              <w:t>Carbon intensity</w:t>
            </w:r>
          </w:p>
          <w:p w14:paraId="47F80134" w14:textId="77777777" w:rsidR="003369A3" w:rsidRPr="0025159D" w:rsidRDefault="003369A3" w:rsidP="00D0274A">
            <w:pPr>
              <w:jc w:val="center"/>
              <w:rPr>
                <w:rFonts w:ascii="Times New Roman" w:hAnsi="Times New Roman" w:cs="Times New Roman"/>
              </w:rPr>
            </w:pPr>
            <w:r w:rsidRPr="0025159D">
              <w:rPr>
                <w:rFonts w:ascii="Times New Roman" w:hAnsi="Times New Roman" w:cs="Times New Roman"/>
              </w:rPr>
              <w:t xml:space="preserve"> [kg CO</w:t>
            </w:r>
            <w:r w:rsidRPr="0025159D">
              <w:rPr>
                <w:rFonts w:ascii="Times New Roman" w:hAnsi="Times New Roman" w:cs="Times New Roman"/>
                <w:vertAlign w:val="subscript"/>
              </w:rPr>
              <w:t>2</w:t>
            </w:r>
            <w:r w:rsidRPr="0025159D">
              <w:rPr>
                <w:rFonts w:ascii="Times New Roman" w:hAnsi="Times New Roman" w:cs="Times New Roman"/>
              </w:rPr>
              <w:t>-eq / kg H</w:t>
            </w:r>
            <w:r w:rsidRPr="0025159D">
              <w:rPr>
                <w:rFonts w:ascii="Times New Roman" w:hAnsi="Times New Roman" w:cs="Times New Roman"/>
                <w:vertAlign w:val="subscript"/>
              </w:rPr>
              <w:t>2</w:t>
            </w:r>
            <w:r w:rsidRPr="0025159D">
              <w:rPr>
                <w:rFonts w:ascii="Times New Roman" w:hAnsi="Times New Roman" w:cs="Times New Roman"/>
              </w:rPr>
              <w:t>]</w:t>
            </w:r>
          </w:p>
        </w:tc>
        <w:tc>
          <w:tcPr>
            <w:tcW w:w="2203" w:type="dxa"/>
          </w:tcPr>
          <w:p w14:paraId="1053124B" w14:textId="77777777" w:rsidR="003369A3" w:rsidRPr="0025159D" w:rsidRDefault="003369A3" w:rsidP="00D0274A">
            <w:pPr>
              <w:rPr>
                <w:rFonts w:ascii="Times New Roman" w:hAnsi="Times New Roman" w:cs="Times New Roman"/>
              </w:rPr>
            </w:pPr>
            <w:r w:rsidRPr="0025159D">
              <w:rPr>
                <w:rFonts w:ascii="Times New Roman" w:hAnsi="Times New Roman" w:cs="Times New Roman"/>
              </w:rPr>
              <w:t xml:space="preserve">IRA credit </w:t>
            </w:r>
          </w:p>
          <w:p w14:paraId="5DF17806" w14:textId="77777777" w:rsidR="003369A3" w:rsidRPr="0025159D" w:rsidRDefault="003369A3" w:rsidP="00D0274A">
            <w:pPr>
              <w:rPr>
                <w:rFonts w:ascii="Times New Roman" w:hAnsi="Times New Roman" w:cs="Times New Roman"/>
              </w:rPr>
            </w:pPr>
            <w:r w:rsidRPr="0025159D">
              <w:rPr>
                <w:rFonts w:ascii="Times New Roman" w:hAnsi="Times New Roman" w:cs="Times New Roman"/>
              </w:rPr>
              <w:t>[$ / kg H</w:t>
            </w:r>
            <w:r w:rsidRPr="0025159D">
              <w:rPr>
                <w:rFonts w:ascii="Times New Roman" w:hAnsi="Times New Roman" w:cs="Times New Roman"/>
                <w:vertAlign w:val="subscript"/>
              </w:rPr>
              <w:t>2</w:t>
            </w:r>
            <w:r w:rsidRPr="0025159D">
              <w:rPr>
                <w:rFonts w:ascii="Times New Roman" w:hAnsi="Times New Roman" w:cs="Times New Roman"/>
              </w:rPr>
              <w:t>]</w:t>
            </w:r>
          </w:p>
        </w:tc>
      </w:tr>
      <w:tr w:rsidR="00C562DD" w:rsidRPr="0025159D" w14:paraId="17DBA574" w14:textId="77777777" w:rsidTr="00D0274A">
        <w:trPr>
          <w:trHeight w:val="545"/>
          <w:jc w:val="center"/>
        </w:trPr>
        <w:tc>
          <w:tcPr>
            <w:tcW w:w="2203" w:type="dxa"/>
          </w:tcPr>
          <w:p w14:paraId="0B289911" w14:textId="77777777" w:rsidR="003369A3" w:rsidRPr="0025159D" w:rsidRDefault="003369A3" w:rsidP="00D0274A">
            <w:pPr>
              <w:spacing w:line="480" w:lineRule="auto"/>
              <w:ind w:left="720"/>
              <w:rPr>
                <w:rFonts w:ascii="Times New Roman" w:hAnsi="Times New Roman" w:cs="Times New Roman"/>
              </w:rPr>
            </w:pPr>
            <w:r w:rsidRPr="0025159D">
              <w:rPr>
                <w:rFonts w:ascii="Times New Roman" w:hAnsi="Times New Roman" w:cs="Times New Roman"/>
              </w:rPr>
              <w:t>&gt; 4.0</w:t>
            </w:r>
          </w:p>
        </w:tc>
        <w:tc>
          <w:tcPr>
            <w:tcW w:w="2203" w:type="dxa"/>
          </w:tcPr>
          <w:p w14:paraId="2F84E1EA"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0</w:t>
            </w:r>
          </w:p>
        </w:tc>
      </w:tr>
      <w:tr w:rsidR="00C562DD" w:rsidRPr="0025159D" w14:paraId="02EA045B" w14:textId="77777777" w:rsidTr="00D0274A">
        <w:trPr>
          <w:trHeight w:val="502"/>
          <w:jc w:val="center"/>
        </w:trPr>
        <w:tc>
          <w:tcPr>
            <w:tcW w:w="2203" w:type="dxa"/>
          </w:tcPr>
          <w:p w14:paraId="606705A4"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2.5 – 4.0</w:t>
            </w:r>
          </w:p>
        </w:tc>
        <w:tc>
          <w:tcPr>
            <w:tcW w:w="2203" w:type="dxa"/>
          </w:tcPr>
          <w:p w14:paraId="6B504EC0"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0.06</w:t>
            </w:r>
          </w:p>
        </w:tc>
      </w:tr>
      <w:tr w:rsidR="00C562DD" w:rsidRPr="0025159D" w14:paraId="35CBCE80" w14:textId="77777777" w:rsidTr="00D0274A">
        <w:trPr>
          <w:trHeight w:val="516"/>
          <w:jc w:val="center"/>
        </w:trPr>
        <w:tc>
          <w:tcPr>
            <w:tcW w:w="2203" w:type="dxa"/>
          </w:tcPr>
          <w:p w14:paraId="66B5BA0C"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1.5 – 2.5</w:t>
            </w:r>
          </w:p>
        </w:tc>
        <w:tc>
          <w:tcPr>
            <w:tcW w:w="2203" w:type="dxa"/>
          </w:tcPr>
          <w:p w14:paraId="64AF57E5"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0.075</w:t>
            </w:r>
          </w:p>
        </w:tc>
      </w:tr>
      <w:tr w:rsidR="00C562DD" w:rsidRPr="0025159D" w14:paraId="2325C0AC" w14:textId="77777777" w:rsidTr="00D0274A">
        <w:trPr>
          <w:trHeight w:val="516"/>
          <w:jc w:val="center"/>
        </w:trPr>
        <w:tc>
          <w:tcPr>
            <w:tcW w:w="2203" w:type="dxa"/>
          </w:tcPr>
          <w:p w14:paraId="66BDC3F6"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0.45 – 1.5</w:t>
            </w:r>
          </w:p>
        </w:tc>
        <w:tc>
          <w:tcPr>
            <w:tcW w:w="2203" w:type="dxa"/>
          </w:tcPr>
          <w:p w14:paraId="1913AECD"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1.00</w:t>
            </w:r>
          </w:p>
        </w:tc>
      </w:tr>
      <w:tr w:rsidR="00C562DD" w:rsidRPr="0025159D" w14:paraId="13F0B08F" w14:textId="77777777" w:rsidTr="00D0274A">
        <w:trPr>
          <w:trHeight w:val="502"/>
          <w:jc w:val="center"/>
        </w:trPr>
        <w:tc>
          <w:tcPr>
            <w:tcW w:w="2203" w:type="dxa"/>
          </w:tcPr>
          <w:p w14:paraId="7A5D43EC"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&lt; 0.45</w:t>
            </w:r>
          </w:p>
        </w:tc>
        <w:tc>
          <w:tcPr>
            <w:tcW w:w="2203" w:type="dxa"/>
          </w:tcPr>
          <w:p w14:paraId="6703B2D6" w14:textId="77777777" w:rsidR="003369A3" w:rsidRPr="0025159D" w:rsidRDefault="003369A3" w:rsidP="00D0274A">
            <w:pPr>
              <w:spacing w:line="480" w:lineRule="auto"/>
              <w:jc w:val="center"/>
              <w:rPr>
                <w:rFonts w:ascii="Times New Roman" w:hAnsi="Times New Roman" w:cs="Times New Roman"/>
              </w:rPr>
            </w:pPr>
            <w:r w:rsidRPr="0025159D">
              <w:rPr>
                <w:rFonts w:ascii="Times New Roman" w:hAnsi="Times New Roman" w:cs="Times New Roman"/>
              </w:rPr>
              <w:t>3.00</w:t>
            </w:r>
          </w:p>
        </w:tc>
      </w:tr>
    </w:tbl>
    <w:p w14:paraId="6CE2B457" w14:textId="77777777" w:rsidR="00C667AF" w:rsidRPr="0025159D" w:rsidRDefault="00C667AF" w:rsidP="00C667AF">
      <w:pPr>
        <w:rPr>
          <w:rFonts w:ascii="Times New Roman" w:hAnsi="Times New Roman" w:cs="Times New Roman"/>
          <w:sz w:val="24"/>
          <w:szCs w:val="24"/>
        </w:rPr>
      </w:pPr>
    </w:p>
    <w:p w14:paraId="77A1498D" w14:textId="18C56556" w:rsidR="00C667AF" w:rsidRPr="0025159D" w:rsidRDefault="00C667AF" w:rsidP="00C667AF">
      <w:pPr>
        <w:rPr>
          <w:rFonts w:ascii="Times New Roman" w:hAnsi="Times New Roman" w:cs="Times New Roman"/>
          <w:sz w:val="24"/>
          <w:szCs w:val="24"/>
        </w:rPr>
      </w:pPr>
      <w:r w:rsidRPr="0025159D">
        <w:rPr>
          <w:rFonts w:ascii="Times New Roman" w:hAnsi="Times New Roman" w:cs="Times New Roman"/>
          <w:b/>
          <w:bCs/>
          <w:sz w:val="24"/>
          <w:szCs w:val="24"/>
        </w:rPr>
        <w:t>Passenger Vehicles (section 30D)</w:t>
      </w:r>
      <w:r w:rsidR="003369A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Individuals purchasing a qualified plug-in </w:t>
      </w:r>
      <w:r w:rsidR="0043619F" w:rsidRPr="0025159D">
        <w:rPr>
          <w:rFonts w:ascii="Times New Roman" w:hAnsi="Times New Roman" w:cs="Times New Roman"/>
          <w:sz w:val="24"/>
          <w:szCs w:val="24"/>
        </w:rPr>
        <w:t>electric vehicle (</w:t>
      </w:r>
      <w:r w:rsidRPr="0025159D">
        <w:rPr>
          <w:rFonts w:ascii="Times New Roman" w:hAnsi="Times New Roman" w:cs="Times New Roman"/>
          <w:sz w:val="24"/>
          <w:szCs w:val="24"/>
        </w:rPr>
        <w:t>EV</w:t>
      </w:r>
      <w:r w:rsidR="0043619F" w:rsidRPr="0025159D">
        <w:rPr>
          <w:rFonts w:ascii="Times New Roman" w:hAnsi="Times New Roman" w:cs="Times New Roman"/>
          <w:sz w:val="24"/>
          <w:szCs w:val="24"/>
        </w:rPr>
        <w:t>)</w:t>
      </w:r>
      <w:r w:rsidRPr="0025159D">
        <w:rPr>
          <w:rFonts w:ascii="Times New Roman" w:hAnsi="Times New Roman" w:cs="Times New Roman"/>
          <w:sz w:val="24"/>
          <w:szCs w:val="24"/>
        </w:rPr>
        <w:t xml:space="preserve"> or fuel cell vehicle </w:t>
      </w:r>
      <w:r w:rsidR="00CA4D93" w:rsidRPr="0025159D">
        <w:rPr>
          <w:rFonts w:ascii="Times New Roman" w:hAnsi="Times New Roman" w:cs="Times New Roman"/>
          <w:sz w:val="24"/>
          <w:szCs w:val="24"/>
        </w:rPr>
        <w:t xml:space="preserve">(FCV) </w:t>
      </w:r>
      <w:r w:rsidRPr="0025159D">
        <w:rPr>
          <w:rFonts w:ascii="Times New Roman" w:hAnsi="Times New Roman" w:cs="Times New Roman"/>
          <w:sz w:val="24"/>
          <w:szCs w:val="24"/>
        </w:rPr>
        <w:t>between 2023 and 2032 may be eligible for credit up to $7,500 (</w:t>
      </w:r>
      <w:r w:rsidR="0043619F" w:rsidRPr="0025159D">
        <w:rPr>
          <w:rFonts w:ascii="Times New Roman" w:hAnsi="Times New Roman" w:cs="Times New Roman"/>
          <w:sz w:val="24"/>
          <w:szCs w:val="24"/>
        </w:rPr>
        <w:t>segmented</w:t>
      </w:r>
      <w:r w:rsidRPr="0025159D">
        <w:rPr>
          <w:rFonts w:ascii="Times New Roman" w:hAnsi="Times New Roman" w:cs="Times New Roman"/>
          <w:sz w:val="24"/>
          <w:szCs w:val="24"/>
        </w:rPr>
        <w:t xml:space="preserve"> into two $3,750 credits). The credits are subject to several requirements, including limits on the vehicle’s </w:t>
      </w:r>
      <w:r w:rsidR="00764387">
        <w:rPr>
          <w:rFonts w:ascii="Times New Roman" w:hAnsi="Times New Roman" w:cs="Times New Roman"/>
          <w:sz w:val="24"/>
          <w:szCs w:val="24"/>
        </w:rPr>
        <w:t>manufacturer-suggested</w:t>
      </w:r>
      <w:r w:rsidRPr="0025159D">
        <w:rPr>
          <w:rFonts w:ascii="Times New Roman" w:hAnsi="Times New Roman" w:cs="Times New Roman"/>
          <w:sz w:val="24"/>
          <w:szCs w:val="24"/>
        </w:rPr>
        <w:t xml:space="preserve"> retail price (MSRP), the individual’s adjusted gross income, requirements for domestic battery assembly, critical mineral sourcing, and avoidance of entities of concern. The </w:t>
      </w:r>
      <w:r w:rsidR="00053E7A">
        <w:rPr>
          <w:rFonts w:ascii="Times New Roman" w:hAnsi="Times New Roman" w:cs="Times New Roman"/>
          <w:sz w:val="24"/>
          <w:szCs w:val="24"/>
        </w:rPr>
        <w:t>number of vehicles and individuals qualifying</w:t>
      </w:r>
      <w:r w:rsidRPr="0025159D">
        <w:rPr>
          <w:rFonts w:ascii="Times New Roman" w:hAnsi="Times New Roman" w:cs="Times New Roman"/>
          <w:sz w:val="24"/>
          <w:szCs w:val="24"/>
        </w:rPr>
        <w:t xml:space="preserve"> for the credit remains uncertain</w:t>
      </w:r>
      <w:r w:rsidR="00764387">
        <w:rPr>
          <w:rFonts w:ascii="Times New Roman" w:hAnsi="Times New Roman" w:cs="Times New Roman"/>
          <w:sz w:val="24"/>
          <w:szCs w:val="24"/>
        </w:rPr>
        <w:t>. Still, a</w:t>
      </w:r>
      <w:r w:rsidRPr="0025159D">
        <w:rPr>
          <w:rFonts w:ascii="Times New Roman" w:hAnsi="Times New Roman" w:cs="Times New Roman"/>
          <w:sz w:val="24"/>
          <w:szCs w:val="24"/>
        </w:rPr>
        <w:t xml:space="preserve"> recent report from the International Council on Clean Transportation (ICCT) and Energy Innovation Policy &amp; Technology estimates the fraction of vehicle sales eligible for each. We use the report’s “moderate” scenario in our modeling. The study assumes that 100% of new EVs are eligible for the full $3,750 domestic battery assembly credit. In 2023, the study assumes 100% of new EVs meet the critical material requirements, dropping to 79% in 2025 and 72% in 2030 as the requirements increase in stringency. In 2032, the study assumes 78% of vehicles qualify. The report assumes that 87% of new EVs meet MSRP eligibility and 50% meet the entities of concern provision. Finally, the study assumes that 68% of individuals meet the adjusted gross income (AGI) requirements in 2023, rising to 77% in 2030. We model the provision as an average credit, implemented as a reduction in capital cost applied to all qualifying vehicles (all EVs and FCVs). Using the fractions outlined above, we calculate the average credit in a given year as follows:</w:t>
      </w:r>
    </w:p>
    <w:p w14:paraId="1C3138D8" w14:textId="301DD7DE" w:rsidR="003369A3" w:rsidRPr="0025159D" w:rsidRDefault="00000000" w:rsidP="00D0274A">
      <w:pPr>
        <w:keepNext/>
        <w:spacing w:line="48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MSRP</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AGI</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EC</m:t>
                  </m:r>
                </m:sub>
              </m:sSub>
              <m:r>
                <w:rPr>
                  <w:rFonts w:ascii="Cambria Math" w:hAnsi="Cambria Math" w:cs="Times New Roman"/>
                  <w:sz w:val="24"/>
                  <w:szCs w:val="24"/>
                </w:rPr>
                <m:t>[(C</m:t>
              </m:r>
            </m:e>
            <m:sub>
              <m:r>
                <w:rPr>
                  <w:rFonts w:ascii="Cambria Math" w:hAnsi="Cambria Math" w:cs="Times New Roman"/>
                  <w:sz w:val="24"/>
                  <w:szCs w:val="24"/>
                </w:rPr>
                <m:t>DBA</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DBA</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CMS</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CMS</m:t>
              </m:r>
            </m:sub>
          </m:sSub>
          <m:r>
            <w:rPr>
              <w:rFonts w:ascii="Cambria Math" w:hAnsi="Cambria Math" w:cs="Times New Roman"/>
              <w:sz w:val="24"/>
              <w:szCs w:val="24"/>
            </w:rPr>
            <m:t>)]</m:t>
          </m:r>
        </m:oMath>
      </m:oMathPara>
    </w:p>
    <w:p w14:paraId="2801555A" w14:textId="5698B4F9" w:rsidR="00E367B7" w:rsidRPr="0025159D" w:rsidRDefault="00E367B7" w:rsidP="00D0274A">
      <w:pPr>
        <w:pStyle w:val="Caption"/>
        <w:jc w:val="right"/>
        <w:rPr>
          <w:rFonts w:ascii="Times New Roman" w:hAnsi="Times New Roman" w:cs="Times New Roman"/>
          <w:b/>
          <w:bCs/>
          <w:color w:val="auto"/>
          <w:sz w:val="24"/>
          <w:szCs w:val="24"/>
        </w:rPr>
      </w:pPr>
      <w:r w:rsidRPr="0025159D">
        <w:rPr>
          <w:rFonts w:ascii="Times New Roman" w:hAnsi="Times New Roman" w:cs="Times New Roman"/>
          <w:b/>
          <w:bCs/>
          <w:color w:val="auto"/>
          <w:sz w:val="24"/>
          <w:szCs w:val="24"/>
        </w:rPr>
        <w:t xml:space="preserve">Equation </w:t>
      </w:r>
      <w:r w:rsidRPr="0025159D">
        <w:rPr>
          <w:rFonts w:ascii="Times New Roman" w:hAnsi="Times New Roman" w:cs="Times New Roman"/>
          <w:b/>
          <w:bCs/>
          <w:color w:val="auto"/>
          <w:sz w:val="24"/>
          <w:szCs w:val="24"/>
        </w:rPr>
        <w:fldChar w:fldCharType="begin"/>
      </w:r>
      <w:r w:rsidRPr="0025159D">
        <w:rPr>
          <w:rFonts w:ascii="Times New Roman" w:hAnsi="Times New Roman" w:cs="Times New Roman"/>
          <w:b/>
          <w:bCs/>
          <w:color w:val="auto"/>
          <w:sz w:val="24"/>
          <w:szCs w:val="24"/>
        </w:rPr>
        <w:instrText xml:space="preserve"> SEQ Equation \* ARABIC </w:instrText>
      </w:r>
      <w:r w:rsidRPr="0025159D">
        <w:rPr>
          <w:rFonts w:ascii="Times New Roman" w:hAnsi="Times New Roman" w:cs="Times New Roman"/>
          <w:b/>
          <w:bCs/>
          <w:color w:val="auto"/>
          <w:sz w:val="24"/>
          <w:szCs w:val="24"/>
        </w:rPr>
        <w:fldChar w:fldCharType="separate"/>
      </w:r>
      <w:r w:rsidRPr="0025159D">
        <w:rPr>
          <w:rFonts w:ascii="Times New Roman" w:hAnsi="Times New Roman" w:cs="Times New Roman"/>
          <w:b/>
          <w:bCs/>
          <w:noProof/>
          <w:color w:val="auto"/>
          <w:sz w:val="24"/>
          <w:szCs w:val="24"/>
        </w:rPr>
        <w:t>5</w:t>
      </w:r>
      <w:r w:rsidRPr="0025159D">
        <w:rPr>
          <w:rFonts w:ascii="Times New Roman" w:hAnsi="Times New Roman" w:cs="Times New Roman"/>
          <w:b/>
          <w:bCs/>
          <w:color w:val="auto"/>
          <w:sz w:val="24"/>
          <w:szCs w:val="24"/>
        </w:rPr>
        <w:fldChar w:fldCharType="end"/>
      </w:r>
    </w:p>
    <w:p w14:paraId="352461CB" w14:textId="1912683D" w:rsidR="00B25A8F" w:rsidRPr="0025159D" w:rsidRDefault="00C667AF">
      <w:pPr>
        <w:rPr>
          <w:rFonts w:ascii="Times New Roman" w:hAnsi="Times New Roman" w:cs="Times New Roman"/>
          <w:sz w:val="24"/>
          <w:szCs w:val="24"/>
        </w:rPr>
      </w:pPr>
      <w:r w:rsidRPr="0025159D">
        <w:rPr>
          <w:rFonts w:ascii="Times New Roman" w:hAnsi="Times New Roman" w:cs="Times New Roman"/>
          <w:sz w:val="24"/>
          <w:szCs w:val="24"/>
        </w:rPr>
        <w:lastRenderedPageBreak/>
        <w:t>Where</w:t>
      </w:r>
      <w:r w:rsidR="0076438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oMath>
      <w:r w:rsidRPr="0025159D">
        <w:rPr>
          <w:rFonts w:ascii="Times New Roman" w:hAnsi="Times New Roman" w:cs="Times New Roman"/>
          <w:sz w:val="24"/>
          <w:szCs w:val="24"/>
        </w:rPr>
        <w:t xml:space="preserve"> is the total credit available,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DBA</m:t>
            </m:r>
          </m:sub>
        </m:sSub>
      </m:oMath>
      <w:r w:rsidRPr="0025159D">
        <w:rPr>
          <w:rFonts w:ascii="Times New Roman" w:hAnsi="Times New Roman" w:cs="Times New Roman"/>
          <w:sz w:val="24"/>
          <w:szCs w:val="24"/>
        </w:rPr>
        <w:t xml:space="preserve"> is the domestic battery assembly credit, </w:t>
      </w:r>
      <w:r w:rsidR="003369A3" w:rsidRPr="0025159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CMS</m:t>
            </m:r>
          </m:sub>
        </m:sSub>
      </m:oMath>
      <w:r w:rsidRPr="0025159D">
        <w:rPr>
          <w:rFonts w:ascii="Times New Roman" w:hAnsi="Times New Roman" w:cs="Times New Roman"/>
          <w:sz w:val="24"/>
          <w:szCs w:val="24"/>
        </w:rPr>
        <w:t xml:space="preserve"> is the critical mineral sourcing credit, and</w:t>
      </w:r>
      <w:r w:rsidR="003369A3" w:rsidRPr="0025159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x</m:t>
            </m:r>
          </m:sub>
        </m:sSub>
      </m:oMath>
      <w:r w:rsidRPr="0025159D">
        <w:rPr>
          <w:rFonts w:ascii="Times New Roman" w:hAnsi="Times New Roman" w:cs="Times New Roman"/>
          <w:sz w:val="24"/>
          <w:szCs w:val="24"/>
        </w:rPr>
        <w:t xml:space="preserve"> are the fractions of vehicles meeting the MSRP, AGI, entities of concern, domestic battery assembly, and critical minerals sourcing requirements. </w:t>
      </w:r>
      <w:r w:rsidR="00E367B7" w:rsidRPr="0025159D">
        <w:rPr>
          <w:rFonts w:ascii="Times New Roman" w:hAnsi="Times New Roman" w:cs="Times New Roman"/>
          <w:sz w:val="24"/>
          <w:szCs w:val="24"/>
        </w:rPr>
        <w:fldChar w:fldCharType="begin"/>
      </w:r>
      <w:r w:rsidR="00E367B7" w:rsidRPr="0025159D">
        <w:rPr>
          <w:rFonts w:ascii="Times New Roman" w:hAnsi="Times New Roman" w:cs="Times New Roman"/>
          <w:sz w:val="24"/>
          <w:szCs w:val="24"/>
        </w:rPr>
        <w:instrText xml:space="preserve"> REF _Ref149841880 \h  \* MERGEFORMAT </w:instrText>
      </w:r>
      <w:r w:rsidR="00E367B7" w:rsidRPr="0025159D">
        <w:rPr>
          <w:rFonts w:ascii="Times New Roman" w:hAnsi="Times New Roman" w:cs="Times New Roman"/>
          <w:sz w:val="24"/>
          <w:szCs w:val="24"/>
        </w:rPr>
      </w:r>
      <w:r w:rsidR="00E367B7" w:rsidRPr="0025159D">
        <w:rPr>
          <w:rFonts w:ascii="Times New Roman" w:hAnsi="Times New Roman" w:cs="Times New Roman"/>
          <w:sz w:val="24"/>
          <w:szCs w:val="24"/>
        </w:rPr>
        <w:fldChar w:fldCharType="separate"/>
      </w:r>
      <w:r w:rsidR="00E367B7" w:rsidRPr="0025159D">
        <w:rPr>
          <w:rFonts w:ascii="Times New Roman" w:hAnsi="Times New Roman" w:cs="Times New Roman"/>
          <w:sz w:val="24"/>
          <w:szCs w:val="24"/>
        </w:rPr>
        <w:t>Table S</w:t>
      </w:r>
      <w:r w:rsidR="00E367B7" w:rsidRPr="0025159D">
        <w:rPr>
          <w:rFonts w:ascii="Times New Roman" w:hAnsi="Times New Roman" w:cs="Times New Roman"/>
          <w:noProof/>
          <w:sz w:val="24"/>
          <w:szCs w:val="24"/>
        </w:rPr>
        <w:t>4</w:t>
      </w:r>
      <w:r w:rsidR="00E367B7" w:rsidRPr="0025159D">
        <w:rPr>
          <w:rFonts w:ascii="Times New Roman" w:hAnsi="Times New Roman" w:cs="Times New Roman"/>
          <w:sz w:val="24"/>
          <w:szCs w:val="24"/>
        </w:rPr>
        <w:fldChar w:fldCharType="end"/>
      </w:r>
      <w:r w:rsidR="00E367B7" w:rsidRPr="0025159D">
        <w:rPr>
          <w:rFonts w:ascii="Times New Roman" w:hAnsi="Times New Roman" w:cs="Times New Roman"/>
          <w:sz w:val="24"/>
          <w:szCs w:val="24"/>
        </w:rPr>
        <w:t xml:space="preserve"> </w:t>
      </w:r>
      <w:r w:rsidRPr="0025159D">
        <w:rPr>
          <w:rFonts w:ascii="Times New Roman" w:hAnsi="Times New Roman" w:cs="Times New Roman"/>
          <w:sz w:val="24"/>
          <w:szCs w:val="24"/>
        </w:rPr>
        <w:t>outlines the calculated credit values in each year and each Temoa time period.</w:t>
      </w:r>
    </w:p>
    <w:p w14:paraId="33F3BF04" w14:textId="2807A5FC" w:rsidR="003369A3" w:rsidRPr="00973B19" w:rsidRDefault="00E367B7" w:rsidP="00D0274A">
      <w:pPr>
        <w:pStyle w:val="Caption"/>
        <w:rPr>
          <w:rFonts w:ascii="Times New Roman" w:hAnsi="Times New Roman" w:cs="Times New Roman"/>
          <w:b/>
          <w:bCs/>
          <w:i w:val="0"/>
          <w:iCs w:val="0"/>
          <w:color w:val="auto"/>
          <w:sz w:val="24"/>
          <w:szCs w:val="24"/>
        </w:rPr>
      </w:pPr>
      <w:bookmarkStart w:id="14" w:name="_Ref149841880"/>
      <w:r w:rsidRPr="00973B19">
        <w:rPr>
          <w:rFonts w:ascii="Times New Roman" w:hAnsi="Times New Roman" w:cs="Times New Roman"/>
          <w:b/>
          <w:bCs/>
          <w:i w:val="0"/>
          <w:iCs w:val="0"/>
          <w:color w:val="auto"/>
          <w:sz w:val="24"/>
          <w:szCs w:val="24"/>
        </w:rPr>
        <w:t>Table S</w:t>
      </w:r>
      <w:r w:rsidRPr="00973B19">
        <w:rPr>
          <w:rFonts w:ascii="Times New Roman" w:hAnsi="Times New Roman" w:cs="Times New Roman"/>
          <w:b/>
          <w:bCs/>
          <w:i w:val="0"/>
          <w:iCs w:val="0"/>
          <w:color w:val="auto"/>
          <w:sz w:val="24"/>
          <w:szCs w:val="24"/>
        </w:rPr>
        <w:fldChar w:fldCharType="begin"/>
      </w:r>
      <w:r w:rsidRPr="00973B19">
        <w:rPr>
          <w:rFonts w:ascii="Times New Roman" w:hAnsi="Times New Roman" w:cs="Times New Roman"/>
          <w:b/>
          <w:bCs/>
          <w:i w:val="0"/>
          <w:iCs w:val="0"/>
          <w:color w:val="auto"/>
          <w:sz w:val="24"/>
          <w:szCs w:val="24"/>
        </w:rPr>
        <w:instrText xml:space="preserve"> SEQ Table_S \* ARABIC </w:instrText>
      </w:r>
      <w:r w:rsidRPr="00973B19">
        <w:rPr>
          <w:rFonts w:ascii="Times New Roman" w:hAnsi="Times New Roman" w:cs="Times New Roman"/>
          <w:b/>
          <w:bCs/>
          <w:i w:val="0"/>
          <w:iCs w:val="0"/>
          <w:color w:val="auto"/>
          <w:sz w:val="24"/>
          <w:szCs w:val="24"/>
        </w:rPr>
        <w:fldChar w:fldCharType="separate"/>
      </w:r>
      <w:r w:rsidRPr="00973B19">
        <w:rPr>
          <w:rFonts w:ascii="Times New Roman" w:hAnsi="Times New Roman" w:cs="Times New Roman"/>
          <w:b/>
          <w:bCs/>
          <w:i w:val="0"/>
          <w:iCs w:val="0"/>
          <w:noProof/>
          <w:color w:val="auto"/>
          <w:sz w:val="24"/>
          <w:szCs w:val="24"/>
        </w:rPr>
        <w:t>4</w:t>
      </w:r>
      <w:r w:rsidRPr="00973B19">
        <w:rPr>
          <w:rFonts w:ascii="Times New Roman" w:hAnsi="Times New Roman" w:cs="Times New Roman"/>
          <w:b/>
          <w:bCs/>
          <w:i w:val="0"/>
          <w:iCs w:val="0"/>
          <w:color w:val="auto"/>
          <w:sz w:val="24"/>
          <w:szCs w:val="24"/>
        </w:rPr>
        <w:fldChar w:fldCharType="end"/>
      </w:r>
      <w:bookmarkEnd w:id="14"/>
      <w:r w:rsidR="003369A3" w:rsidRPr="00973B19">
        <w:rPr>
          <w:rFonts w:ascii="Times New Roman" w:hAnsi="Times New Roman" w:cs="Times New Roman"/>
          <w:b/>
          <w:bCs/>
          <w:i w:val="0"/>
          <w:iCs w:val="0"/>
          <w:color w:val="auto"/>
          <w:sz w:val="24"/>
          <w:szCs w:val="24"/>
        </w:rPr>
        <w:t>: IRA vehicle credits</w:t>
      </w:r>
    </w:p>
    <w:tbl>
      <w:tblPr>
        <w:tblW w:w="9344" w:type="dxa"/>
        <w:tblLayout w:type="fixed"/>
        <w:tblCellMar>
          <w:left w:w="0" w:type="dxa"/>
          <w:right w:w="0" w:type="dxa"/>
        </w:tblCellMar>
        <w:tblLook w:val="04A0" w:firstRow="1" w:lastRow="0" w:firstColumn="1" w:lastColumn="0" w:noHBand="0" w:noVBand="1"/>
      </w:tblPr>
      <w:tblGrid>
        <w:gridCol w:w="712"/>
        <w:gridCol w:w="810"/>
        <w:gridCol w:w="607"/>
        <w:gridCol w:w="797"/>
        <w:gridCol w:w="796"/>
        <w:gridCol w:w="797"/>
        <w:gridCol w:w="796"/>
        <w:gridCol w:w="1337"/>
        <w:gridCol w:w="1350"/>
        <w:gridCol w:w="1342"/>
      </w:tblGrid>
      <w:tr w:rsidR="003369A3" w:rsidRPr="0025159D" w14:paraId="507CA10F" w14:textId="77777777" w:rsidTr="00973B19">
        <w:trPr>
          <w:trHeight w:val="300"/>
        </w:trPr>
        <w:tc>
          <w:tcPr>
            <w:tcW w:w="712"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8F3D758" w14:textId="77777777" w:rsidR="003369A3" w:rsidRPr="0025159D" w:rsidRDefault="003369A3" w:rsidP="00D0274A">
            <w:pPr>
              <w:rPr>
                <w:rFonts w:ascii="Times New Roman" w:hAnsi="Times New Roman" w:cs="Times New Roman"/>
                <w:sz w:val="24"/>
                <w:szCs w:val="24"/>
              </w:rPr>
            </w:pPr>
            <w:r w:rsidRPr="0025159D">
              <w:rPr>
                <w:rFonts w:ascii="Times New Roman" w:hAnsi="Times New Roman" w:cs="Times New Roman"/>
                <w:sz w:val="24"/>
                <w:szCs w:val="24"/>
              </w:rPr>
              <w:t>Year</w:t>
            </w:r>
          </w:p>
        </w:tc>
        <w:tc>
          <w:tcPr>
            <w:tcW w:w="810"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D990B1C"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CMS</m:t>
                    </m:r>
                  </m:sub>
                </m:sSub>
              </m:oMath>
            </m:oMathPara>
          </w:p>
        </w:tc>
        <w:tc>
          <w:tcPr>
            <w:tcW w:w="607"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34BF73A"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MSRP</m:t>
                    </m:r>
                  </m:sub>
                </m:sSub>
              </m:oMath>
            </m:oMathPara>
          </w:p>
        </w:tc>
        <w:tc>
          <w:tcPr>
            <w:tcW w:w="797"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5865E7"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AGI</m:t>
                    </m:r>
                  </m:sub>
                </m:sSub>
              </m:oMath>
            </m:oMathPara>
          </w:p>
        </w:tc>
        <w:tc>
          <w:tcPr>
            <w:tcW w:w="796"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4A3617"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EC</m:t>
                    </m:r>
                  </m:sub>
                </m:sSub>
              </m:oMath>
            </m:oMathPara>
          </w:p>
        </w:tc>
        <w:tc>
          <w:tcPr>
            <w:tcW w:w="797"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0A1535"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DBA</m:t>
                    </m:r>
                  </m:sub>
                </m:sSub>
              </m:oMath>
            </m:oMathPara>
          </w:p>
        </w:tc>
        <w:tc>
          <w:tcPr>
            <w:tcW w:w="796"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DDC47AE"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CMS</m:t>
                    </m:r>
                  </m:sub>
                </m:sSub>
              </m:oMath>
            </m:oMathPara>
          </w:p>
        </w:tc>
        <w:tc>
          <w:tcPr>
            <w:tcW w:w="1337"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6B6A53F" w14:textId="77777777" w:rsidR="003369A3" w:rsidRPr="0025159D" w:rsidRDefault="00000000" w:rsidP="00D0274A">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oMath>
            </m:oMathPara>
          </w:p>
        </w:tc>
        <w:tc>
          <w:tcPr>
            <w:tcW w:w="1350"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EE2A7E" w14:textId="77777777" w:rsidR="003369A3" w:rsidRPr="0025159D" w:rsidRDefault="003369A3" w:rsidP="00D0274A">
            <w:pPr>
              <w:rPr>
                <w:rFonts w:ascii="Times New Roman" w:hAnsi="Times New Roman" w:cs="Times New Roman"/>
                <w:sz w:val="24"/>
                <w:szCs w:val="24"/>
              </w:rPr>
            </w:pPr>
            <w:r w:rsidRPr="0025159D">
              <w:rPr>
                <w:rFonts w:ascii="Times New Roman" w:hAnsi="Times New Roman" w:cs="Times New Roman"/>
                <w:sz w:val="24"/>
                <w:szCs w:val="24"/>
              </w:rPr>
              <w:t>Credit by time period, 2022 USD</w:t>
            </w:r>
          </w:p>
        </w:tc>
        <w:tc>
          <w:tcPr>
            <w:tcW w:w="1342"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6E0FDFD" w14:textId="77777777" w:rsidR="003369A3" w:rsidRPr="0025159D" w:rsidRDefault="003369A3" w:rsidP="00D0274A">
            <w:pPr>
              <w:rPr>
                <w:rFonts w:ascii="Times New Roman" w:hAnsi="Times New Roman" w:cs="Times New Roman"/>
                <w:sz w:val="24"/>
                <w:szCs w:val="24"/>
              </w:rPr>
            </w:pPr>
            <w:r w:rsidRPr="0025159D">
              <w:rPr>
                <w:rFonts w:ascii="Times New Roman" w:hAnsi="Times New Roman" w:cs="Times New Roman"/>
                <w:sz w:val="24"/>
                <w:szCs w:val="24"/>
              </w:rPr>
              <w:t>Credit by time period, 2015 USD</w:t>
            </w:r>
          </w:p>
        </w:tc>
      </w:tr>
      <w:tr w:rsidR="003369A3" w:rsidRPr="0025159D" w14:paraId="356EDACA"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83BA79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2020</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39968A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F51BBB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D9B59E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BD41D5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376CF0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FF1F8F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0E9145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8BF1E8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$3,000.00</w:t>
            </w: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704279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$2,430.00</w:t>
            </w:r>
          </w:p>
        </w:tc>
      </w:tr>
      <w:tr w:rsidR="003369A3" w:rsidRPr="0025159D" w14:paraId="69ED7295"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8CC4D8C"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2021</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0C7EFB7"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44231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E01DFA6"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8EDBE0B"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3A0849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00A569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7A997C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02FB555"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4C5F37" w14:textId="77777777" w:rsidR="003369A3" w:rsidRPr="0025159D" w:rsidRDefault="003369A3" w:rsidP="00D0274A">
            <w:pPr>
              <w:rPr>
                <w:rFonts w:ascii="Times New Roman" w:hAnsi="Times New Roman" w:cs="Times New Roman"/>
                <w:sz w:val="24"/>
                <w:szCs w:val="24"/>
              </w:rPr>
            </w:pPr>
          </w:p>
        </w:tc>
      </w:tr>
      <w:tr w:rsidR="003369A3" w:rsidRPr="0025159D" w14:paraId="0B3E0B12"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551A16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2022</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7AA11E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27EE10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8BB64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2DC17B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0856B4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970EF9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CA520B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E40B28"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88CC3BD" w14:textId="77777777" w:rsidR="003369A3" w:rsidRPr="0025159D" w:rsidRDefault="003369A3" w:rsidP="00D0274A">
            <w:pPr>
              <w:rPr>
                <w:rFonts w:ascii="Times New Roman" w:hAnsi="Times New Roman" w:cs="Times New Roman"/>
                <w:sz w:val="24"/>
                <w:szCs w:val="24"/>
              </w:rPr>
            </w:pPr>
          </w:p>
        </w:tc>
      </w:tr>
      <w:tr w:rsidR="003369A3" w:rsidRPr="0025159D" w14:paraId="6BE629E4"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63B6A1C"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2023</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0629356"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0BAF19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ED2A27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AF980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8692F5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64A302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725A18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$7,500.00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9B1B631"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A757F5" w14:textId="77777777" w:rsidR="003369A3" w:rsidRPr="0025159D" w:rsidRDefault="003369A3" w:rsidP="00D0274A">
            <w:pPr>
              <w:rPr>
                <w:rFonts w:ascii="Times New Roman" w:hAnsi="Times New Roman" w:cs="Times New Roman"/>
                <w:sz w:val="24"/>
                <w:szCs w:val="24"/>
              </w:rPr>
            </w:pPr>
          </w:p>
        </w:tc>
      </w:tr>
      <w:tr w:rsidR="003369A3" w:rsidRPr="0025159D" w14:paraId="74D3035D"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7E2128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2024</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ECB05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34B1A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D8F025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258CA4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1</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3559C87"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662B57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D99A6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$7,500.00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E06713C"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832EDA1" w14:textId="77777777" w:rsidR="003369A3" w:rsidRPr="0025159D" w:rsidRDefault="003369A3" w:rsidP="00D0274A">
            <w:pPr>
              <w:rPr>
                <w:rFonts w:ascii="Times New Roman" w:hAnsi="Times New Roman" w:cs="Times New Roman"/>
                <w:sz w:val="24"/>
                <w:szCs w:val="24"/>
              </w:rPr>
            </w:pPr>
          </w:p>
        </w:tc>
      </w:tr>
      <w:tr w:rsidR="003369A3" w:rsidRPr="0025159D" w14:paraId="23207E64"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E350ABB"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2025</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E9A33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0.79</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2660E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C611A9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0.68</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4452EE7"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D2521EB"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931196"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916597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$3,971.12</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73305B"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$4,059.41</w:t>
            </w: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312CBC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$3,288.12</w:t>
            </w:r>
          </w:p>
        </w:tc>
      </w:tr>
      <w:tr w:rsidR="003369A3" w:rsidRPr="0025159D" w14:paraId="387E97CE"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09D87C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2026</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66F127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0.698</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E24676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9EA94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0.698</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2D1467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880643"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A650E6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E786D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$3,866.73</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A2D1A76"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F5CDC5C" w14:textId="77777777" w:rsidR="003369A3" w:rsidRPr="0025159D" w:rsidRDefault="003369A3" w:rsidP="00D0274A">
            <w:pPr>
              <w:rPr>
                <w:rFonts w:ascii="Times New Roman" w:hAnsi="Times New Roman" w:cs="Times New Roman"/>
                <w:sz w:val="24"/>
                <w:szCs w:val="24"/>
              </w:rPr>
            </w:pPr>
          </w:p>
        </w:tc>
      </w:tr>
      <w:tr w:rsidR="003369A3" w:rsidRPr="0025159D" w14:paraId="3FA4D984"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B92804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2027</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4FA703"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0.716</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C7171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0CE016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0.716</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18DF2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734CD0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FAA6FC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8F87F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$4,008.49</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5F60E0"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71444EB" w14:textId="77777777" w:rsidR="003369A3" w:rsidRPr="0025159D" w:rsidRDefault="003369A3" w:rsidP="00D0274A">
            <w:pPr>
              <w:rPr>
                <w:rFonts w:ascii="Times New Roman" w:hAnsi="Times New Roman" w:cs="Times New Roman"/>
                <w:sz w:val="24"/>
                <w:szCs w:val="24"/>
              </w:rPr>
            </w:pPr>
          </w:p>
        </w:tc>
      </w:tr>
      <w:tr w:rsidR="003369A3" w:rsidRPr="0025159D" w14:paraId="12B3CB23"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239773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2028</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A05AA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0.734</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FC22C9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73606C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0.734</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AF03A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B2B946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E8130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F2D9E9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$4,152.37</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2A24E0"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FD5A8A7" w14:textId="77777777" w:rsidR="003369A3" w:rsidRPr="0025159D" w:rsidRDefault="003369A3" w:rsidP="00D0274A">
            <w:pPr>
              <w:rPr>
                <w:rFonts w:ascii="Times New Roman" w:hAnsi="Times New Roman" w:cs="Times New Roman"/>
                <w:sz w:val="24"/>
                <w:szCs w:val="24"/>
              </w:rPr>
            </w:pPr>
          </w:p>
        </w:tc>
      </w:tr>
      <w:tr w:rsidR="003369A3" w:rsidRPr="0025159D" w14:paraId="7735B297"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684C79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2029</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E9EFC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0.752</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FA186A7"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B7A63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0.752</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A6F3A1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815004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8B7FE4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5A1DD6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$4,298.36</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DB69D17"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1B566CE" w14:textId="77777777" w:rsidR="003369A3" w:rsidRPr="0025159D" w:rsidRDefault="003369A3" w:rsidP="00D0274A">
            <w:pPr>
              <w:rPr>
                <w:rFonts w:ascii="Times New Roman" w:hAnsi="Times New Roman" w:cs="Times New Roman"/>
                <w:sz w:val="24"/>
                <w:szCs w:val="24"/>
              </w:rPr>
            </w:pPr>
          </w:p>
        </w:tc>
      </w:tr>
      <w:tr w:rsidR="003369A3" w:rsidRPr="0025159D" w14:paraId="7DA20959"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2114F2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2030</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D17692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0.72</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62A0E6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7679D3"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0.77</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A2C84A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8E9847C"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8C5B0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08C9DB7"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$4,320.86</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D8B599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$2,637.73</w:t>
            </w: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F89CB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$2,136.56</w:t>
            </w:r>
          </w:p>
        </w:tc>
      </w:tr>
      <w:tr w:rsidR="003369A3" w:rsidRPr="0025159D" w14:paraId="6906F210"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C4DA3D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2031</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993BA3C"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0.75</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35C7A0C"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C2E79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0.77</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93A6AEA"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124403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6BF5F96"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6C2B19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$4,396.22</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22EABB"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93E6B7" w14:textId="77777777" w:rsidR="003369A3" w:rsidRPr="0025159D" w:rsidRDefault="003369A3" w:rsidP="00D0274A">
            <w:pPr>
              <w:rPr>
                <w:rFonts w:ascii="Times New Roman" w:hAnsi="Times New Roman" w:cs="Times New Roman"/>
                <w:sz w:val="24"/>
                <w:szCs w:val="24"/>
              </w:rPr>
            </w:pPr>
          </w:p>
        </w:tc>
      </w:tr>
      <w:tr w:rsidR="003369A3" w:rsidRPr="0025159D" w14:paraId="15DF245D"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A814C1E"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2032</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5201D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0.78</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1DD1B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0.87</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902A12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0.77</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EC7EC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0.5</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C8619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554109B"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$3,750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50DD9C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$4,471.58</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F69A953"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391A7CC" w14:textId="77777777" w:rsidR="003369A3" w:rsidRPr="0025159D" w:rsidRDefault="003369A3" w:rsidP="00D0274A">
            <w:pPr>
              <w:rPr>
                <w:rFonts w:ascii="Times New Roman" w:hAnsi="Times New Roman" w:cs="Times New Roman"/>
                <w:sz w:val="24"/>
                <w:szCs w:val="24"/>
              </w:rPr>
            </w:pPr>
          </w:p>
        </w:tc>
      </w:tr>
      <w:tr w:rsidR="003369A3" w:rsidRPr="0025159D" w14:paraId="3239B66C"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C82C2C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2033</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F78031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1B9AA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08672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69703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0311A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C80336"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301185"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81D1288"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5C9E82" w14:textId="77777777" w:rsidR="003369A3" w:rsidRPr="0025159D" w:rsidRDefault="003369A3" w:rsidP="00D0274A">
            <w:pPr>
              <w:rPr>
                <w:rFonts w:ascii="Times New Roman" w:hAnsi="Times New Roman" w:cs="Times New Roman"/>
                <w:sz w:val="24"/>
                <w:szCs w:val="24"/>
              </w:rPr>
            </w:pPr>
          </w:p>
        </w:tc>
      </w:tr>
      <w:tr w:rsidR="003369A3" w:rsidRPr="0025159D" w14:paraId="64D61423"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B1814DD"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2034</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E5550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9FABE7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368959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E3ED570"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B8EE38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3BBBAE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FF5DA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B7DE86"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E0B03E" w14:textId="77777777" w:rsidR="003369A3" w:rsidRPr="0025159D" w:rsidRDefault="003369A3" w:rsidP="00D0274A">
            <w:pPr>
              <w:rPr>
                <w:rFonts w:ascii="Times New Roman" w:hAnsi="Times New Roman" w:cs="Times New Roman"/>
                <w:sz w:val="24"/>
                <w:szCs w:val="24"/>
              </w:rPr>
            </w:pPr>
          </w:p>
        </w:tc>
      </w:tr>
      <w:tr w:rsidR="003369A3" w:rsidRPr="0025159D" w14:paraId="7D206AD1" w14:textId="77777777" w:rsidTr="00973B19">
        <w:trPr>
          <w:trHeight w:val="300"/>
        </w:trPr>
        <w:tc>
          <w:tcPr>
            <w:tcW w:w="712"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3CF65D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2035</w:t>
            </w:r>
          </w:p>
        </w:tc>
        <w:tc>
          <w:tcPr>
            <w:tcW w:w="81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682F539"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60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90658CF"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389D384"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845263"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5954F1"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79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1C6522"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w:t>
            </w:r>
          </w:p>
        </w:tc>
        <w:tc>
          <w:tcPr>
            <w:tcW w:w="133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660C368" w14:textId="77777777" w:rsidR="003369A3" w:rsidRPr="0025159D" w:rsidRDefault="003369A3" w:rsidP="00D0274A">
            <w:pPr>
              <w:jc w:val="right"/>
              <w:rPr>
                <w:rFonts w:ascii="Times New Roman" w:hAnsi="Times New Roman" w:cs="Times New Roman"/>
                <w:sz w:val="24"/>
                <w:szCs w:val="24"/>
              </w:rPr>
            </w:pPr>
            <w:r w:rsidRPr="0025159D">
              <w:rPr>
                <w:rFonts w:ascii="Times New Roman" w:hAnsi="Times New Roman" w:cs="Times New Roman"/>
                <w:sz w:val="24"/>
                <w:szCs w:val="24"/>
              </w:rPr>
              <w:t>$0.00</w:t>
            </w:r>
          </w:p>
        </w:tc>
        <w:tc>
          <w:tcPr>
            <w:tcW w:w="135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93568DC" w14:textId="77777777" w:rsidR="003369A3" w:rsidRPr="0025159D" w:rsidRDefault="003369A3" w:rsidP="00D0274A">
            <w:pPr>
              <w:jc w:val="right"/>
              <w:rPr>
                <w:rFonts w:ascii="Times New Roman" w:hAnsi="Times New Roman" w:cs="Times New Roman"/>
                <w:sz w:val="24"/>
                <w:szCs w:val="24"/>
              </w:rPr>
            </w:pPr>
          </w:p>
        </w:tc>
        <w:tc>
          <w:tcPr>
            <w:tcW w:w="134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104B856" w14:textId="77777777" w:rsidR="003369A3" w:rsidRPr="0025159D" w:rsidRDefault="003369A3" w:rsidP="00D0274A">
            <w:pPr>
              <w:rPr>
                <w:rFonts w:ascii="Times New Roman" w:hAnsi="Times New Roman" w:cs="Times New Roman"/>
                <w:sz w:val="24"/>
                <w:szCs w:val="24"/>
              </w:rPr>
            </w:pPr>
          </w:p>
        </w:tc>
      </w:tr>
    </w:tbl>
    <w:p w14:paraId="26A84ACF" w14:textId="77777777" w:rsidR="00C667AF" w:rsidRPr="0025159D" w:rsidRDefault="00C667AF" w:rsidP="00C667AF">
      <w:pPr>
        <w:rPr>
          <w:rFonts w:ascii="Times New Roman" w:hAnsi="Times New Roman" w:cs="Times New Roman"/>
          <w:sz w:val="24"/>
          <w:szCs w:val="24"/>
        </w:rPr>
      </w:pPr>
    </w:p>
    <w:p w14:paraId="4A723E99" w14:textId="1F89A2AC" w:rsidR="00C667AF" w:rsidRPr="0025159D" w:rsidRDefault="00C667AF" w:rsidP="00C667AF">
      <w:pPr>
        <w:rPr>
          <w:rFonts w:ascii="Times New Roman" w:hAnsi="Times New Roman" w:cs="Times New Roman"/>
          <w:b/>
          <w:bCs/>
          <w:sz w:val="24"/>
          <w:szCs w:val="24"/>
        </w:rPr>
      </w:pPr>
      <w:r w:rsidRPr="0025159D">
        <w:rPr>
          <w:rFonts w:ascii="Times New Roman" w:hAnsi="Times New Roman" w:cs="Times New Roman"/>
          <w:b/>
          <w:bCs/>
          <w:sz w:val="24"/>
          <w:szCs w:val="24"/>
        </w:rPr>
        <w:t>Commercial Vehicles (section 45W)</w:t>
      </w:r>
      <w:r w:rsidR="003369A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 xml:space="preserve">Commercial vehicles are not subject to the same restrictions as passenger vehicles. </w:t>
      </w:r>
      <w:r w:rsidR="008E0DB6">
        <w:rPr>
          <w:rFonts w:ascii="Times New Roman" w:hAnsi="Times New Roman" w:cs="Times New Roman"/>
          <w:sz w:val="24"/>
          <w:szCs w:val="24"/>
        </w:rPr>
        <w:t>The IRA provides a tax credit equal to 30% of the vehicle's purchase price for qualifying light-, medium-, and heavy-duty vehicles</w:t>
      </w:r>
      <w:r w:rsidRPr="0025159D">
        <w:rPr>
          <w:rFonts w:ascii="Times New Roman" w:hAnsi="Times New Roman" w:cs="Times New Roman"/>
          <w:sz w:val="24"/>
          <w:szCs w:val="24"/>
        </w:rPr>
        <w:t>. Light-duty commercial vehicles tax credits cannot exceed $7,500</w:t>
      </w:r>
      <w:r w:rsidR="00764387">
        <w:rPr>
          <w:rFonts w:ascii="Times New Roman" w:hAnsi="Times New Roman" w:cs="Times New Roman"/>
          <w:sz w:val="24"/>
          <w:szCs w:val="24"/>
        </w:rPr>
        <w:t>,</w:t>
      </w:r>
      <w:r w:rsidRPr="0025159D">
        <w:rPr>
          <w:rFonts w:ascii="Times New Roman" w:hAnsi="Times New Roman" w:cs="Times New Roman"/>
          <w:sz w:val="24"/>
          <w:szCs w:val="24"/>
        </w:rPr>
        <w:t xml:space="preserve"> and medium- and heavy-duty vehicles may not receive credits </w:t>
      </w:r>
      <w:r w:rsidR="00764387">
        <w:rPr>
          <w:rFonts w:ascii="Times New Roman" w:hAnsi="Times New Roman" w:cs="Times New Roman"/>
          <w:sz w:val="24"/>
          <w:szCs w:val="24"/>
        </w:rPr>
        <w:t>over</w:t>
      </w:r>
      <w:r w:rsidRPr="0025159D">
        <w:rPr>
          <w:rFonts w:ascii="Times New Roman" w:hAnsi="Times New Roman" w:cs="Times New Roman"/>
          <w:sz w:val="24"/>
          <w:szCs w:val="24"/>
        </w:rPr>
        <w:t xml:space="preserve"> $40,000. To implement this provision, we reduce the capital cost by 30%. If 30% of the capital cost </w:t>
      </w:r>
      <w:r w:rsidR="00764387">
        <w:rPr>
          <w:rFonts w:ascii="Times New Roman" w:hAnsi="Times New Roman" w:cs="Times New Roman"/>
          <w:sz w:val="24"/>
          <w:szCs w:val="24"/>
        </w:rPr>
        <w:t>exceeds</w:t>
      </w:r>
      <w:r w:rsidRPr="0025159D">
        <w:rPr>
          <w:rFonts w:ascii="Times New Roman" w:hAnsi="Times New Roman" w:cs="Times New Roman"/>
          <w:sz w:val="24"/>
          <w:szCs w:val="24"/>
        </w:rPr>
        <w:t xml:space="preserve"> $7,500/$40,000, we reduce the capital cost by that value.  </w:t>
      </w:r>
    </w:p>
    <w:p w14:paraId="7B756B3A" w14:textId="3291CD66" w:rsidR="00B25A8F" w:rsidRDefault="00C667AF" w:rsidP="00FB7156">
      <w:pPr>
        <w:rPr>
          <w:rFonts w:ascii="Times New Roman" w:hAnsi="Times New Roman" w:cs="Times New Roman"/>
          <w:sz w:val="24"/>
          <w:szCs w:val="24"/>
        </w:rPr>
      </w:pPr>
      <w:r w:rsidRPr="0025159D">
        <w:rPr>
          <w:rFonts w:ascii="Times New Roman" w:hAnsi="Times New Roman" w:cs="Times New Roman"/>
          <w:b/>
          <w:bCs/>
          <w:sz w:val="24"/>
          <w:szCs w:val="24"/>
        </w:rPr>
        <w:lastRenderedPageBreak/>
        <w:t>Stacked credits</w:t>
      </w:r>
      <w:r w:rsidR="003369A3" w:rsidRPr="0025159D">
        <w:rPr>
          <w:rFonts w:ascii="Times New Roman" w:hAnsi="Times New Roman" w:cs="Times New Roman"/>
          <w:b/>
          <w:bCs/>
          <w:sz w:val="24"/>
          <w:szCs w:val="24"/>
        </w:rPr>
        <w:t xml:space="preserve">: </w:t>
      </w:r>
      <w:r w:rsidRPr="0025159D">
        <w:rPr>
          <w:rFonts w:ascii="Times New Roman" w:hAnsi="Times New Roman" w:cs="Times New Roman"/>
          <w:sz w:val="24"/>
          <w:szCs w:val="24"/>
        </w:rPr>
        <w:t>Temoa’s technology-explicit representation enables us to represent distinct pathways in cases where a technology can qualify for one of multiple provisions.  Renewable energy project owners may receive either the PTC or ITC</w:t>
      </w:r>
      <w:r w:rsidR="00764387">
        <w:rPr>
          <w:rFonts w:ascii="Times New Roman" w:hAnsi="Times New Roman" w:cs="Times New Roman"/>
          <w:sz w:val="24"/>
          <w:szCs w:val="24"/>
        </w:rPr>
        <w:t>,</w:t>
      </w:r>
      <w:r w:rsidRPr="0025159D">
        <w:rPr>
          <w:rFonts w:ascii="Times New Roman" w:hAnsi="Times New Roman" w:cs="Times New Roman"/>
          <w:sz w:val="24"/>
          <w:szCs w:val="24"/>
        </w:rPr>
        <w:t xml:space="preserve"> but not both. Similarly, projects cannot qualify for both 45V and 45Q. We implement tax credits such that the model may choose one or the other, allowing it to optimize credit efficacy.</w:t>
      </w:r>
      <w:r w:rsidR="0045452A" w:rsidRPr="0025159D" w:rsidDel="0045452A">
        <w:rPr>
          <w:rFonts w:ascii="Times New Roman" w:hAnsi="Times New Roman" w:cs="Times New Roman"/>
          <w:sz w:val="24"/>
          <w:szCs w:val="24"/>
        </w:rPr>
        <w:t xml:space="preserve"> </w:t>
      </w:r>
    </w:p>
    <w:p w14:paraId="1E818FD5" w14:textId="77777777" w:rsidR="00B25A8F" w:rsidRDefault="00B25A8F">
      <w:pPr>
        <w:rPr>
          <w:rFonts w:ascii="Times New Roman" w:hAnsi="Times New Roman" w:cs="Times New Roman"/>
          <w:sz w:val="24"/>
          <w:szCs w:val="24"/>
        </w:rPr>
      </w:pPr>
      <w:r>
        <w:rPr>
          <w:rFonts w:ascii="Times New Roman" w:hAnsi="Times New Roman" w:cs="Times New Roman"/>
          <w:sz w:val="24"/>
          <w:szCs w:val="24"/>
        </w:rPr>
        <w:br w:type="page"/>
      </w:r>
    </w:p>
    <w:p w14:paraId="03D545BF" w14:textId="758657B2" w:rsidR="00E92BE1" w:rsidRPr="009A0C39" w:rsidRDefault="00253D04" w:rsidP="00FB7156">
      <w:pPr>
        <w:rPr>
          <w:rFonts w:ascii="Times New Roman" w:hAnsi="Times New Roman" w:cs="Times New Roman"/>
          <w:b/>
          <w:bCs/>
          <w:sz w:val="24"/>
          <w:szCs w:val="24"/>
        </w:rPr>
      </w:pPr>
      <w:r w:rsidRPr="0025159D">
        <w:rPr>
          <w:rFonts w:ascii="Times New Roman" w:hAnsi="Times New Roman" w:cs="Times New Roman"/>
          <w:b/>
          <w:bCs/>
          <w:sz w:val="24"/>
          <w:szCs w:val="24"/>
        </w:rPr>
        <w:lastRenderedPageBreak/>
        <w:t>Supplemental Figures:</w:t>
      </w:r>
      <w:r w:rsidR="00E92BE1">
        <w:rPr>
          <w:rFonts w:ascii="Times New Roman" w:hAnsi="Times New Roman" w:cs="Times New Roman"/>
          <w:b/>
          <w:bCs/>
          <w:sz w:val="24"/>
          <w:szCs w:val="24"/>
        </w:rPr>
        <w:br/>
      </w:r>
      <w:r w:rsidR="00E92BE1">
        <w:rPr>
          <w:rFonts w:ascii="Times New Roman" w:hAnsi="Times New Roman" w:cs="Times New Roman"/>
          <w:sz w:val="24"/>
          <w:szCs w:val="24"/>
        </w:rPr>
        <w:t xml:space="preserve">Section 2.2 in the main text discusses electricity generation in the power sector. In </w:t>
      </w:r>
      <w:r w:rsidR="00E92BE1" w:rsidRPr="00E92BE1">
        <w:rPr>
          <w:rFonts w:ascii="Times New Roman" w:hAnsi="Times New Roman" w:cs="Times New Roman"/>
          <w:sz w:val="24"/>
          <w:szCs w:val="24"/>
        </w:rPr>
        <w:fldChar w:fldCharType="begin"/>
      </w:r>
      <w:r w:rsidR="00E92BE1" w:rsidRPr="00E92BE1">
        <w:rPr>
          <w:rFonts w:ascii="Times New Roman" w:hAnsi="Times New Roman" w:cs="Times New Roman"/>
          <w:sz w:val="24"/>
          <w:szCs w:val="24"/>
        </w:rPr>
        <w:instrText xml:space="preserve"> REF _Ref150618871 \h </w:instrText>
      </w:r>
      <w:r w:rsidR="00E92BE1" w:rsidRPr="00973B19">
        <w:rPr>
          <w:rFonts w:ascii="Times New Roman" w:hAnsi="Times New Roman" w:cs="Times New Roman"/>
          <w:sz w:val="24"/>
          <w:szCs w:val="24"/>
        </w:rPr>
        <w:instrText xml:space="preserve"> \* MERGEFORMAT </w:instrText>
      </w:r>
      <w:r w:rsidR="00E92BE1" w:rsidRPr="00E92BE1">
        <w:rPr>
          <w:rFonts w:ascii="Times New Roman" w:hAnsi="Times New Roman" w:cs="Times New Roman"/>
          <w:sz w:val="24"/>
          <w:szCs w:val="24"/>
        </w:rPr>
      </w:r>
      <w:r w:rsidR="00E92BE1" w:rsidRPr="00E92BE1">
        <w:rPr>
          <w:rFonts w:ascii="Times New Roman" w:hAnsi="Times New Roman" w:cs="Times New Roman"/>
          <w:sz w:val="24"/>
          <w:szCs w:val="24"/>
        </w:rPr>
        <w:fldChar w:fldCharType="separate"/>
      </w:r>
      <w:r w:rsidR="00E92BE1" w:rsidRPr="00973B19">
        <w:rPr>
          <w:rFonts w:ascii="Times New Roman" w:hAnsi="Times New Roman" w:cs="Times New Roman"/>
          <w:sz w:val="24"/>
          <w:szCs w:val="24"/>
        </w:rPr>
        <w:t>Figure S</w:t>
      </w:r>
      <w:r w:rsidR="00E92BE1" w:rsidRPr="00973B19">
        <w:rPr>
          <w:rFonts w:ascii="Times New Roman" w:hAnsi="Times New Roman" w:cs="Times New Roman"/>
          <w:noProof/>
          <w:sz w:val="24"/>
          <w:szCs w:val="24"/>
        </w:rPr>
        <w:t>2</w:t>
      </w:r>
      <w:r w:rsidR="00E92BE1" w:rsidRPr="00E92BE1">
        <w:rPr>
          <w:rFonts w:ascii="Times New Roman" w:hAnsi="Times New Roman" w:cs="Times New Roman"/>
          <w:sz w:val="24"/>
          <w:szCs w:val="24"/>
        </w:rPr>
        <w:fldChar w:fldCharType="end"/>
      </w:r>
      <w:r w:rsidR="00764387">
        <w:rPr>
          <w:rFonts w:ascii="Times New Roman" w:hAnsi="Times New Roman" w:cs="Times New Roman"/>
          <w:sz w:val="24"/>
          <w:szCs w:val="24"/>
        </w:rPr>
        <w:t>,</w:t>
      </w:r>
      <w:r w:rsidR="00E92BE1">
        <w:rPr>
          <w:rFonts w:ascii="Times New Roman" w:hAnsi="Times New Roman" w:cs="Times New Roman"/>
          <w:sz w:val="24"/>
          <w:szCs w:val="24"/>
        </w:rPr>
        <w:t xml:space="preserve"> we show the capacities in the power sector used to achieve those </w:t>
      </w:r>
      <w:r w:rsidR="00053E7A">
        <w:rPr>
          <w:rFonts w:ascii="Times New Roman" w:hAnsi="Times New Roman" w:cs="Times New Roman"/>
          <w:sz w:val="24"/>
          <w:szCs w:val="24"/>
        </w:rPr>
        <w:t>generation levels</w:t>
      </w:r>
      <w:r w:rsidR="00E92BE1">
        <w:rPr>
          <w:rFonts w:ascii="Times New Roman" w:hAnsi="Times New Roman" w:cs="Times New Roman"/>
          <w:sz w:val="24"/>
          <w:szCs w:val="24"/>
        </w:rPr>
        <w:t xml:space="preserve"> across the near cost-optimal net-zero pathways.</w:t>
      </w:r>
      <w:r w:rsidR="00E92BE1" w:rsidRPr="00E92BE1">
        <w:rPr>
          <w:rFonts w:ascii="Times New Roman" w:hAnsi="Times New Roman" w:cs="Times New Roman"/>
          <w:sz w:val="24"/>
          <w:szCs w:val="24"/>
        </w:rPr>
        <w:t xml:space="preserve"> </w:t>
      </w:r>
      <w:r w:rsidR="00E92BE1">
        <w:rPr>
          <w:rFonts w:ascii="Times New Roman" w:hAnsi="Times New Roman" w:cs="Times New Roman"/>
          <w:sz w:val="24"/>
          <w:szCs w:val="24"/>
        </w:rPr>
        <w:t xml:space="preserve">In </w:t>
      </w:r>
      <w:r w:rsidR="00E92BE1" w:rsidRPr="00E92BE1">
        <w:rPr>
          <w:rFonts w:ascii="Times New Roman" w:hAnsi="Times New Roman" w:cs="Times New Roman"/>
          <w:sz w:val="24"/>
          <w:szCs w:val="24"/>
        </w:rPr>
        <w:fldChar w:fldCharType="begin"/>
      </w:r>
      <w:r w:rsidR="00E92BE1" w:rsidRPr="00E92BE1">
        <w:rPr>
          <w:rFonts w:ascii="Times New Roman" w:hAnsi="Times New Roman" w:cs="Times New Roman"/>
          <w:sz w:val="24"/>
          <w:szCs w:val="24"/>
        </w:rPr>
        <w:instrText xml:space="preserve"> REF _Ref150618944 \h </w:instrText>
      </w:r>
      <w:r w:rsidR="00E92BE1" w:rsidRPr="009F167B">
        <w:rPr>
          <w:rFonts w:ascii="Times New Roman" w:hAnsi="Times New Roman" w:cs="Times New Roman"/>
          <w:sz w:val="24"/>
          <w:szCs w:val="24"/>
        </w:rPr>
        <w:instrText xml:space="preserve"> \* MERGEFORMAT </w:instrText>
      </w:r>
      <w:r w:rsidR="00E92BE1" w:rsidRPr="00E92BE1">
        <w:rPr>
          <w:rFonts w:ascii="Times New Roman" w:hAnsi="Times New Roman" w:cs="Times New Roman"/>
          <w:sz w:val="24"/>
          <w:szCs w:val="24"/>
        </w:rPr>
      </w:r>
      <w:r w:rsidR="00E92BE1" w:rsidRPr="00E92BE1">
        <w:rPr>
          <w:rFonts w:ascii="Times New Roman" w:hAnsi="Times New Roman" w:cs="Times New Roman"/>
          <w:sz w:val="24"/>
          <w:szCs w:val="24"/>
        </w:rPr>
        <w:fldChar w:fldCharType="separate"/>
      </w:r>
      <w:r w:rsidR="00E92BE1" w:rsidRPr="009F167B">
        <w:rPr>
          <w:rFonts w:ascii="Times New Roman" w:hAnsi="Times New Roman" w:cs="Times New Roman"/>
          <w:sz w:val="24"/>
          <w:szCs w:val="24"/>
        </w:rPr>
        <w:t>Figure S</w:t>
      </w:r>
      <w:r w:rsidR="00E92BE1" w:rsidRPr="009F167B">
        <w:rPr>
          <w:rFonts w:ascii="Times New Roman" w:hAnsi="Times New Roman" w:cs="Times New Roman"/>
          <w:noProof/>
          <w:sz w:val="24"/>
          <w:szCs w:val="24"/>
        </w:rPr>
        <w:t>3</w:t>
      </w:r>
      <w:r w:rsidR="00E92BE1" w:rsidRPr="00E92BE1">
        <w:rPr>
          <w:rFonts w:ascii="Times New Roman" w:hAnsi="Times New Roman" w:cs="Times New Roman"/>
          <w:sz w:val="24"/>
          <w:szCs w:val="24"/>
        </w:rPr>
        <w:fldChar w:fldCharType="end"/>
      </w:r>
      <w:r w:rsidR="00E92BE1">
        <w:rPr>
          <w:rFonts w:ascii="Times New Roman" w:hAnsi="Times New Roman" w:cs="Times New Roman"/>
          <w:sz w:val="24"/>
          <w:szCs w:val="24"/>
        </w:rPr>
        <w:t>, we show the fraction of generation coming from renewable and nuclear + renewable sources across the near cost-optimal net-zero pathways.</w:t>
      </w:r>
      <w:r w:rsidR="009A0C39">
        <w:rPr>
          <w:rFonts w:ascii="Times New Roman" w:hAnsi="Times New Roman" w:cs="Times New Roman"/>
          <w:sz w:val="24"/>
          <w:szCs w:val="24"/>
        </w:rPr>
        <w:t xml:space="preserve"> In </w:t>
      </w:r>
      <w:r w:rsidR="009A0C39" w:rsidRPr="009A0C39">
        <w:rPr>
          <w:rFonts w:ascii="Times New Roman" w:hAnsi="Times New Roman" w:cs="Times New Roman"/>
          <w:sz w:val="24"/>
          <w:szCs w:val="24"/>
        </w:rPr>
        <w:fldChar w:fldCharType="begin"/>
      </w:r>
      <w:r w:rsidR="009A0C39" w:rsidRPr="009A0C39">
        <w:rPr>
          <w:rFonts w:ascii="Times New Roman" w:hAnsi="Times New Roman" w:cs="Times New Roman"/>
          <w:sz w:val="24"/>
          <w:szCs w:val="24"/>
        </w:rPr>
        <w:instrText xml:space="preserve"> REF _Ref150619206 \h </w:instrText>
      </w:r>
      <w:r w:rsidR="009A0C39" w:rsidRPr="00973B19">
        <w:rPr>
          <w:rFonts w:ascii="Times New Roman" w:hAnsi="Times New Roman" w:cs="Times New Roman"/>
          <w:sz w:val="24"/>
          <w:szCs w:val="24"/>
        </w:rPr>
        <w:instrText xml:space="preserve"> \* MERGEFORMAT </w:instrText>
      </w:r>
      <w:r w:rsidR="009A0C39" w:rsidRPr="009A0C39">
        <w:rPr>
          <w:rFonts w:ascii="Times New Roman" w:hAnsi="Times New Roman" w:cs="Times New Roman"/>
          <w:sz w:val="24"/>
          <w:szCs w:val="24"/>
        </w:rPr>
      </w:r>
      <w:r w:rsidR="009A0C39" w:rsidRPr="009A0C39">
        <w:rPr>
          <w:rFonts w:ascii="Times New Roman" w:hAnsi="Times New Roman" w:cs="Times New Roman"/>
          <w:sz w:val="24"/>
          <w:szCs w:val="24"/>
        </w:rPr>
        <w:fldChar w:fldCharType="separate"/>
      </w:r>
      <w:r w:rsidR="009A0C39" w:rsidRPr="00973B19">
        <w:rPr>
          <w:rFonts w:ascii="Times New Roman" w:hAnsi="Times New Roman" w:cs="Times New Roman"/>
          <w:sz w:val="24"/>
          <w:szCs w:val="24"/>
        </w:rPr>
        <w:t>Figure S</w:t>
      </w:r>
      <w:r w:rsidR="009A0C39" w:rsidRPr="00973B19">
        <w:rPr>
          <w:rFonts w:ascii="Times New Roman" w:hAnsi="Times New Roman" w:cs="Times New Roman"/>
          <w:noProof/>
          <w:sz w:val="24"/>
          <w:szCs w:val="24"/>
        </w:rPr>
        <w:t>4</w:t>
      </w:r>
      <w:r w:rsidR="009A0C39" w:rsidRPr="009A0C39">
        <w:rPr>
          <w:rFonts w:ascii="Times New Roman" w:hAnsi="Times New Roman" w:cs="Times New Roman"/>
          <w:sz w:val="24"/>
          <w:szCs w:val="24"/>
        </w:rPr>
        <w:fldChar w:fldCharType="end"/>
      </w:r>
      <w:r w:rsidR="009A0C39">
        <w:rPr>
          <w:rFonts w:ascii="Times New Roman" w:hAnsi="Times New Roman" w:cs="Times New Roman"/>
          <w:sz w:val="24"/>
          <w:szCs w:val="24"/>
        </w:rPr>
        <w:t xml:space="preserve">, we show the electricity </w:t>
      </w:r>
      <w:r w:rsidR="00B26979">
        <w:rPr>
          <w:rFonts w:ascii="Times New Roman" w:hAnsi="Times New Roman" w:cs="Times New Roman"/>
          <w:sz w:val="24"/>
          <w:szCs w:val="24"/>
        </w:rPr>
        <w:t>use by sector across the near cost-optimal net-zero pathways.</w:t>
      </w:r>
    </w:p>
    <w:p w14:paraId="4EAC88C0" w14:textId="5B487236" w:rsidR="00442379" w:rsidRDefault="00442379" w:rsidP="00442379">
      <w:pPr>
        <w:spacing w:after="0" w:line="240" w:lineRule="auto"/>
        <w:rPr>
          <w:rFonts w:ascii="Times New Roman" w:eastAsia="Times New Roman" w:hAnsi="Times New Roman" w:cs="Times New Roman"/>
          <w:sz w:val="24"/>
          <w:szCs w:val="24"/>
        </w:rPr>
      </w:pPr>
    </w:p>
    <w:p w14:paraId="73349427" w14:textId="1B0220C0" w:rsidR="002E13C5" w:rsidRPr="0025159D" w:rsidRDefault="002E13C5" w:rsidP="00442379">
      <w:pPr>
        <w:spacing w:after="0" w:line="240" w:lineRule="auto"/>
        <w:rPr>
          <w:rFonts w:ascii="Times New Roman" w:eastAsia="Times New Roman" w:hAnsi="Times New Roman" w:cs="Times New Roman"/>
          <w:sz w:val="24"/>
          <w:szCs w:val="24"/>
        </w:rPr>
      </w:pPr>
      <w:r>
        <w:rPr>
          <w:noProof/>
        </w:rPr>
        <w:drawing>
          <wp:inline distT="0" distB="0" distL="0" distR="0" wp14:anchorId="63BAC9CF" wp14:editId="2B41BB62">
            <wp:extent cx="5943600" cy="6010275"/>
            <wp:effectExtent l="0" t="0" r="0" b="9525"/>
            <wp:docPr id="55767881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678818" name="Picture 1" descr="A screenshot of a graph&#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6010275"/>
                    </a:xfrm>
                    <a:prstGeom prst="rect">
                      <a:avLst/>
                    </a:prstGeom>
                    <a:noFill/>
                    <a:ln>
                      <a:noFill/>
                    </a:ln>
                  </pic:spPr>
                </pic:pic>
              </a:graphicData>
            </a:graphic>
          </wp:inline>
        </w:drawing>
      </w:r>
    </w:p>
    <w:p w14:paraId="40126BBF" w14:textId="3F4E19F6" w:rsidR="009859EF" w:rsidRPr="0025159D" w:rsidRDefault="009859EF" w:rsidP="00D0274A">
      <w:pPr>
        <w:spacing w:after="0" w:line="240" w:lineRule="auto"/>
        <w:rPr>
          <w:rFonts w:ascii="Times New Roman" w:eastAsia="Times New Roman" w:hAnsi="Times New Roman" w:cs="Times New Roman"/>
          <w:sz w:val="24"/>
          <w:szCs w:val="24"/>
        </w:rPr>
      </w:pPr>
    </w:p>
    <w:p w14:paraId="186FC771" w14:textId="4F57A3FC" w:rsidR="00E92BE1" w:rsidRDefault="002A4C13" w:rsidP="00D0274A">
      <w:pPr>
        <w:pStyle w:val="Caption"/>
        <w:rPr>
          <w:rFonts w:ascii="Times New Roman" w:hAnsi="Times New Roman" w:cs="Times New Roman"/>
          <w:b/>
          <w:bCs/>
          <w:i w:val="0"/>
          <w:iCs w:val="0"/>
          <w:color w:val="auto"/>
          <w:sz w:val="24"/>
          <w:szCs w:val="24"/>
        </w:rPr>
      </w:pPr>
      <w:bookmarkStart w:id="15" w:name="_Ref150618871"/>
      <w:r w:rsidRPr="00973B19">
        <w:rPr>
          <w:rFonts w:ascii="Times New Roman" w:hAnsi="Times New Roman" w:cs="Times New Roman"/>
          <w:b/>
          <w:bCs/>
          <w:i w:val="0"/>
          <w:iCs w:val="0"/>
          <w:color w:val="auto"/>
          <w:sz w:val="24"/>
          <w:szCs w:val="24"/>
        </w:rPr>
        <w:t>Figure S</w:t>
      </w:r>
      <w:r w:rsidRPr="00973B19">
        <w:rPr>
          <w:rFonts w:ascii="Times New Roman" w:hAnsi="Times New Roman" w:cs="Times New Roman"/>
          <w:b/>
          <w:bCs/>
          <w:i w:val="0"/>
          <w:iCs w:val="0"/>
          <w:color w:val="auto"/>
          <w:sz w:val="24"/>
          <w:szCs w:val="24"/>
        </w:rPr>
        <w:fldChar w:fldCharType="begin"/>
      </w:r>
      <w:r w:rsidRPr="00973B19">
        <w:rPr>
          <w:rFonts w:ascii="Times New Roman" w:hAnsi="Times New Roman" w:cs="Times New Roman"/>
          <w:b/>
          <w:bCs/>
          <w:i w:val="0"/>
          <w:iCs w:val="0"/>
          <w:color w:val="auto"/>
          <w:sz w:val="24"/>
          <w:szCs w:val="24"/>
        </w:rPr>
        <w:instrText xml:space="preserve"> SEQ Figure_S \* ARABIC </w:instrText>
      </w:r>
      <w:r w:rsidRPr="00973B19">
        <w:rPr>
          <w:rFonts w:ascii="Times New Roman" w:hAnsi="Times New Roman" w:cs="Times New Roman"/>
          <w:b/>
          <w:bCs/>
          <w:i w:val="0"/>
          <w:iCs w:val="0"/>
          <w:color w:val="auto"/>
          <w:sz w:val="24"/>
          <w:szCs w:val="24"/>
        </w:rPr>
        <w:fldChar w:fldCharType="separate"/>
      </w:r>
      <w:r w:rsidR="00B97A3B" w:rsidRPr="00973B19">
        <w:rPr>
          <w:rFonts w:ascii="Times New Roman" w:hAnsi="Times New Roman" w:cs="Times New Roman"/>
          <w:b/>
          <w:bCs/>
          <w:i w:val="0"/>
          <w:iCs w:val="0"/>
          <w:noProof/>
          <w:color w:val="auto"/>
          <w:sz w:val="24"/>
          <w:szCs w:val="24"/>
        </w:rPr>
        <w:t>2</w:t>
      </w:r>
      <w:r w:rsidRPr="00973B19">
        <w:rPr>
          <w:rFonts w:ascii="Times New Roman" w:hAnsi="Times New Roman" w:cs="Times New Roman"/>
          <w:b/>
          <w:bCs/>
          <w:i w:val="0"/>
          <w:iCs w:val="0"/>
          <w:color w:val="auto"/>
          <w:sz w:val="24"/>
          <w:szCs w:val="24"/>
        </w:rPr>
        <w:fldChar w:fldCharType="end"/>
      </w:r>
      <w:bookmarkEnd w:id="15"/>
      <w:r w:rsidR="00FB7156" w:rsidRPr="00973B19">
        <w:rPr>
          <w:rFonts w:ascii="Times New Roman" w:hAnsi="Times New Roman" w:cs="Times New Roman"/>
          <w:b/>
          <w:bCs/>
          <w:i w:val="0"/>
          <w:iCs w:val="0"/>
          <w:color w:val="auto"/>
          <w:sz w:val="24"/>
          <w:szCs w:val="24"/>
        </w:rPr>
        <w:t xml:space="preserve">: </w:t>
      </w:r>
      <w:r w:rsidR="00E92BE1" w:rsidRPr="00E92BE1">
        <w:rPr>
          <w:rFonts w:ascii="Times New Roman" w:hAnsi="Times New Roman" w:cs="Times New Roman"/>
          <w:b/>
          <w:bCs/>
          <w:i w:val="0"/>
          <w:iCs w:val="0"/>
          <w:color w:val="auto"/>
          <w:sz w:val="24"/>
          <w:szCs w:val="24"/>
        </w:rPr>
        <w:t xml:space="preserve">Near cost-optimal pathways </w:t>
      </w:r>
      <w:r w:rsidR="00E92BE1">
        <w:rPr>
          <w:rFonts w:ascii="Times New Roman" w:hAnsi="Times New Roman" w:cs="Times New Roman"/>
          <w:b/>
          <w:bCs/>
          <w:i w:val="0"/>
          <w:iCs w:val="0"/>
          <w:color w:val="auto"/>
          <w:sz w:val="24"/>
          <w:szCs w:val="24"/>
        </w:rPr>
        <w:t xml:space="preserve">showing capacity in the power sector </w:t>
      </w:r>
      <w:r w:rsidR="00E92BE1" w:rsidRPr="00E92BE1">
        <w:rPr>
          <w:rFonts w:ascii="Times New Roman" w:hAnsi="Times New Roman" w:cs="Times New Roman"/>
          <w:b/>
          <w:bCs/>
          <w:i w:val="0"/>
          <w:iCs w:val="0"/>
          <w:color w:val="auto"/>
          <w:sz w:val="24"/>
          <w:szCs w:val="24"/>
        </w:rPr>
        <w:t xml:space="preserve">for a) </w:t>
      </w:r>
      <w:r w:rsidR="00E92BE1">
        <w:rPr>
          <w:rFonts w:ascii="Times New Roman" w:hAnsi="Times New Roman" w:cs="Times New Roman"/>
          <w:b/>
          <w:bCs/>
          <w:i w:val="0"/>
          <w:iCs w:val="0"/>
          <w:color w:val="auto"/>
          <w:sz w:val="24"/>
          <w:szCs w:val="24"/>
        </w:rPr>
        <w:t>total capacity</w:t>
      </w:r>
      <w:r w:rsidR="00E92BE1" w:rsidRPr="00E92BE1">
        <w:rPr>
          <w:rFonts w:ascii="Times New Roman" w:hAnsi="Times New Roman" w:cs="Times New Roman"/>
          <w:b/>
          <w:bCs/>
          <w:i w:val="0"/>
          <w:iCs w:val="0"/>
          <w:color w:val="auto"/>
          <w:sz w:val="24"/>
          <w:szCs w:val="24"/>
        </w:rPr>
        <w:t xml:space="preserve">, b) </w:t>
      </w:r>
      <w:r w:rsidR="00E92BE1">
        <w:rPr>
          <w:rFonts w:ascii="Times New Roman" w:hAnsi="Times New Roman" w:cs="Times New Roman"/>
          <w:b/>
          <w:bCs/>
          <w:i w:val="0"/>
          <w:iCs w:val="0"/>
          <w:color w:val="auto"/>
          <w:sz w:val="24"/>
          <w:szCs w:val="24"/>
        </w:rPr>
        <w:t>solar</w:t>
      </w:r>
      <w:r w:rsidR="00E92BE1" w:rsidRPr="00E92BE1">
        <w:rPr>
          <w:rFonts w:ascii="Times New Roman" w:hAnsi="Times New Roman" w:cs="Times New Roman"/>
          <w:b/>
          <w:bCs/>
          <w:i w:val="0"/>
          <w:iCs w:val="0"/>
          <w:color w:val="auto"/>
          <w:sz w:val="24"/>
          <w:szCs w:val="24"/>
        </w:rPr>
        <w:t xml:space="preserve">, c) </w:t>
      </w:r>
      <w:r w:rsidR="00E92BE1">
        <w:rPr>
          <w:rFonts w:ascii="Times New Roman" w:hAnsi="Times New Roman" w:cs="Times New Roman"/>
          <w:b/>
          <w:bCs/>
          <w:i w:val="0"/>
          <w:iCs w:val="0"/>
          <w:color w:val="auto"/>
          <w:sz w:val="24"/>
          <w:szCs w:val="24"/>
        </w:rPr>
        <w:t>wind, d) nuclear, e) coal</w:t>
      </w:r>
      <w:r w:rsidR="00764387">
        <w:rPr>
          <w:rFonts w:ascii="Times New Roman" w:hAnsi="Times New Roman" w:cs="Times New Roman"/>
          <w:b/>
          <w:bCs/>
          <w:i w:val="0"/>
          <w:iCs w:val="0"/>
          <w:color w:val="auto"/>
          <w:sz w:val="24"/>
          <w:szCs w:val="24"/>
        </w:rPr>
        <w:t>,</w:t>
      </w:r>
      <w:r w:rsidR="00E92BE1">
        <w:rPr>
          <w:rFonts w:ascii="Times New Roman" w:hAnsi="Times New Roman" w:cs="Times New Roman"/>
          <w:b/>
          <w:bCs/>
          <w:i w:val="0"/>
          <w:iCs w:val="0"/>
          <w:color w:val="auto"/>
          <w:sz w:val="24"/>
          <w:szCs w:val="24"/>
        </w:rPr>
        <w:t xml:space="preserve"> and f) natural gas </w:t>
      </w:r>
      <w:r w:rsidR="00E92BE1" w:rsidRPr="00E92BE1">
        <w:rPr>
          <w:rFonts w:ascii="Times New Roman" w:hAnsi="Times New Roman" w:cs="Times New Roman"/>
          <w:b/>
          <w:bCs/>
          <w:i w:val="0"/>
          <w:iCs w:val="0"/>
          <w:color w:val="auto"/>
          <w:sz w:val="24"/>
          <w:szCs w:val="24"/>
        </w:rPr>
        <w:t xml:space="preserve">in net-zero CO2 pathways. The boxplots on the left show the distribution of the </w:t>
      </w:r>
      <w:r w:rsidR="00E92BE1">
        <w:rPr>
          <w:rFonts w:ascii="Times New Roman" w:hAnsi="Times New Roman" w:cs="Times New Roman"/>
          <w:b/>
          <w:bCs/>
          <w:i w:val="0"/>
          <w:iCs w:val="0"/>
          <w:color w:val="auto"/>
          <w:sz w:val="24"/>
          <w:szCs w:val="24"/>
        </w:rPr>
        <w:t xml:space="preserve">capacities in the power sector </w:t>
      </w:r>
      <w:r w:rsidR="00E92BE1" w:rsidRPr="00E92BE1">
        <w:rPr>
          <w:rFonts w:ascii="Times New Roman" w:hAnsi="Times New Roman" w:cs="Times New Roman"/>
          <w:b/>
          <w:bCs/>
          <w:i w:val="0"/>
          <w:iCs w:val="0"/>
          <w:color w:val="auto"/>
          <w:sz w:val="24"/>
          <w:szCs w:val="24"/>
        </w:rPr>
        <w:t xml:space="preserve">across </w:t>
      </w:r>
      <w:r w:rsidR="00E92BE1" w:rsidRPr="00E92BE1">
        <w:rPr>
          <w:rFonts w:ascii="Times New Roman" w:hAnsi="Times New Roman" w:cs="Times New Roman"/>
          <w:b/>
          <w:bCs/>
          <w:i w:val="0"/>
          <w:iCs w:val="0"/>
          <w:color w:val="auto"/>
          <w:sz w:val="24"/>
          <w:szCs w:val="24"/>
        </w:rPr>
        <w:lastRenderedPageBreak/>
        <w:t xml:space="preserve">all 240 net-zero pathways. The pathway plots on the right show the range of </w:t>
      </w:r>
      <w:r w:rsidR="00E92BE1">
        <w:rPr>
          <w:rFonts w:ascii="Times New Roman" w:hAnsi="Times New Roman" w:cs="Times New Roman"/>
          <w:b/>
          <w:bCs/>
          <w:i w:val="0"/>
          <w:iCs w:val="0"/>
          <w:color w:val="auto"/>
          <w:sz w:val="24"/>
          <w:szCs w:val="24"/>
        </w:rPr>
        <w:t>capacities</w:t>
      </w:r>
      <w:r w:rsidR="00E92BE1" w:rsidRPr="00E92BE1">
        <w:rPr>
          <w:rFonts w:ascii="Times New Roman" w:hAnsi="Times New Roman" w:cs="Times New Roman"/>
          <w:b/>
          <w:bCs/>
          <w:i w:val="0"/>
          <w:iCs w:val="0"/>
          <w:color w:val="auto"/>
          <w:sz w:val="24"/>
          <w:szCs w:val="24"/>
        </w:rPr>
        <w:t>, with the shading representing each decile of results across the 240 model runs (darkest shades around the median, lightest shades around the 10th and 90th percentiles). The solid line shows the deterministic least-cost net-zero pathway, while the dashed lines depict the least-cost current-policy pathway.</w:t>
      </w:r>
      <w:r w:rsidR="00E92BE1">
        <w:rPr>
          <w:rFonts w:ascii="Times New Roman" w:hAnsi="Times New Roman" w:cs="Times New Roman"/>
          <w:b/>
          <w:bCs/>
          <w:i w:val="0"/>
          <w:iCs w:val="0"/>
          <w:color w:val="auto"/>
          <w:sz w:val="24"/>
          <w:szCs w:val="24"/>
        </w:rPr>
        <w:t xml:space="preserve"> </w:t>
      </w:r>
      <w:r w:rsidR="00E92BE1">
        <w:rPr>
          <w:rFonts w:ascii="Times New Roman" w:hAnsi="Times New Roman" w:cs="Times New Roman"/>
          <w:b/>
          <w:bCs/>
          <w:i w:val="0"/>
          <w:iCs w:val="0"/>
          <w:color w:val="auto"/>
          <w:sz w:val="24"/>
          <w:szCs w:val="24"/>
        </w:rPr>
        <w:br/>
      </w:r>
    </w:p>
    <w:p w14:paraId="1604F5B6" w14:textId="08993945" w:rsidR="00FD6274" w:rsidRPr="0025159D" w:rsidRDefault="00FD6274" w:rsidP="00FD6274">
      <w:pPr>
        <w:spacing w:after="0" w:line="240" w:lineRule="auto"/>
        <w:rPr>
          <w:rFonts w:ascii="Times New Roman" w:eastAsia="Times New Roman" w:hAnsi="Times New Roman" w:cs="Times New Roman"/>
          <w:sz w:val="24"/>
          <w:szCs w:val="24"/>
        </w:rPr>
      </w:pPr>
      <w:r w:rsidRPr="0025159D">
        <w:rPr>
          <w:rFonts w:ascii="Times New Roman" w:eastAsia="Times New Roman" w:hAnsi="Times New Roman" w:cs="Times New Roman"/>
          <w:noProof/>
          <w:sz w:val="24"/>
          <w:szCs w:val="24"/>
        </w:rPr>
        <w:drawing>
          <wp:inline distT="0" distB="0" distL="0" distR="0" wp14:anchorId="3CC61448" wp14:editId="511BDD2C">
            <wp:extent cx="5943600" cy="5679440"/>
            <wp:effectExtent l="0" t="0" r="0" b="0"/>
            <wp:docPr id="767757578" name="Picture 2" descr="A graph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757578" name="Picture 2" descr="A graph with numbers and symbol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5679440"/>
                    </a:xfrm>
                    <a:prstGeom prst="rect">
                      <a:avLst/>
                    </a:prstGeom>
                    <a:noFill/>
                    <a:ln>
                      <a:noFill/>
                    </a:ln>
                  </pic:spPr>
                </pic:pic>
              </a:graphicData>
            </a:graphic>
          </wp:inline>
        </w:drawing>
      </w:r>
    </w:p>
    <w:p w14:paraId="75D6E3A2" w14:textId="05287948" w:rsidR="009859EF" w:rsidRPr="00973B19" w:rsidRDefault="002A4C13" w:rsidP="00D0274A">
      <w:pPr>
        <w:pStyle w:val="Caption"/>
        <w:rPr>
          <w:rFonts w:ascii="Times New Roman" w:hAnsi="Times New Roman" w:cs="Times New Roman"/>
          <w:b/>
          <w:bCs/>
          <w:i w:val="0"/>
          <w:iCs w:val="0"/>
          <w:sz w:val="24"/>
          <w:szCs w:val="24"/>
        </w:rPr>
      </w:pPr>
      <w:bookmarkStart w:id="16" w:name="_Ref150618944"/>
      <w:r w:rsidRPr="00973B19">
        <w:rPr>
          <w:rFonts w:ascii="Times New Roman" w:hAnsi="Times New Roman" w:cs="Times New Roman"/>
          <w:b/>
          <w:bCs/>
          <w:i w:val="0"/>
          <w:iCs w:val="0"/>
          <w:color w:val="auto"/>
          <w:sz w:val="24"/>
          <w:szCs w:val="24"/>
        </w:rPr>
        <w:t>Figure S</w:t>
      </w:r>
      <w:r w:rsidRPr="00973B19">
        <w:rPr>
          <w:rFonts w:ascii="Times New Roman" w:hAnsi="Times New Roman" w:cs="Times New Roman"/>
          <w:b/>
          <w:bCs/>
          <w:i w:val="0"/>
          <w:iCs w:val="0"/>
          <w:color w:val="auto"/>
          <w:sz w:val="24"/>
          <w:szCs w:val="24"/>
        </w:rPr>
        <w:fldChar w:fldCharType="begin"/>
      </w:r>
      <w:r w:rsidRPr="00973B19">
        <w:rPr>
          <w:rFonts w:ascii="Times New Roman" w:hAnsi="Times New Roman" w:cs="Times New Roman"/>
          <w:b/>
          <w:bCs/>
          <w:i w:val="0"/>
          <w:iCs w:val="0"/>
          <w:color w:val="auto"/>
          <w:sz w:val="24"/>
          <w:szCs w:val="24"/>
        </w:rPr>
        <w:instrText xml:space="preserve"> SEQ Figure_S \* ARABIC </w:instrText>
      </w:r>
      <w:r w:rsidRPr="00973B19">
        <w:rPr>
          <w:rFonts w:ascii="Times New Roman" w:hAnsi="Times New Roman" w:cs="Times New Roman"/>
          <w:b/>
          <w:bCs/>
          <w:i w:val="0"/>
          <w:iCs w:val="0"/>
          <w:color w:val="auto"/>
          <w:sz w:val="24"/>
          <w:szCs w:val="24"/>
        </w:rPr>
        <w:fldChar w:fldCharType="separate"/>
      </w:r>
      <w:r w:rsidR="00B97A3B" w:rsidRPr="00973B19">
        <w:rPr>
          <w:rFonts w:ascii="Times New Roman" w:hAnsi="Times New Roman" w:cs="Times New Roman"/>
          <w:b/>
          <w:bCs/>
          <w:i w:val="0"/>
          <w:iCs w:val="0"/>
          <w:noProof/>
          <w:color w:val="auto"/>
          <w:sz w:val="24"/>
          <w:szCs w:val="24"/>
        </w:rPr>
        <w:t>3</w:t>
      </w:r>
      <w:r w:rsidRPr="00973B19">
        <w:rPr>
          <w:rFonts w:ascii="Times New Roman" w:hAnsi="Times New Roman" w:cs="Times New Roman"/>
          <w:b/>
          <w:bCs/>
          <w:i w:val="0"/>
          <w:iCs w:val="0"/>
          <w:color w:val="auto"/>
          <w:sz w:val="24"/>
          <w:szCs w:val="24"/>
        </w:rPr>
        <w:fldChar w:fldCharType="end"/>
      </w:r>
      <w:bookmarkEnd w:id="16"/>
      <w:r w:rsidR="009859EF" w:rsidRPr="00973B19">
        <w:rPr>
          <w:rFonts w:ascii="Times New Roman" w:hAnsi="Times New Roman" w:cs="Times New Roman"/>
          <w:b/>
          <w:bCs/>
          <w:i w:val="0"/>
          <w:iCs w:val="0"/>
          <w:color w:val="auto"/>
          <w:sz w:val="24"/>
          <w:szCs w:val="24"/>
        </w:rPr>
        <w:t xml:space="preserve">: </w:t>
      </w:r>
      <w:r w:rsidRPr="00973B19">
        <w:rPr>
          <w:rFonts w:ascii="Times New Roman" w:hAnsi="Times New Roman" w:cs="Times New Roman"/>
          <w:b/>
          <w:bCs/>
          <w:i w:val="0"/>
          <w:iCs w:val="0"/>
          <w:color w:val="auto"/>
          <w:sz w:val="24"/>
          <w:szCs w:val="24"/>
        </w:rPr>
        <w:t>Fraction of electricity generation in each time period from only renewables (green) and renewables + nuclear (brown) in the near cost-optimal decarbonization pathways.</w:t>
      </w:r>
    </w:p>
    <w:p w14:paraId="7651ED2E" w14:textId="77777777" w:rsidR="00BB1696" w:rsidRPr="0025159D" w:rsidRDefault="00BB1696">
      <w:pPr>
        <w:rPr>
          <w:rFonts w:ascii="Times New Roman" w:hAnsi="Times New Roman" w:cs="Times New Roman"/>
          <w:sz w:val="24"/>
          <w:szCs w:val="24"/>
        </w:rPr>
      </w:pPr>
    </w:p>
    <w:p w14:paraId="68F76C9C" w14:textId="1E2A99B1" w:rsidR="00DB575D" w:rsidRPr="0025159D" w:rsidRDefault="00DB575D" w:rsidP="00DB575D">
      <w:pPr>
        <w:rPr>
          <w:rFonts w:ascii="Times New Roman" w:eastAsia="Times New Roman" w:hAnsi="Times New Roman" w:cs="Times New Roman"/>
          <w:sz w:val="24"/>
          <w:szCs w:val="24"/>
        </w:rPr>
      </w:pPr>
      <w:r w:rsidRPr="0025159D">
        <w:rPr>
          <w:rFonts w:ascii="Times New Roman" w:hAnsi="Times New Roman" w:cs="Times New Roman"/>
          <w:sz w:val="24"/>
          <w:szCs w:val="24"/>
        </w:rPr>
        <w:lastRenderedPageBreak/>
        <w:t xml:space="preserve"> </w:t>
      </w:r>
      <w:r w:rsidRPr="0025159D">
        <w:rPr>
          <w:rFonts w:ascii="Times New Roman" w:hAnsi="Times New Roman" w:cs="Times New Roman"/>
          <w:noProof/>
          <w:sz w:val="24"/>
          <w:szCs w:val="24"/>
        </w:rPr>
        <w:drawing>
          <wp:inline distT="0" distB="0" distL="0" distR="0" wp14:anchorId="0AEAB391" wp14:editId="2EA2D94C">
            <wp:extent cx="3892422" cy="7219950"/>
            <wp:effectExtent l="0" t="0" r="0" b="0"/>
            <wp:docPr id="637026860" name="Picture 3" descr="A graph of different types of energ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026860" name="Picture 3" descr="A graph of different types of energy&#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1334" cy="7236481"/>
                    </a:xfrm>
                    <a:prstGeom prst="rect">
                      <a:avLst/>
                    </a:prstGeom>
                    <a:noFill/>
                    <a:ln>
                      <a:noFill/>
                    </a:ln>
                  </pic:spPr>
                </pic:pic>
              </a:graphicData>
            </a:graphic>
          </wp:inline>
        </w:drawing>
      </w:r>
    </w:p>
    <w:p w14:paraId="433485BD" w14:textId="2554EC42" w:rsidR="00143C36" w:rsidRPr="0025159D" w:rsidRDefault="00B97A3B">
      <w:pPr>
        <w:rPr>
          <w:rFonts w:ascii="Times New Roman" w:hAnsi="Times New Roman" w:cs="Times New Roman"/>
          <w:b/>
          <w:bCs/>
          <w:sz w:val="24"/>
          <w:szCs w:val="24"/>
        </w:rPr>
      </w:pPr>
      <w:bookmarkStart w:id="17" w:name="_Ref150619206"/>
      <w:r w:rsidRPr="00973B19">
        <w:rPr>
          <w:rFonts w:ascii="Times New Roman" w:hAnsi="Times New Roman" w:cs="Times New Roman"/>
          <w:b/>
          <w:bCs/>
          <w:sz w:val="24"/>
          <w:szCs w:val="24"/>
        </w:rPr>
        <w:t>Figure S</w:t>
      </w:r>
      <w:r w:rsidRPr="00973B19">
        <w:rPr>
          <w:rFonts w:ascii="Times New Roman" w:hAnsi="Times New Roman" w:cs="Times New Roman"/>
          <w:b/>
          <w:bCs/>
          <w:color w:val="44546A" w:themeColor="text2"/>
          <w:sz w:val="24"/>
          <w:szCs w:val="24"/>
        </w:rPr>
        <w:fldChar w:fldCharType="begin"/>
      </w:r>
      <w:r w:rsidRPr="00973B19">
        <w:rPr>
          <w:rFonts w:ascii="Times New Roman" w:hAnsi="Times New Roman" w:cs="Times New Roman"/>
          <w:b/>
          <w:bCs/>
          <w:sz w:val="24"/>
          <w:szCs w:val="24"/>
        </w:rPr>
        <w:instrText xml:space="preserve"> SEQ Figure_S \* ARABIC </w:instrText>
      </w:r>
      <w:r w:rsidRPr="00973B19">
        <w:rPr>
          <w:rFonts w:ascii="Times New Roman" w:hAnsi="Times New Roman" w:cs="Times New Roman"/>
          <w:b/>
          <w:bCs/>
          <w:color w:val="44546A" w:themeColor="text2"/>
          <w:sz w:val="24"/>
          <w:szCs w:val="24"/>
        </w:rPr>
        <w:fldChar w:fldCharType="separate"/>
      </w:r>
      <w:r w:rsidRPr="00973B19">
        <w:rPr>
          <w:rFonts w:ascii="Times New Roman" w:hAnsi="Times New Roman" w:cs="Times New Roman"/>
          <w:b/>
          <w:bCs/>
          <w:noProof/>
          <w:sz w:val="24"/>
          <w:szCs w:val="24"/>
        </w:rPr>
        <w:t>4</w:t>
      </w:r>
      <w:r w:rsidRPr="00973B19">
        <w:rPr>
          <w:rFonts w:ascii="Times New Roman" w:hAnsi="Times New Roman" w:cs="Times New Roman"/>
          <w:b/>
          <w:bCs/>
          <w:color w:val="44546A" w:themeColor="text2"/>
          <w:sz w:val="24"/>
          <w:szCs w:val="24"/>
        </w:rPr>
        <w:fldChar w:fldCharType="end"/>
      </w:r>
      <w:bookmarkEnd w:id="17"/>
      <w:r w:rsidR="00D20F9B" w:rsidRPr="00973B19">
        <w:rPr>
          <w:rFonts w:ascii="Times New Roman" w:hAnsi="Times New Roman" w:cs="Times New Roman"/>
          <w:b/>
          <w:bCs/>
          <w:sz w:val="24"/>
          <w:szCs w:val="24"/>
        </w:rPr>
        <w:t xml:space="preserve">: </w:t>
      </w:r>
      <w:bookmarkStart w:id="18" w:name="_Hlk132471756"/>
      <w:r w:rsidR="002A4C13" w:rsidRPr="00973B19">
        <w:rPr>
          <w:rFonts w:ascii="Times New Roman" w:hAnsi="Times New Roman" w:cs="Times New Roman"/>
          <w:b/>
          <w:bCs/>
          <w:sz w:val="24"/>
          <w:szCs w:val="24"/>
        </w:rPr>
        <w:t>E</w:t>
      </w:r>
      <w:r w:rsidR="005E250A" w:rsidRPr="00973B19">
        <w:rPr>
          <w:rFonts w:ascii="Times New Roman" w:hAnsi="Times New Roman" w:cs="Times New Roman"/>
          <w:b/>
          <w:bCs/>
          <w:sz w:val="24"/>
          <w:szCs w:val="24"/>
        </w:rPr>
        <w:t xml:space="preserve">lectricity use </w:t>
      </w:r>
      <w:r w:rsidR="002A4C13" w:rsidRPr="00973B19">
        <w:rPr>
          <w:rFonts w:ascii="Times New Roman" w:hAnsi="Times New Roman" w:cs="Times New Roman"/>
          <w:b/>
          <w:bCs/>
          <w:sz w:val="24"/>
          <w:szCs w:val="24"/>
        </w:rPr>
        <w:t xml:space="preserve">for the a) total energy system, b) </w:t>
      </w:r>
      <w:r w:rsidR="005E250A" w:rsidRPr="00973B19">
        <w:rPr>
          <w:rFonts w:ascii="Times New Roman" w:hAnsi="Times New Roman" w:cs="Times New Roman"/>
          <w:b/>
          <w:bCs/>
          <w:sz w:val="24"/>
          <w:szCs w:val="24"/>
        </w:rPr>
        <w:t xml:space="preserve">commercial, </w:t>
      </w:r>
      <w:r w:rsidR="002A4C13" w:rsidRPr="00973B19">
        <w:rPr>
          <w:rFonts w:ascii="Times New Roman" w:hAnsi="Times New Roman" w:cs="Times New Roman"/>
          <w:b/>
          <w:bCs/>
          <w:sz w:val="24"/>
          <w:szCs w:val="24"/>
        </w:rPr>
        <w:t xml:space="preserve">c) </w:t>
      </w:r>
      <w:r w:rsidR="005E250A" w:rsidRPr="00973B19">
        <w:rPr>
          <w:rFonts w:ascii="Times New Roman" w:hAnsi="Times New Roman" w:cs="Times New Roman"/>
          <w:b/>
          <w:bCs/>
          <w:sz w:val="24"/>
          <w:szCs w:val="24"/>
        </w:rPr>
        <w:t xml:space="preserve">residential, </w:t>
      </w:r>
      <w:r w:rsidR="002A4C13" w:rsidRPr="00973B19">
        <w:rPr>
          <w:rFonts w:ascii="Times New Roman" w:hAnsi="Times New Roman" w:cs="Times New Roman"/>
          <w:b/>
          <w:bCs/>
          <w:sz w:val="24"/>
          <w:szCs w:val="24"/>
        </w:rPr>
        <w:t xml:space="preserve">d) </w:t>
      </w:r>
      <w:r w:rsidR="005E250A" w:rsidRPr="00973B19">
        <w:rPr>
          <w:rFonts w:ascii="Times New Roman" w:hAnsi="Times New Roman" w:cs="Times New Roman"/>
          <w:b/>
          <w:bCs/>
          <w:sz w:val="24"/>
          <w:szCs w:val="24"/>
        </w:rPr>
        <w:t>industrial</w:t>
      </w:r>
      <w:r w:rsidR="00764387">
        <w:rPr>
          <w:rFonts w:ascii="Times New Roman" w:hAnsi="Times New Roman" w:cs="Times New Roman"/>
          <w:b/>
          <w:bCs/>
          <w:sz w:val="24"/>
          <w:szCs w:val="24"/>
        </w:rPr>
        <w:t>,</w:t>
      </w:r>
      <w:r w:rsidR="005E250A" w:rsidRPr="00973B19">
        <w:rPr>
          <w:rFonts w:ascii="Times New Roman" w:hAnsi="Times New Roman" w:cs="Times New Roman"/>
          <w:b/>
          <w:bCs/>
          <w:sz w:val="24"/>
          <w:szCs w:val="24"/>
        </w:rPr>
        <w:t xml:space="preserve"> and</w:t>
      </w:r>
      <w:r w:rsidR="00490999" w:rsidRPr="00973B19">
        <w:rPr>
          <w:rFonts w:ascii="Times New Roman" w:hAnsi="Times New Roman" w:cs="Times New Roman"/>
          <w:b/>
          <w:bCs/>
          <w:sz w:val="24"/>
          <w:szCs w:val="24"/>
        </w:rPr>
        <w:t xml:space="preserve"> e)</w:t>
      </w:r>
      <w:r w:rsidR="005E250A" w:rsidRPr="00973B19">
        <w:rPr>
          <w:rFonts w:ascii="Times New Roman" w:hAnsi="Times New Roman" w:cs="Times New Roman"/>
          <w:b/>
          <w:bCs/>
          <w:sz w:val="24"/>
          <w:szCs w:val="24"/>
        </w:rPr>
        <w:t xml:space="preserve"> transport sectors in </w:t>
      </w:r>
      <w:r w:rsidR="006A61ED" w:rsidRPr="00973B19">
        <w:rPr>
          <w:rFonts w:ascii="Times New Roman" w:hAnsi="Times New Roman" w:cs="Times New Roman"/>
          <w:b/>
          <w:bCs/>
          <w:sz w:val="24"/>
          <w:szCs w:val="24"/>
        </w:rPr>
        <w:t>terawatt</w:t>
      </w:r>
      <w:r w:rsidR="005E250A" w:rsidRPr="00973B19">
        <w:rPr>
          <w:rFonts w:ascii="Times New Roman" w:hAnsi="Times New Roman" w:cs="Times New Roman"/>
          <w:b/>
          <w:bCs/>
          <w:sz w:val="24"/>
          <w:szCs w:val="24"/>
        </w:rPr>
        <w:t>-hours</w:t>
      </w:r>
      <w:r w:rsidR="00490999" w:rsidRPr="00973B19">
        <w:rPr>
          <w:rFonts w:ascii="Times New Roman" w:hAnsi="Times New Roman" w:cs="Times New Roman"/>
          <w:b/>
          <w:bCs/>
          <w:sz w:val="24"/>
          <w:szCs w:val="24"/>
        </w:rPr>
        <w:t xml:space="preserve"> across the near cost-optimal net-zero pathways</w:t>
      </w:r>
      <w:r w:rsidR="005E250A" w:rsidRPr="00973B19">
        <w:rPr>
          <w:rFonts w:ascii="Times New Roman" w:hAnsi="Times New Roman" w:cs="Times New Roman"/>
          <w:b/>
          <w:bCs/>
          <w:sz w:val="24"/>
          <w:szCs w:val="24"/>
        </w:rPr>
        <w:t>.</w:t>
      </w:r>
      <w:r w:rsidR="006A61ED" w:rsidRPr="00973B19">
        <w:rPr>
          <w:rFonts w:ascii="Times New Roman" w:hAnsi="Times New Roman" w:cs="Times New Roman"/>
          <w:b/>
          <w:bCs/>
          <w:sz w:val="24"/>
          <w:szCs w:val="24"/>
        </w:rPr>
        <w:t xml:space="preserve"> </w:t>
      </w:r>
      <w:r w:rsidR="005E250A" w:rsidRPr="00973B19">
        <w:rPr>
          <w:rFonts w:ascii="Times New Roman" w:hAnsi="Times New Roman" w:cs="Times New Roman"/>
          <w:b/>
          <w:bCs/>
          <w:sz w:val="24"/>
          <w:szCs w:val="24"/>
        </w:rPr>
        <w:t xml:space="preserve">The solid line shows the deterministic </w:t>
      </w:r>
      <w:r w:rsidR="00490999" w:rsidRPr="00973B19">
        <w:rPr>
          <w:rFonts w:ascii="Times New Roman" w:hAnsi="Times New Roman" w:cs="Times New Roman"/>
          <w:b/>
          <w:bCs/>
          <w:sz w:val="24"/>
          <w:szCs w:val="24"/>
        </w:rPr>
        <w:t>(least-cost) n</w:t>
      </w:r>
      <w:r w:rsidR="005E250A" w:rsidRPr="00973B19">
        <w:rPr>
          <w:rFonts w:ascii="Times New Roman" w:hAnsi="Times New Roman" w:cs="Times New Roman"/>
          <w:b/>
          <w:bCs/>
          <w:sz w:val="24"/>
          <w:szCs w:val="24"/>
        </w:rPr>
        <w:t>et-</w:t>
      </w:r>
      <w:r w:rsidR="00490999" w:rsidRPr="00973B19">
        <w:rPr>
          <w:rFonts w:ascii="Times New Roman" w:hAnsi="Times New Roman" w:cs="Times New Roman"/>
          <w:b/>
          <w:bCs/>
          <w:sz w:val="24"/>
          <w:szCs w:val="24"/>
        </w:rPr>
        <w:t>z</w:t>
      </w:r>
      <w:r w:rsidR="005E250A" w:rsidRPr="00973B19">
        <w:rPr>
          <w:rFonts w:ascii="Times New Roman" w:hAnsi="Times New Roman" w:cs="Times New Roman"/>
          <w:b/>
          <w:bCs/>
          <w:sz w:val="24"/>
          <w:szCs w:val="24"/>
        </w:rPr>
        <w:t xml:space="preserve">ero scenario, while </w:t>
      </w:r>
      <w:bookmarkEnd w:id="18"/>
      <w:r w:rsidR="008E0DB6">
        <w:rPr>
          <w:rFonts w:ascii="Times New Roman" w:hAnsi="Times New Roman" w:cs="Times New Roman"/>
          <w:b/>
          <w:bCs/>
          <w:sz w:val="24"/>
          <w:szCs w:val="24"/>
        </w:rPr>
        <w:t xml:space="preserve">the </w:t>
      </w:r>
      <w:r w:rsidR="00764387">
        <w:rPr>
          <w:rFonts w:ascii="Times New Roman" w:hAnsi="Times New Roman" w:cs="Times New Roman"/>
          <w:b/>
          <w:bCs/>
          <w:sz w:val="24"/>
          <w:szCs w:val="24"/>
        </w:rPr>
        <w:t>dashed lines distinguish the current-policy deterministic run</w:t>
      </w:r>
      <w:r w:rsidR="005E250A" w:rsidRPr="00973B19">
        <w:rPr>
          <w:rFonts w:ascii="Times New Roman" w:hAnsi="Times New Roman" w:cs="Times New Roman"/>
          <w:b/>
          <w:bCs/>
          <w:sz w:val="24"/>
          <w:szCs w:val="24"/>
        </w:rPr>
        <w:t>.</w:t>
      </w:r>
      <w:r w:rsidR="00143C36" w:rsidRPr="0025159D">
        <w:rPr>
          <w:rFonts w:ascii="Times New Roman" w:hAnsi="Times New Roman" w:cs="Times New Roman"/>
          <w:b/>
          <w:bCs/>
          <w:sz w:val="24"/>
          <w:szCs w:val="24"/>
        </w:rPr>
        <w:br w:type="page"/>
      </w:r>
    </w:p>
    <w:p w14:paraId="7B1D90F4" w14:textId="3C42918A" w:rsidR="00143C36" w:rsidRPr="0025159D" w:rsidRDefault="00143C36" w:rsidP="009859EF">
      <w:pPr>
        <w:rPr>
          <w:rFonts w:ascii="Times New Roman" w:hAnsi="Times New Roman" w:cs="Times New Roman"/>
          <w:b/>
          <w:bCs/>
          <w:sz w:val="24"/>
          <w:szCs w:val="24"/>
        </w:rPr>
      </w:pPr>
      <w:r w:rsidRPr="0025159D">
        <w:rPr>
          <w:rFonts w:ascii="Times New Roman" w:hAnsi="Times New Roman" w:cs="Times New Roman"/>
          <w:b/>
          <w:bCs/>
          <w:sz w:val="24"/>
          <w:szCs w:val="24"/>
        </w:rPr>
        <w:lastRenderedPageBreak/>
        <w:t>References</w:t>
      </w:r>
    </w:p>
    <w:p w14:paraId="1A5F9EDC" w14:textId="77777777" w:rsidR="00AA71D7" w:rsidRPr="00AA71D7" w:rsidRDefault="00143C36" w:rsidP="00AA71D7">
      <w:pPr>
        <w:pStyle w:val="Bibliography"/>
        <w:rPr>
          <w:rFonts w:ascii="Times New Roman" w:hAnsi="Times New Roman" w:cs="Times New Roman"/>
          <w:sz w:val="24"/>
        </w:rPr>
      </w:pPr>
      <w:r w:rsidRPr="0025159D">
        <w:rPr>
          <w:b/>
          <w:bCs/>
        </w:rPr>
        <w:fldChar w:fldCharType="begin"/>
      </w:r>
      <w:r w:rsidRPr="0025159D">
        <w:rPr>
          <w:b/>
          <w:bCs/>
        </w:rPr>
        <w:instrText xml:space="preserve"> ADDIN ZOTERO_BIBL {"uncited":[],"omitted":[],"custom":[]} CSL_BIBLIOGRAPHY </w:instrText>
      </w:r>
      <w:r w:rsidRPr="0025159D">
        <w:rPr>
          <w:b/>
          <w:bCs/>
        </w:rPr>
        <w:fldChar w:fldCharType="separate"/>
      </w:r>
      <w:r w:rsidR="00AA71D7" w:rsidRPr="00AA71D7">
        <w:rPr>
          <w:rFonts w:ascii="Times New Roman" w:hAnsi="Times New Roman" w:cs="Times New Roman"/>
          <w:sz w:val="24"/>
        </w:rPr>
        <w:t>1.</w:t>
      </w:r>
      <w:r w:rsidR="00AA71D7" w:rsidRPr="00AA71D7">
        <w:rPr>
          <w:rFonts w:ascii="Times New Roman" w:hAnsi="Times New Roman" w:cs="Times New Roman"/>
          <w:sz w:val="24"/>
        </w:rPr>
        <w:tab/>
        <w:t xml:space="preserve">Hunter, K., Sreepathi, S., and DeCarolis, J.F. (2013). Modeling for insight using Tools for Energy Model Optimization and Analysis (Temoa). Energy Econ. </w:t>
      </w:r>
      <w:r w:rsidR="00AA71D7" w:rsidRPr="00AA71D7">
        <w:rPr>
          <w:rFonts w:ascii="Times New Roman" w:hAnsi="Times New Roman" w:cs="Times New Roman"/>
          <w:i/>
          <w:iCs/>
          <w:sz w:val="24"/>
        </w:rPr>
        <w:t>40</w:t>
      </w:r>
      <w:r w:rsidR="00AA71D7" w:rsidRPr="00AA71D7">
        <w:rPr>
          <w:rFonts w:ascii="Times New Roman" w:hAnsi="Times New Roman" w:cs="Times New Roman"/>
          <w:sz w:val="24"/>
        </w:rPr>
        <w:t>, 339–349. 10.1016/j.eneco.2013.07.014.</w:t>
      </w:r>
    </w:p>
    <w:p w14:paraId="615E2E2B"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w:t>
      </w:r>
      <w:r w:rsidRPr="00AA71D7">
        <w:rPr>
          <w:rFonts w:ascii="Times New Roman" w:hAnsi="Times New Roman" w:cs="Times New Roman"/>
          <w:sz w:val="24"/>
        </w:rPr>
        <w:tab/>
        <w:t>Annual Energy Outlook 2020 with Projections to 2050 (2020).</w:t>
      </w:r>
    </w:p>
    <w:p w14:paraId="751E1610"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3.</w:t>
      </w:r>
      <w:r w:rsidRPr="00AA71D7">
        <w:rPr>
          <w:rFonts w:ascii="Times New Roman" w:hAnsi="Times New Roman" w:cs="Times New Roman"/>
          <w:sz w:val="24"/>
        </w:rPr>
        <w:tab/>
        <w:t>Langholtz, M.H., Stokes, B.J., and Eaton, L.M. (2016). 2016 Billion-Ton Report: Advancing Domestic Resources for a Thriving Bioeconomy 10.2172/1271651.</w:t>
      </w:r>
    </w:p>
    <w:p w14:paraId="1E4159FA"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4.</w:t>
      </w:r>
      <w:r w:rsidRPr="00AA71D7">
        <w:rPr>
          <w:rFonts w:ascii="Times New Roman" w:hAnsi="Times New Roman" w:cs="Times New Roman"/>
          <w:sz w:val="24"/>
        </w:rPr>
        <w:tab/>
        <w:t>Vimmerstedt, L.J., Akar, S., Augustine, C.R., Beiter, P.C., Cole, W.J., Feldman, D.J., Kurup, P., Lantz, E.J., Margolis, R.M., Stehly, T.J., et al. (2019). 2019 Annual Technology Baseline (National Renewable Energy Labs) 10.2172/1566062.</w:t>
      </w:r>
    </w:p>
    <w:p w14:paraId="4C259087"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5.</w:t>
      </w:r>
      <w:r w:rsidRPr="00AA71D7">
        <w:rPr>
          <w:rFonts w:ascii="Times New Roman" w:hAnsi="Times New Roman" w:cs="Times New Roman"/>
          <w:sz w:val="24"/>
        </w:rPr>
        <w:tab/>
        <w:t>Mai, T.T., Jadun, P., Logan, J.S., McMillan, C.A., Muratori, M., Steinberg, D.C., Vimmerstedt, L.J., Haley, B., Jones, R., and Nelson, B. (2018). Electrification Futures Study: Scenarios of Electric Technology Adoption and Power Consumption for the United States (National Renewable Energy Labs) 10.2172/1459351.</w:t>
      </w:r>
    </w:p>
    <w:p w14:paraId="58267A89"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6.</w:t>
      </w:r>
      <w:r w:rsidRPr="00AA71D7">
        <w:rPr>
          <w:rFonts w:ascii="Times New Roman" w:hAnsi="Times New Roman" w:cs="Times New Roman"/>
          <w:sz w:val="24"/>
        </w:rPr>
        <w:tab/>
        <w:t>Manufacturing energy consumption (MECS) (2018). (U.S. Energy Inf. Adm. (EIA)).</w:t>
      </w:r>
    </w:p>
    <w:p w14:paraId="5737BE66"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7.</w:t>
      </w:r>
      <w:r w:rsidRPr="00AA71D7">
        <w:rPr>
          <w:rFonts w:ascii="Times New Roman" w:hAnsi="Times New Roman" w:cs="Times New Roman"/>
          <w:sz w:val="24"/>
        </w:rPr>
        <w:tab/>
        <w:t xml:space="preserve">Loulou, R. (2008). ETSAP-TIAM: the TIMES integrated assessment model. part II: mathematical formulation. Comput. Manag. Sci. </w:t>
      </w:r>
      <w:r w:rsidRPr="00AA71D7">
        <w:rPr>
          <w:rFonts w:ascii="Times New Roman" w:hAnsi="Times New Roman" w:cs="Times New Roman"/>
          <w:i/>
          <w:iCs/>
          <w:sz w:val="24"/>
        </w:rPr>
        <w:t>5</w:t>
      </w:r>
      <w:r w:rsidRPr="00AA71D7">
        <w:rPr>
          <w:rFonts w:ascii="Times New Roman" w:hAnsi="Times New Roman" w:cs="Times New Roman"/>
          <w:sz w:val="24"/>
        </w:rPr>
        <w:t>, 41–66. 10.1007/s10287-007-0045-0.</w:t>
      </w:r>
    </w:p>
    <w:p w14:paraId="109026B9"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8.</w:t>
      </w:r>
      <w:r w:rsidRPr="00AA71D7">
        <w:rPr>
          <w:rFonts w:ascii="Times New Roman" w:hAnsi="Times New Roman" w:cs="Times New Roman"/>
          <w:sz w:val="24"/>
        </w:rPr>
        <w:tab/>
        <w:t xml:space="preserve">Loulou, R., and Labriet, M. (2008). ETSAP-TIAM: the TIMES integrated assessment model Part I: Model structure. Comput. Manag. Sci. </w:t>
      </w:r>
      <w:r w:rsidRPr="00AA71D7">
        <w:rPr>
          <w:rFonts w:ascii="Times New Roman" w:hAnsi="Times New Roman" w:cs="Times New Roman"/>
          <w:i/>
          <w:iCs/>
          <w:sz w:val="24"/>
        </w:rPr>
        <w:t>5</w:t>
      </w:r>
      <w:r w:rsidRPr="00AA71D7">
        <w:rPr>
          <w:rFonts w:ascii="Times New Roman" w:hAnsi="Times New Roman" w:cs="Times New Roman"/>
          <w:sz w:val="24"/>
        </w:rPr>
        <w:t>, 7–40. 10.1007/s10287-007-0046-z.</w:t>
      </w:r>
    </w:p>
    <w:p w14:paraId="052A4E9E"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9.</w:t>
      </w:r>
      <w:r w:rsidRPr="00AA71D7">
        <w:rPr>
          <w:rFonts w:ascii="Times New Roman" w:hAnsi="Times New Roman" w:cs="Times New Roman"/>
          <w:sz w:val="24"/>
        </w:rPr>
        <w:tab/>
        <w:t xml:space="preserve">Poncelet, K., Delarue, E., Six, D., Duerinck, J., and D’haeseleer, W. (2016). Impact of the level of temporal and operational detail in energy-system planning models. Appl. Energy </w:t>
      </w:r>
      <w:r w:rsidRPr="00AA71D7">
        <w:rPr>
          <w:rFonts w:ascii="Times New Roman" w:hAnsi="Times New Roman" w:cs="Times New Roman"/>
          <w:i/>
          <w:iCs/>
          <w:sz w:val="24"/>
        </w:rPr>
        <w:t>162</w:t>
      </w:r>
      <w:r w:rsidRPr="00AA71D7">
        <w:rPr>
          <w:rFonts w:ascii="Times New Roman" w:hAnsi="Times New Roman" w:cs="Times New Roman"/>
          <w:sz w:val="24"/>
        </w:rPr>
        <w:t>, 631–643. 10.1016/j.apenergy.2015.10.100.</w:t>
      </w:r>
    </w:p>
    <w:p w14:paraId="4316BAD8"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10.</w:t>
      </w:r>
      <w:r w:rsidRPr="00AA71D7">
        <w:rPr>
          <w:rFonts w:ascii="Times New Roman" w:hAnsi="Times New Roman" w:cs="Times New Roman"/>
          <w:sz w:val="24"/>
        </w:rPr>
        <w:tab/>
        <w:t xml:space="preserve">Mallapragada, D.S., Papageorgiou, D.J., Venkatesh, A., Lara, C.L., and Grossmann, I.E. (2018). Impact of model resolution on scenario outcomes for electricity sector system expansion. Energy </w:t>
      </w:r>
      <w:r w:rsidRPr="00AA71D7">
        <w:rPr>
          <w:rFonts w:ascii="Times New Roman" w:hAnsi="Times New Roman" w:cs="Times New Roman"/>
          <w:i/>
          <w:iCs/>
          <w:sz w:val="24"/>
        </w:rPr>
        <w:t>163</w:t>
      </w:r>
      <w:r w:rsidRPr="00AA71D7">
        <w:rPr>
          <w:rFonts w:ascii="Times New Roman" w:hAnsi="Times New Roman" w:cs="Times New Roman"/>
          <w:sz w:val="24"/>
        </w:rPr>
        <w:t>, 1231–1244. 10.1016/j.energy.2018.08.015.</w:t>
      </w:r>
    </w:p>
    <w:p w14:paraId="5A0ADA31"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11.</w:t>
      </w:r>
      <w:r w:rsidRPr="00AA71D7">
        <w:rPr>
          <w:rFonts w:ascii="Times New Roman" w:hAnsi="Times New Roman" w:cs="Times New Roman"/>
          <w:sz w:val="24"/>
        </w:rPr>
        <w:tab/>
        <w:t xml:space="preserve">Pickering, B., Lombardi, F., and Pfenninger, S. (2022). Diversity of options to eliminate fossil fuels and reach carbon neutrality across the entire European energy system. Joule </w:t>
      </w:r>
      <w:r w:rsidRPr="00AA71D7">
        <w:rPr>
          <w:rFonts w:ascii="Times New Roman" w:hAnsi="Times New Roman" w:cs="Times New Roman"/>
          <w:i/>
          <w:iCs/>
          <w:sz w:val="24"/>
        </w:rPr>
        <w:t>6</w:t>
      </w:r>
      <w:r w:rsidRPr="00AA71D7">
        <w:rPr>
          <w:rFonts w:ascii="Times New Roman" w:hAnsi="Times New Roman" w:cs="Times New Roman"/>
          <w:sz w:val="24"/>
        </w:rPr>
        <w:t>, 1253–1276. 10.1016/j.joule.2022.05.009.</w:t>
      </w:r>
    </w:p>
    <w:p w14:paraId="6D616EF4"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12.</w:t>
      </w:r>
      <w:r w:rsidRPr="00AA71D7">
        <w:rPr>
          <w:rFonts w:ascii="Times New Roman" w:hAnsi="Times New Roman" w:cs="Times New Roman"/>
          <w:sz w:val="24"/>
        </w:rPr>
        <w:tab/>
        <w:t xml:space="preserve">DeCarolis, J., Daly, H., Dodds, P., Keppo, I., Li, F., McDowall, W., Pye, S., Strachan, N., Trutnevyte, E., Usher, W., et al. (2017). Formalizing best practice for energy system optimization modelling. Appl. Energy </w:t>
      </w:r>
      <w:r w:rsidRPr="00AA71D7">
        <w:rPr>
          <w:rFonts w:ascii="Times New Roman" w:hAnsi="Times New Roman" w:cs="Times New Roman"/>
          <w:i/>
          <w:iCs/>
          <w:sz w:val="24"/>
        </w:rPr>
        <w:t>194</w:t>
      </w:r>
      <w:r w:rsidRPr="00AA71D7">
        <w:rPr>
          <w:rFonts w:ascii="Times New Roman" w:hAnsi="Times New Roman" w:cs="Times New Roman"/>
          <w:sz w:val="24"/>
        </w:rPr>
        <w:t>, 184–198. 10.1016/j.apenergy.2017.03.001.</w:t>
      </w:r>
    </w:p>
    <w:p w14:paraId="4DEA68B9"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13.</w:t>
      </w:r>
      <w:r w:rsidRPr="00AA71D7">
        <w:rPr>
          <w:rFonts w:ascii="Times New Roman" w:hAnsi="Times New Roman" w:cs="Times New Roman"/>
          <w:sz w:val="24"/>
        </w:rPr>
        <w:tab/>
        <w:t xml:space="preserve">Yliruka, M., Moret, S., and Shah, N. (2023). Detail or uncertainty? Applying global sensitivity analysis to strike a balance in energy system models. Comput. Chem. Eng. </w:t>
      </w:r>
      <w:r w:rsidRPr="00AA71D7">
        <w:rPr>
          <w:rFonts w:ascii="Times New Roman" w:hAnsi="Times New Roman" w:cs="Times New Roman"/>
          <w:i/>
          <w:iCs/>
          <w:sz w:val="24"/>
        </w:rPr>
        <w:t>177</w:t>
      </w:r>
      <w:r w:rsidRPr="00AA71D7">
        <w:rPr>
          <w:rFonts w:ascii="Times New Roman" w:hAnsi="Times New Roman" w:cs="Times New Roman"/>
          <w:sz w:val="24"/>
        </w:rPr>
        <w:t>, 108287. 10.1016/j.compchemeng.2023.108287.</w:t>
      </w:r>
    </w:p>
    <w:p w14:paraId="34C05235"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lastRenderedPageBreak/>
        <w:t>14.</w:t>
      </w:r>
      <w:r w:rsidRPr="00AA71D7">
        <w:rPr>
          <w:rFonts w:ascii="Times New Roman" w:hAnsi="Times New Roman" w:cs="Times New Roman"/>
          <w:sz w:val="24"/>
        </w:rPr>
        <w:tab/>
        <w:t>Schivley, G. (2022). Github - Powergenome. https://github.com/PowerGenome/PowerGenome.</w:t>
      </w:r>
    </w:p>
    <w:p w14:paraId="511E7C4A"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15.</w:t>
      </w:r>
      <w:r w:rsidRPr="00AA71D7">
        <w:rPr>
          <w:rFonts w:ascii="Times New Roman" w:hAnsi="Times New Roman" w:cs="Times New Roman"/>
          <w:sz w:val="24"/>
        </w:rPr>
        <w:tab/>
        <w:t>Supply, C., and Horizon, M.T. (2010). Updates to EPA Base Case v3. 02 EISA Using the Integrated Planning Model.</w:t>
      </w:r>
    </w:p>
    <w:p w14:paraId="19931633"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16.</w:t>
      </w:r>
      <w:r w:rsidRPr="00AA71D7">
        <w:rPr>
          <w:rFonts w:ascii="Times New Roman" w:hAnsi="Times New Roman" w:cs="Times New Roman"/>
          <w:sz w:val="24"/>
        </w:rPr>
        <w:tab/>
        <w:t xml:space="preserve">Dowling, J.A., Rinaldi, K.Z., Ruggles, T.H., Davis, S.J., Yuan, M., Tong, F., Lewis, N.S., and Caldeira, K. (2020). Role of Long-Duration Energy Storage in Variable Renewable Electricity Systems. Joule </w:t>
      </w:r>
      <w:r w:rsidRPr="00AA71D7">
        <w:rPr>
          <w:rFonts w:ascii="Times New Roman" w:hAnsi="Times New Roman" w:cs="Times New Roman"/>
          <w:i/>
          <w:iCs/>
          <w:sz w:val="24"/>
        </w:rPr>
        <w:t>4</w:t>
      </w:r>
      <w:r w:rsidRPr="00AA71D7">
        <w:rPr>
          <w:rFonts w:ascii="Times New Roman" w:hAnsi="Times New Roman" w:cs="Times New Roman"/>
          <w:sz w:val="24"/>
        </w:rPr>
        <w:t>, 1907–1928. 10.1016/j.joule.2020.07.007.</w:t>
      </w:r>
    </w:p>
    <w:p w14:paraId="3AC76AE9"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17.</w:t>
      </w:r>
      <w:r w:rsidRPr="00AA71D7">
        <w:rPr>
          <w:rFonts w:ascii="Times New Roman" w:hAnsi="Times New Roman" w:cs="Times New Roman"/>
          <w:sz w:val="24"/>
        </w:rPr>
        <w:tab/>
        <w:t>Sigrin, B., Gleason, M., Preus, R., Baring-Gould, I., and Margolis, R. (2016). Distributed generation market demand model (dGen): Documentation (National Renewable Energy Lab.(NREL), Golden, CO (United States)).</w:t>
      </w:r>
    </w:p>
    <w:p w14:paraId="0F5D31F5"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18.</w:t>
      </w:r>
      <w:r w:rsidRPr="00AA71D7">
        <w:rPr>
          <w:rFonts w:ascii="Times New Roman" w:hAnsi="Times New Roman" w:cs="Times New Roman"/>
          <w:sz w:val="24"/>
        </w:rPr>
        <w:tab/>
        <w:t xml:space="preserve">Roberts, M.J., Zhang, S., Yuan, E., Jones, J., and Fripp, M. (2022). Using temperature sensitivity to estimate shiftable electricity demand. Iscience </w:t>
      </w:r>
      <w:r w:rsidRPr="00AA71D7">
        <w:rPr>
          <w:rFonts w:ascii="Times New Roman" w:hAnsi="Times New Roman" w:cs="Times New Roman"/>
          <w:i/>
          <w:iCs/>
          <w:sz w:val="24"/>
        </w:rPr>
        <w:t>25</w:t>
      </w:r>
      <w:r w:rsidRPr="00AA71D7">
        <w:rPr>
          <w:rFonts w:ascii="Times New Roman" w:hAnsi="Times New Roman" w:cs="Times New Roman"/>
          <w:sz w:val="24"/>
        </w:rPr>
        <w:t>.</w:t>
      </w:r>
    </w:p>
    <w:p w14:paraId="05523828"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19.</w:t>
      </w:r>
      <w:r w:rsidRPr="00AA71D7">
        <w:rPr>
          <w:rFonts w:ascii="Times New Roman" w:hAnsi="Times New Roman" w:cs="Times New Roman"/>
          <w:sz w:val="24"/>
        </w:rPr>
        <w:tab/>
        <w:t xml:space="preserve">Vaishnav, P., and Fatimah, A.M. (2020). The environmental consequences of electrifying space heating. Environ. Sci. Technol. </w:t>
      </w:r>
      <w:r w:rsidRPr="00AA71D7">
        <w:rPr>
          <w:rFonts w:ascii="Times New Roman" w:hAnsi="Times New Roman" w:cs="Times New Roman"/>
          <w:i/>
          <w:iCs/>
          <w:sz w:val="24"/>
        </w:rPr>
        <w:t>54</w:t>
      </w:r>
      <w:r w:rsidRPr="00AA71D7">
        <w:rPr>
          <w:rFonts w:ascii="Times New Roman" w:hAnsi="Times New Roman" w:cs="Times New Roman"/>
          <w:sz w:val="24"/>
        </w:rPr>
        <w:t>, 9814–9823.</w:t>
      </w:r>
    </w:p>
    <w:p w14:paraId="3E411A31"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20.</w:t>
      </w:r>
      <w:r w:rsidRPr="00AA71D7">
        <w:rPr>
          <w:rFonts w:ascii="Times New Roman" w:hAnsi="Times New Roman" w:cs="Times New Roman"/>
          <w:sz w:val="24"/>
        </w:rPr>
        <w:tab/>
        <w:t xml:space="preserve">Victor, N., Nichols, C., and Zelek, C. (2018). The US power sector decarbonization: Investigating technology options with MARKAL nine-region model. Energy Econ. </w:t>
      </w:r>
      <w:r w:rsidRPr="00AA71D7">
        <w:rPr>
          <w:rFonts w:ascii="Times New Roman" w:hAnsi="Times New Roman" w:cs="Times New Roman"/>
          <w:i/>
          <w:iCs/>
          <w:sz w:val="24"/>
        </w:rPr>
        <w:t>73</w:t>
      </w:r>
      <w:r w:rsidRPr="00AA71D7">
        <w:rPr>
          <w:rFonts w:ascii="Times New Roman" w:hAnsi="Times New Roman" w:cs="Times New Roman"/>
          <w:sz w:val="24"/>
        </w:rPr>
        <w:t>, 410–425.</w:t>
      </w:r>
    </w:p>
    <w:p w14:paraId="6296A476"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21.</w:t>
      </w:r>
      <w:r w:rsidRPr="00AA71D7">
        <w:rPr>
          <w:rFonts w:ascii="Times New Roman" w:hAnsi="Times New Roman" w:cs="Times New Roman"/>
          <w:sz w:val="24"/>
        </w:rPr>
        <w:tab/>
        <w:t xml:space="preserve">Kaack, L.H., Vaishnav, P., Morgan, M.G., Azevedo, I.L., and Rai, S. (2018). Decarbonizing intraregional freight systems with a focus on modal shift. Environ. Res. Lett. </w:t>
      </w:r>
      <w:r w:rsidRPr="00AA71D7">
        <w:rPr>
          <w:rFonts w:ascii="Times New Roman" w:hAnsi="Times New Roman" w:cs="Times New Roman"/>
          <w:i/>
          <w:iCs/>
          <w:sz w:val="24"/>
        </w:rPr>
        <w:t>13</w:t>
      </w:r>
      <w:r w:rsidRPr="00AA71D7">
        <w:rPr>
          <w:rFonts w:ascii="Times New Roman" w:hAnsi="Times New Roman" w:cs="Times New Roman"/>
          <w:sz w:val="24"/>
        </w:rPr>
        <w:t>, 083001.</w:t>
      </w:r>
    </w:p>
    <w:p w14:paraId="48303AD4"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22.</w:t>
      </w:r>
      <w:r w:rsidRPr="00AA71D7">
        <w:rPr>
          <w:rFonts w:ascii="Times New Roman" w:hAnsi="Times New Roman" w:cs="Times New Roman"/>
          <w:sz w:val="24"/>
        </w:rPr>
        <w:tab/>
        <w:t xml:space="preserve">McCollum, D.L., Wilson, C., Pettifor, H., Ramea, K., Krey, V., Riahi, K., Bertram, C., Lin, Z., Edelenbosch, O.Y., and Fujisawa, S. (2017). Improving the behavioral realism of global integrated assessment models: An application to consumers’ vehicle choices. Transp. Res. Part Transp. Environ. </w:t>
      </w:r>
      <w:r w:rsidRPr="00AA71D7">
        <w:rPr>
          <w:rFonts w:ascii="Times New Roman" w:hAnsi="Times New Roman" w:cs="Times New Roman"/>
          <w:i/>
          <w:iCs/>
          <w:sz w:val="24"/>
        </w:rPr>
        <w:t>55</w:t>
      </w:r>
      <w:r w:rsidRPr="00AA71D7">
        <w:rPr>
          <w:rFonts w:ascii="Times New Roman" w:hAnsi="Times New Roman" w:cs="Times New Roman"/>
          <w:sz w:val="24"/>
        </w:rPr>
        <w:t>, 322–342.</w:t>
      </w:r>
    </w:p>
    <w:p w14:paraId="7D4DA96F"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23.</w:t>
      </w:r>
      <w:r w:rsidRPr="00AA71D7">
        <w:rPr>
          <w:rFonts w:ascii="Times New Roman" w:hAnsi="Times New Roman" w:cs="Times New Roman"/>
          <w:sz w:val="24"/>
        </w:rPr>
        <w:tab/>
        <w:t xml:space="preserve">Meys, R., Kätelhön, A., Bachmann, M., Winter, B., Zibunas, C., Suh, S., and Bardow, A. (2021). Achieving net-zero greenhouse gas emission plastics by a circular carbon economy. Science </w:t>
      </w:r>
      <w:r w:rsidRPr="00AA71D7">
        <w:rPr>
          <w:rFonts w:ascii="Times New Roman" w:hAnsi="Times New Roman" w:cs="Times New Roman"/>
          <w:i/>
          <w:iCs/>
          <w:sz w:val="24"/>
        </w:rPr>
        <w:t>374</w:t>
      </w:r>
      <w:r w:rsidRPr="00AA71D7">
        <w:rPr>
          <w:rFonts w:ascii="Times New Roman" w:hAnsi="Times New Roman" w:cs="Times New Roman"/>
          <w:sz w:val="24"/>
        </w:rPr>
        <w:t>, 71–76.</w:t>
      </w:r>
    </w:p>
    <w:p w14:paraId="276A0009" w14:textId="77777777" w:rsidR="00AA71D7" w:rsidRPr="00AA71D7" w:rsidRDefault="00AA71D7" w:rsidP="00AA71D7">
      <w:pPr>
        <w:pStyle w:val="Bibliography"/>
        <w:rPr>
          <w:rFonts w:ascii="Times New Roman" w:hAnsi="Times New Roman" w:cs="Times New Roman"/>
          <w:sz w:val="24"/>
        </w:rPr>
      </w:pPr>
      <w:r w:rsidRPr="00AA71D7">
        <w:rPr>
          <w:rFonts w:ascii="Times New Roman" w:hAnsi="Times New Roman" w:cs="Times New Roman"/>
          <w:sz w:val="24"/>
        </w:rPr>
        <w:t>24.</w:t>
      </w:r>
      <w:r w:rsidRPr="00AA71D7">
        <w:rPr>
          <w:rFonts w:ascii="Times New Roman" w:hAnsi="Times New Roman" w:cs="Times New Roman"/>
          <w:sz w:val="24"/>
        </w:rPr>
        <w:tab/>
        <w:t>White House (2022). Clean Energy Tax Provisions in the Inflation Reduction Act. White House. https://www.whitehouse.gov/cleanenergy/clean-energy-tax-provisions/.</w:t>
      </w:r>
    </w:p>
    <w:p w14:paraId="38F62648" w14:textId="1DDCEEDA" w:rsidR="00143C36" w:rsidRPr="0025159D" w:rsidRDefault="00143C36" w:rsidP="009859EF">
      <w:pPr>
        <w:rPr>
          <w:rFonts w:ascii="Times New Roman" w:hAnsi="Times New Roman" w:cs="Times New Roman"/>
          <w:b/>
          <w:bCs/>
          <w:sz w:val="24"/>
          <w:szCs w:val="24"/>
        </w:rPr>
      </w:pPr>
      <w:r w:rsidRPr="0025159D">
        <w:rPr>
          <w:rFonts w:ascii="Times New Roman" w:hAnsi="Times New Roman" w:cs="Times New Roman"/>
          <w:b/>
          <w:bCs/>
          <w:sz w:val="24"/>
          <w:szCs w:val="24"/>
        </w:rPr>
        <w:fldChar w:fldCharType="end"/>
      </w:r>
    </w:p>
    <w:sectPr w:rsidR="00143C36" w:rsidRPr="0025159D">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6B7C1" w14:textId="77777777" w:rsidR="000627B6" w:rsidRDefault="000627B6" w:rsidP="007F1A56">
      <w:pPr>
        <w:spacing w:after="0" w:line="240" w:lineRule="auto"/>
      </w:pPr>
      <w:r>
        <w:separator/>
      </w:r>
    </w:p>
  </w:endnote>
  <w:endnote w:type="continuationSeparator" w:id="0">
    <w:p w14:paraId="292257A7" w14:textId="77777777" w:rsidR="000627B6" w:rsidRDefault="000627B6" w:rsidP="007F1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2951D" w14:textId="6848046E" w:rsidR="0069683E" w:rsidRDefault="0069683E">
    <w:pPr>
      <w:pStyle w:val="Footer"/>
      <w:jc w:val="right"/>
    </w:pPr>
    <w:r>
      <w:t xml:space="preserve"> </w:t>
    </w:r>
    <w:r w:rsidRPr="007F1A56">
      <w:t>Supplement to: Diverse Decarbonization Pathways Under Near Cost-Optimal Futures</w:t>
    </w:r>
    <w:sdt>
      <w:sdtPr>
        <w:id w:val="-849867746"/>
        <w:docPartObj>
          <w:docPartGallery w:val="Page Numbers (Bottom of Page)"/>
          <w:docPartUnique/>
        </w:docPartObj>
      </w:sdtPr>
      <w:sdtEndPr>
        <w:rPr>
          <w:noProof/>
        </w:rPr>
      </w:sdtEndPr>
      <w:sdtContent>
        <w:r>
          <w:t xml:space="preserve">    </w:t>
        </w:r>
        <w:r>
          <w:fldChar w:fldCharType="begin"/>
        </w:r>
        <w:r>
          <w:instrText xml:space="preserve"> PAGE   \* MERGEFORMAT </w:instrText>
        </w:r>
        <w:r>
          <w:fldChar w:fldCharType="separate"/>
        </w:r>
        <w:r w:rsidR="00D0284A">
          <w:rPr>
            <w:noProof/>
          </w:rPr>
          <w:t>23</w:t>
        </w:r>
        <w:r>
          <w:rPr>
            <w:noProof/>
          </w:rPr>
          <w:fldChar w:fldCharType="end"/>
        </w:r>
      </w:sdtContent>
    </w:sdt>
  </w:p>
  <w:p w14:paraId="4E9CC1B6" w14:textId="77777777" w:rsidR="0069683E" w:rsidRDefault="006968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7AADA" w14:textId="77777777" w:rsidR="000627B6" w:rsidRDefault="000627B6" w:rsidP="007F1A56">
      <w:pPr>
        <w:spacing w:after="0" w:line="240" w:lineRule="auto"/>
      </w:pPr>
      <w:r>
        <w:separator/>
      </w:r>
    </w:p>
  </w:footnote>
  <w:footnote w:type="continuationSeparator" w:id="0">
    <w:p w14:paraId="0A3429BB" w14:textId="77777777" w:rsidR="000627B6" w:rsidRDefault="000627B6" w:rsidP="007F1A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D7797D"/>
    <w:multiLevelType w:val="hybridMultilevel"/>
    <w:tmpl w:val="E122823C"/>
    <w:lvl w:ilvl="0" w:tplc="AB4E71C4">
      <w:numFmt w:val="bullet"/>
      <w:lvlText w:val="-"/>
      <w:lvlJc w:val="left"/>
      <w:pPr>
        <w:ind w:left="720" w:hanging="360"/>
      </w:pPr>
      <w:rPr>
        <w:rFonts w:ascii="Times New Roman" w:eastAsiaTheme="minorHAns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846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599"/>
    <w:rsid w:val="00005EC4"/>
    <w:rsid w:val="0001049D"/>
    <w:rsid w:val="00015C55"/>
    <w:rsid w:val="0003686F"/>
    <w:rsid w:val="00041739"/>
    <w:rsid w:val="0005267E"/>
    <w:rsid w:val="00053CCC"/>
    <w:rsid w:val="00053E7A"/>
    <w:rsid w:val="000627B6"/>
    <w:rsid w:val="00087273"/>
    <w:rsid w:val="000A0CD3"/>
    <w:rsid w:val="000B287C"/>
    <w:rsid w:val="000C56A4"/>
    <w:rsid w:val="000D0FAD"/>
    <w:rsid w:val="000D1523"/>
    <w:rsid w:val="00111004"/>
    <w:rsid w:val="00117A82"/>
    <w:rsid w:val="00124986"/>
    <w:rsid w:val="001272F6"/>
    <w:rsid w:val="00134DDA"/>
    <w:rsid w:val="0013706E"/>
    <w:rsid w:val="001435C8"/>
    <w:rsid w:val="00143C36"/>
    <w:rsid w:val="0016140D"/>
    <w:rsid w:val="00166C51"/>
    <w:rsid w:val="001A1FEB"/>
    <w:rsid w:val="001F06C4"/>
    <w:rsid w:val="001F7695"/>
    <w:rsid w:val="0025159D"/>
    <w:rsid w:val="00253D04"/>
    <w:rsid w:val="00275375"/>
    <w:rsid w:val="002A14C9"/>
    <w:rsid w:val="002A4C13"/>
    <w:rsid w:val="002C7124"/>
    <w:rsid w:val="002D06B6"/>
    <w:rsid w:val="002D6699"/>
    <w:rsid w:val="002D6B9B"/>
    <w:rsid w:val="002E13C5"/>
    <w:rsid w:val="002E1CD0"/>
    <w:rsid w:val="002F6514"/>
    <w:rsid w:val="003150B8"/>
    <w:rsid w:val="00335593"/>
    <w:rsid w:val="003369A3"/>
    <w:rsid w:val="00343399"/>
    <w:rsid w:val="00351D13"/>
    <w:rsid w:val="00356E60"/>
    <w:rsid w:val="0038333D"/>
    <w:rsid w:val="00393CA6"/>
    <w:rsid w:val="0039797E"/>
    <w:rsid w:val="003A45A6"/>
    <w:rsid w:val="003F006C"/>
    <w:rsid w:val="003F423D"/>
    <w:rsid w:val="003F6DAB"/>
    <w:rsid w:val="00400BED"/>
    <w:rsid w:val="0040347B"/>
    <w:rsid w:val="00405D6F"/>
    <w:rsid w:val="0042519D"/>
    <w:rsid w:val="00425CB5"/>
    <w:rsid w:val="004325F0"/>
    <w:rsid w:val="0043619F"/>
    <w:rsid w:val="00442379"/>
    <w:rsid w:val="004513CA"/>
    <w:rsid w:val="00452199"/>
    <w:rsid w:val="00452A16"/>
    <w:rsid w:val="00452FA2"/>
    <w:rsid w:val="0045452A"/>
    <w:rsid w:val="00481321"/>
    <w:rsid w:val="00490999"/>
    <w:rsid w:val="004A3D4F"/>
    <w:rsid w:val="004B1599"/>
    <w:rsid w:val="004B372C"/>
    <w:rsid w:val="004C0EEF"/>
    <w:rsid w:val="004C57B2"/>
    <w:rsid w:val="004E75A0"/>
    <w:rsid w:val="004F3DEC"/>
    <w:rsid w:val="0052705D"/>
    <w:rsid w:val="00551FE1"/>
    <w:rsid w:val="00573A3E"/>
    <w:rsid w:val="005771DD"/>
    <w:rsid w:val="005818E3"/>
    <w:rsid w:val="005929B8"/>
    <w:rsid w:val="005E250A"/>
    <w:rsid w:val="00611400"/>
    <w:rsid w:val="00611F79"/>
    <w:rsid w:val="00631658"/>
    <w:rsid w:val="00650B2E"/>
    <w:rsid w:val="0069683E"/>
    <w:rsid w:val="006A61ED"/>
    <w:rsid w:val="006C0FF7"/>
    <w:rsid w:val="006C1221"/>
    <w:rsid w:val="006D3D42"/>
    <w:rsid w:val="006F2545"/>
    <w:rsid w:val="00701F79"/>
    <w:rsid w:val="007036CA"/>
    <w:rsid w:val="00710C16"/>
    <w:rsid w:val="00720EFF"/>
    <w:rsid w:val="00723A4C"/>
    <w:rsid w:val="00724C7E"/>
    <w:rsid w:val="007403D0"/>
    <w:rsid w:val="00740486"/>
    <w:rsid w:val="0074788D"/>
    <w:rsid w:val="00761675"/>
    <w:rsid w:val="007622D0"/>
    <w:rsid w:val="00764387"/>
    <w:rsid w:val="0076512E"/>
    <w:rsid w:val="007870DC"/>
    <w:rsid w:val="007966CF"/>
    <w:rsid w:val="007A62DB"/>
    <w:rsid w:val="007F1A56"/>
    <w:rsid w:val="008003D1"/>
    <w:rsid w:val="008170BC"/>
    <w:rsid w:val="0085799A"/>
    <w:rsid w:val="00860E72"/>
    <w:rsid w:val="008678A7"/>
    <w:rsid w:val="00890188"/>
    <w:rsid w:val="008B3DA3"/>
    <w:rsid w:val="008B4F66"/>
    <w:rsid w:val="008C4392"/>
    <w:rsid w:val="008D4370"/>
    <w:rsid w:val="008E027C"/>
    <w:rsid w:val="008E0DB6"/>
    <w:rsid w:val="0090247E"/>
    <w:rsid w:val="0092359C"/>
    <w:rsid w:val="00936A45"/>
    <w:rsid w:val="009376C9"/>
    <w:rsid w:val="0094118C"/>
    <w:rsid w:val="00973B19"/>
    <w:rsid w:val="009859EF"/>
    <w:rsid w:val="009A0C39"/>
    <w:rsid w:val="009A2350"/>
    <w:rsid w:val="009A308E"/>
    <w:rsid w:val="009B68BA"/>
    <w:rsid w:val="009C365F"/>
    <w:rsid w:val="009C3F83"/>
    <w:rsid w:val="00A05686"/>
    <w:rsid w:val="00A12FE9"/>
    <w:rsid w:val="00A252F3"/>
    <w:rsid w:val="00A53187"/>
    <w:rsid w:val="00A679EB"/>
    <w:rsid w:val="00A816E2"/>
    <w:rsid w:val="00A85682"/>
    <w:rsid w:val="00A85954"/>
    <w:rsid w:val="00A939D0"/>
    <w:rsid w:val="00A95B4B"/>
    <w:rsid w:val="00AA71D7"/>
    <w:rsid w:val="00AA7905"/>
    <w:rsid w:val="00AB1A06"/>
    <w:rsid w:val="00AC1B25"/>
    <w:rsid w:val="00AC1DA5"/>
    <w:rsid w:val="00AD5382"/>
    <w:rsid w:val="00AD56B9"/>
    <w:rsid w:val="00AE42B2"/>
    <w:rsid w:val="00B00E1E"/>
    <w:rsid w:val="00B11B6E"/>
    <w:rsid w:val="00B25A8F"/>
    <w:rsid w:val="00B26979"/>
    <w:rsid w:val="00B41947"/>
    <w:rsid w:val="00B441C3"/>
    <w:rsid w:val="00B6059F"/>
    <w:rsid w:val="00B633D5"/>
    <w:rsid w:val="00B80EAF"/>
    <w:rsid w:val="00B97A3B"/>
    <w:rsid w:val="00BB1696"/>
    <w:rsid w:val="00BD655D"/>
    <w:rsid w:val="00C15534"/>
    <w:rsid w:val="00C3223E"/>
    <w:rsid w:val="00C462A5"/>
    <w:rsid w:val="00C5178D"/>
    <w:rsid w:val="00C562DD"/>
    <w:rsid w:val="00C667AF"/>
    <w:rsid w:val="00C66F14"/>
    <w:rsid w:val="00C81DD6"/>
    <w:rsid w:val="00C86722"/>
    <w:rsid w:val="00CA4D93"/>
    <w:rsid w:val="00CA53CE"/>
    <w:rsid w:val="00CB6671"/>
    <w:rsid w:val="00CC5BCB"/>
    <w:rsid w:val="00CC615D"/>
    <w:rsid w:val="00CD25D3"/>
    <w:rsid w:val="00CD577E"/>
    <w:rsid w:val="00CD5D85"/>
    <w:rsid w:val="00CE4AD4"/>
    <w:rsid w:val="00CE6C7A"/>
    <w:rsid w:val="00CF5E57"/>
    <w:rsid w:val="00D00DDD"/>
    <w:rsid w:val="00D0274A"/>
    <w:rsid w:val="00D0284A"/>
    <w:rsid w:val="00D10468"/>
    <w:rsid w:val="00D20F9B"/>
    <w:rsid w:val="00D2598F"/>
    <w:rsid w:val="00D7047A"/>
    <w:rsid w:val="00D70E9E"/>
    <w:rsid w:val="00D824F1"/>
    <w:rsid w:val="00D90B54"/>
    <w:rsid w:val="00DA7232"/>
    <w:rsid w:val="00DB2115"/>
    <w:rsid w:val="00DB575D"/>
    <w:rsid w:val="00DE0121"/>
    <w:rsid w:val="00E1330B"/>
    <w:rsid w:val="00E2750E"/>
    <w:rsid w:val="00E36728"/>
    <w:rsid w:val="00E367B7"/>
    <w:rsid w:val="00E50835"/>
    <w:rsid w:val="00E51579"/>
    <w:rsid w:val="00E52C4F"/>
    <w:rsid w:val="00E534C8"/>
    <w:rsid w:val="00E576B4"/>
    <w:rsid w:val="00E64B0C"/>
    <w:rsid w:val="00E92BE1"/>
    <w:rsid w:val="00EC2C4E"/>
    <w:rsid w:val="00EC66F0"/>
    <w:rsid w:val="00EC7E2A"/>
    <w:rsid w:val="00ED659A"/>
    <w:rsid w:val="00EE0D01"/>
    <w:rsid w:val="00F05D78"/>
    <w:rsid w:val="00F05DE2"/>
    <w:rsid w:val="00F15C38"/>
    <w:rsid w:val="00F327E8"/>
    <w:rsid w:val="00F46176"/>
    <w:rsid w:val="00F536C8"/>
    <w:rsid w:val="00F860A1"/>
    <w:rsid w:val="00FA16C5"/>
    <w:rsid w:val="00FA736D"/>
    <w:rsid w:val="00FB7156"/>
    <w:rsid w:val="00FC0F50"/>
    <w:rsid w:val="00FC5605"/>
    <w:rsid w:val="00FD6274"/>
    <w:rsid w:val="00FD62E3"/>
    <w:rsid w:val="00FE0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F7DE7D"/>
  <w15:chartTrackingRefBased/>
  <w15:docId w15:val="{4FC29C77-9EB4-49FD-B2D5-14E3B2F07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59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B15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1599"/>
    <w:rPr>
      <w:rFonts w:asciiTheme="majorHAnsi" w:eastAsiaTheme="majorEastAsia" w:hAnsiTheme="majorHAnsi" w:cstheme="majorBidi"/>
      <w:spacing w:val="-10"/>
      <w:kern w:val="28"/>
      <w:sz w:val="56"/>
      <w:szCs w:val="56"/>
      <w14:ligatures w14:val="none"/>
    </w:rPr>
  </w:style>
  <w:style w:type="character" w:styleId="CommentReference">
    <w:name w:val="annotation reference"/>
    <w:basedOn w:val="DefaultParagraphFont"/>
    <w:uiPriority w:val="99"/>
    <w:semiHidden/>
    <w:unhideWhenUsed/>
    <w:rsid w:val="004B1599"/>
    <w:rPr>
      <w:sz w:val="16"/>
      <w:szCs w:val="16"/>
    </w:rPr>
  </w:style>
  <w:style w:type="paragraph" w:styleId="CommentText">
    <w:name w:val="annotation text"/>
    <w:basedOn w:val="Normal"/>
    <w:link w:val="CommentTextChar"/>
    <w:uiPriority w:val="99"/>
    <w:unhideWhenUsed/>
    <w:rsid w:val="004B1599"/>
    <w:pPr>
      <w:spacing w:line="240" w:lineRule="auto"/>
    </w:pPr>
    <w:rPr>
      <w:sz w:val="20"/>
      <w:szCs w:val="20"/>
    </w:rPr>
  </w:style>
  <w:style w:type="character" w:customStyle="1" w:styleId="CommentTextChar">
    <w:name w:val="Comment Text Char"/>
    <w:basedOn w:val="DefaultParagraphFont"/>
    <w:link w:val="CommentText"/>
    <w:uiPriority w:val="99"/>
    <w:rsid w:val="004B1599"/>
    <w:rPr>
      <w:kern w:val="0"/>
      <w:sz w:val="20"/>
      <w:szCs w:val="20"/>
      <w14:ligatures w14:val="none"/>
    </w:rPr>
  </w:style>
  <w:style w:type="paragraph" w:styleId="BalloonText">
    <w:name w:val="Balloon Text"/>
    <w:basedOn w:val="Normal"/>
    <w:link w:val="BalloonTextChar"/>
    <w:uiPriority w:val="99"/>
    <w:semiHidden/>
    <w:unhideWhenUsed/>
    <w:rsid w:val="006A61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1ED"/>
    <w:rPr>
      <w:rFonts w:ascii="Segoe UI" w:hAnsi="Segoe UI" w:cs="Segoe UI"/>
      <w:kern w:val="0"/>
      <w:sz w:val="18"/>
      <w:szCs w:val="18"/>
      <w14:ligatures w14:val="none"/>
    </w:rPr>
  </w:style>
  <w:style w:type="paragraph" w:styleId="CommentSubject">
    <w:name w:val="annotation subject"/>
    <w:basedOn w:val="CommentText"/>
    <w:next w:val="CommentText"/>
    <w:link w:val="CommentSubjectChar"/>
    <w:uiPriority w:val="99"/>
    <w:semiHidden/>
    <w:unhideWhenUsed/>
    <w:rsid w:val="006A61ED"/>
    <w:rPr>
      <w:b/>
      <w:bCs/>
    </w:rPr>
  </w:style>
  <w:style w:type="character" w:customStyle="1" w:styleId="CommentSubjectChar">
    <w:name w:val="Comment Subject Char"/>
    <w:basedOn w:val="CommentTextChar"/>
    <w:link w:val="CommentSubject"/>
    <w:uiPriority w:val="99"/>
    <w:semiHidden/>
    <w:rsid w:val="006A61ED"/>
    <w:rPr>
      <w:b/>
      <w:bCs/>
      <w:kern w:val="0"/>
      <w:sz w:val="20"/>
      <w:szCs w:val="20"/>
      <w14:ligatures w14:val="none"/>
    </w:rPr>
  </w:style>
  <w:style w:type="paragraph" w:styleId="Revision">
    <w:name w:val="Revision"/>
    <w:hidden/>
    <w:uiPriority w:val="99"/>
    <w:semiHidden/>
    <w:rsid w:val="00761675"/>
    <w:pPr>
      <w:spacing w:after="0" w:line="240" w:lineRule="auto"/>
    </w:pPr>
    <w:rPr>
      <w:kern w:val="0"/>
      <w14:ligatures w14:val="none"/>
    </w:rPr>
  </w:style>
  <w:style w:type="character" w:styleId="Hyperlink">
    <w:name w:val="Hyperlink"/>
    <w:basedOn w:val="DefaultParagraphFont"/>
    <w:uiPriority w:val="99"/>
    <w:unhideWhenUsed/>
    <w:rsid w:val="003150B8"/>
    <w:rPr>
      <w:color w:val="0563C1" w:themeColor="hyperlink"/>
      <w:u w:val="single"/>
    </w:rPr>
  </w:style>
  <w:style w:type="character" w:customStyle="1" w:styleId="UnresolvedMention1">
    <w:name w:val="Unresolved Mention1"/>
    <w:basedOn w:val="DefaultParagraphFont"/>
    <w:uiPriority w:val="99"/>
    <w:semiHidden/>
    <w:unhideWhenUsed/>
    <w:rsid w:val="003150B8"/>
    <w:rPr>
      <w:color w:val="605E5C"/>
      <w:shd w:val="clear" w:color="auto" w:fill="E1DFDD"/>
    </w:rPr>
  </w:style>
  <w:style w:type="paragraph" w:styleId="ListParagraph">
    <w:name w:val="List Paragraph"/>
    <w:basedOn w:val="Normal"/>
    <w:uiPriority w:val="34"/>
    <w:qFormat/>
    <w:rsid w:val="00E534C8"/>
    <w:pPr>
      <w:ind w:left="720"/>
      <w:contextualSpacing/>
    </w:pPr>
  </w:style>
  <w:style w:type="table" w:styleId="TableGrid">
    <w:name w:val="Table Grid"/>
    <w:basedOn w:val="TableNormal"/>
    <w:uiPriority w:val="39"/>
    <w:rsid w:val="003369A3"/>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369A3"/>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FA16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A16C5"/>
    <w:rPr>
      <w:rFonts w:ascii="Courier New" w:eastAsia="Times New Roman" w:hAnsi="Courier New" w:cs="Courier New"/>
      <w:kern w:val="0"/>
      <w:sz w:val="20"/>
      <w:szCs w:val="20"/>
      <w14:ligatures w14:val="none"/>
    </w:rPr>
  </w:style>
  <w:style w:type="character" w:customStyle="1" w:styleId="sd">
    <w:name w:val="sd"/>
    <w:basedOn w:val="DefaultParagraphFont"/>
    <w:rsid w:val="00FA16C5"/>
  </w:style>
  <w:style w:type="character" w:styleId="PlaceholderText">
    <w:name w:val="Placeholder Text"/>
    <w:basedOn w:val="DefaultParagraphFont"/>
    <w:uiPriority w:val="99"/>
    <w:semiHidden/>
    <w:rsid w:val="00FA16C5"/>
    <w:rPr>
      <w:color w:val="808080"/>
    </w:rPr>
  </w:style>
  <w:style w:type="character" w:styleId="FollowedHyperlink">
    <w:name w:val="FollowedHyperlink"/>
    <w:basedOn w:val="DefaultParagraphFont"/>
    <w:uiPriority w:val="99"/>
    <w:semiHidden/>
    <w:unhideWhenUsed/>
    <w:rsid w:val="00E1330B"/>
    <w:rPr>
      <w:color w:val="954F72" w:themeColor="followedHyperlink"/>
      <w:u w:val="single"/>
    </w:rPr>
  </w:style>
  <w:style w:type="paragraph" w:styleId="Bibliography">
    <w:name w:val="Bibliography"/>
    <w:basedOn w:val="Normal"/>
    <w:next w:val="Normal"/>
    <w:uiPriority w:val="37"/>
    <w:unhideWhenUsed/>
    <w:rsid w:val="00143C36"/>
    <w:pPr>
      <w:tabs>
        <w:tab w:val="left" w:pos="384"/>
      </w:tabs>
      <w:spacing w:after="240" w:line="240" w:lineRule="auto"/>
      <w:ind w:left="384" w:hanging="384"/>
    </w:pPr>
  </w:style>
  <w:style w:type="paragraph" w:styleId="Header">
    <w:name w:val="header"/>
    <w:basedOn w:val="Normal"/>
    <w:link w:val="HeaderChar"/>
    <w:uiPriority w:val="99"/>
    <w:unhideWhenUsed/>
    <w:rsid w:val="007F1A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1A56"/>
    <w:rPr>
      <w:kern w:val="0"/>
      <w14:ligatures w14:val="none"/>
    </w:rPr>
  </w:style>
  <w:style w:type="paragraph" w:styleId="Footer">
    <w:name w:val="footer"/>
    <w:basedOn w:val="Normal"/>
    <w:link w:val="FooterChar"/>
    <w:uiPriority w:val="99"/>
    <w:unhideWhenUsed/>
    <w:rsid w:val="007F1A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1A56"/>
    <w:rPr>
      <w:kern w:val="0"/>
      <w14:ligatures w14:val="none"/>
    </w:rPr>
  </w:style>
  <w:style w:type="character" w:styleId="UnresolvedMention">
    <w:name w:val="Unresolved Mention"/>
    <w:basedOn w:val="DefaultParagraphFont"/>
    <w:uiPriority w:val="99"/>
    <w:semiHidden/>
    <w:unhideWhenUsed/>
    <w:rsid w:val="009411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62319">
      <w:bodyDiv w:val="1"/>
      <w:marLeft w:val="0"/>
      <w:marRight w:val="0"/>
      <w:marTop w:val="0"/>
      <w:marBottom w:val="0"/>
      <w:divBdr>
        <w:top w:val="none" w:sz="0" w:space="0" w:color="auto"/>
        <w:left w:val="none" w:sz="0" w:space="0" w:color="auto"/>
        <w:bottom w:val="none" w:sz="0" w:space="0" w:color="auto"/>
        <w:right w:val="none" w:sz="0" w:space="0" w:color="auto"/>
      </w:divBdr>
    </w:div>
    <w:div w:id="233273166">
      <w:bodyDiv w:val="1"/>
      <w:marLeft w:val="0"/>
      <w:marRight w:val="0"/>
      <w:marTop w:val="0"/>
      <w:marBottom w:val="0"/>
      <w:divBdr>
        <w:top w:val="none" w:sz="0" w:space="0" w:color="auto"/>
        <w:left w:val="none" w:sz="0" w:space="0" w:color="auto"/>
        <w:bottom w:val="none" w:sz="0" w:space="0" w:color="auto"/>
        <w:right w:val="none" w:sz="0" w:space="0" w:color="auto"/>
      </w:divBdr>
      <w:divsChild>
        <w:div w:id="110173650">
          <w:marLeft w:val="0"/>
          <w:marRight w:val="0"/>
          <w:marTop w:val="0"/>
          <w:marBottom w:val="0"/>
          <w:divBdr>
            <w:top w:val="none" w:sz="0" w:space="0" w:color="auto"/>
            <w:left w:val="none" w:sz="0" w:space="0" w:color="auto"/>
            <w:bottom w:val="none" w:sz="0" w:space="0" w:color="auto"/>
            <w:right w:val="none" w:sz="0" w:space="0" w:color="auto"/>
          </w:divBdr>
        </w:div>
      </w:divsChild>
    </w:div>
    <w:div w:id="342557048">
      <w:bodyDiv w:val="1"/>
      <w:marLeft w:val="0"/>
      <w:marRight w:val="0"/>
      <w:marTop w:val="0"/>
      <w:marBottom w:val="0"/>
      <w:divBdr>
        <w:top w:val="none" w:sz="0" w:space="0" w:color="auto"/>
        <w:left w:val="none" w:sz="0" w:space="0" w:color="auto"/>
        <w:bottom w:val="none" w:sz="0" w:space="0" w:color="auto"/>
        <w:right w:val="none" w:sz="0" w:space="0" w:color="auto"/>
      </w:divBdr>
    </w:div>
    <w:div w:id="611982814">
      <w:bodyDiv w:val="1"/>
      <w:marLeft w:val="0"/>
      <w:marRight w:val="0"/>
      <w:marTop w:val="0"/>
      <w:marBottom w:val="0"/>
      <w:divBdr>
        <w:top w:val="none" w:sz="0" w:space="0" w:color="auto"/>
        <w:left w:val="none" w:sz="0" w:space="0" w:color="auto"/>
        <w:bottom w:val="none" w:sz="0" w:space="0" w:color="auto"/>
        <w:right w:val="none" w:sz="0" w:space="0" w:color="auto"/>
      </w:divBdr>
      <w:divsChild>
        <w:div w:id="811676359">
          <w:marLeft w:val="0"/>
          <w:marRight w:val="0"/>
          <w:marTop w:val="0"/>
          <w:marBottom w:val="0"/>
          <w:divBdr>
            <w:top w:val="none" w:sz="0" w:space="0" w:color="auto"/>
            <w:left w:val="none" w:sz="0" w:space="0" w:color="auto"/>
            <w:bottom w:val="none" w:sz="0" w:space="0" w:color="auto"/>
            <w:right w:val="none" w:sz="0" w:space="0" w:color="auto"/>
          </w:divBdr>
        </w:div>
      </w:divsChild>
    </w:div>
    <w:div w:id="717827298">
      <w:bodyDiv w:val="1"/>
      <w:marLeft w:val="0"/>
      <w:marRight w:val="0"/>
      <w:marTop w:val="0"/>
      <w:marBottom w:val="0"/>
      <w:divBdr>
        <w:top w:val="none" w:sz="0" w:space="0" w:color="auto"/>
        <w:left w:val="none" w:sz="0" w:space="0" w:color="auto"/>
        <w:bottom w:val="none" w:sz="0" w:space="0" w:color="auto"/>
        <w:right w:val="none" w:sz="0" w:space="0" w:color="auto"/>
      </w:divBdr>
      <w:divsChild>
        <w:div w:id="267154945">
          <w:marLeft w:val="0"/>
          <w:marRight w:val="0"/>
          <w:marTop w:val="0"/>
          <w:marBottom w:val="0"/>
          <w:divBdr>
            <w:top w:val="none" w:sz="0" w:space="0" w:color="auto"/>
            <w:left w:val="none" w:sz="0" w:space="0" w:color="auto"/>
            <w:bottom w:val="none" w:sz="0" w:space="0" w:color="auto"/>
            <w:right w:val="none" w:sz="0" w:space="0" w:color="auto"/>
          </w:divBdr>
        </w:div>
      </w:divsChild>
    </w:div>
    <w:div w:id="876510680">
      <w:bodyDiv w:val="1"/>
      <w:marLeft w:val="0"/>
      <w:marRight w:val="0"/>
      <w:marTop w:val="0"/>
      <w:marBottom w:val="0"/>
      <w:divBdr>
        <w:top w:val="none" w:sz="0" w:space="0" w:color="auto"/>
        <w:left w:val="none" w:sz="0" w:space="0" w:color="auto"/>
        <w:bottom w:val="none" w:sz="0" w:space="0" w:color="auto"/>
        <w:right w:val="none" w:sz="0" w:space="0" w:color="auto"/>
      </w:divBdr>
    </w:div>
    <w:div w:id="894661406">
      <w:bodyDiv w:val="1"/>
      <w:marLeft w:val="0"/>
      <w:marRight w:val="0"/>
      <w:marTop w:val="0"/>
      <w:marBottom w:val="0"/>
      <w:divBdr>
        <w:top w:val="none" w:sz="0" w:space="0" w:color="auto"/>
        <w:left w:val="none" w:sz="0" w:space="0" w:color="auto"/>
        <w:bottom w:val="none" w:sz="0" w:space="0" w:color="auto"/>
        <w:right w:val="none" w:sz="0" w:space="0" w:color="auto"/>
      </w:divBdr>
      <w:divsChild>
        <w:div w:id="409040625">
          <w:marLeft w:val="0"/>
          <w:marRight w:val="0"/>
          <w:marTop w:val="0"/>
          <w:marBottom w:val="0"/>
          <w:divBdr>
            <w:top w:val="none" w:sz="0" w:space="0" w:color="auto"/>
            <w:left w:val="none" w:sz="0" w:space="0" w:color="auto"/>
            <w:bottom w:val="none" w:sz="0" w:space="0" w:color="auto"/>
            <w:right w:val="none" w:sz="0" w:space="0" w:color="auto"/>
          </w:divBdr>
        </w:div>
      </w:divsChild>
    </w:div>
    <w:div w:id="1105731566">
      <w:bodyDiv w:val="1"/>
      <w:marLeft w:val="0"/>
      <w:marRight w:val="0"/>
      <w:marTop w:val="0"/>
      <w:marBottom w:val="0"/>
      <w:divBdr>
        <w:top w:val="none" w:sz="0" w:space="0" w:color="auto"/>
        <w:left w:val="none" w:sz="0" w:space="0" w:color="auto"/>
        <w:bottom w:val="none" w:sz="0" w:space="0" w:color="auto"/>
        <w:right w:val="none" w:sz="0" w:space="0" w:color="auto"/>
      </w:divBdr>
      <w:divsChild>
        <w:div w:id="1310204892">
          <w:marLeft w:val="0"/>
          <w:marRight w:val="0"/>
          <w:marTop w:val="0"/>
          <w:marBottom w:val="0"/>
          <w:divBdr>
            <w:top w:val="none" w:sz="0" w:space="0" w:color="auto"/>
            <w:left w:val="none" w:sz="0" w:space="0" w:color="auto"/>
            <w:bottom w:val="none" w:sz="0" w:space="0" w:color="auto"/>
            <w:right w:val="none" w:sz="0" w:space="0" w:color="auto"/>
          </w:divBdr>
        </w:div>
      </w:divsChild>
    </w:div>
    <w:div w:id="1125150681">
      <w:bodyDiv w:val="1"/>
      <w:marLeft w:val="0"/>
      <w:marRight w:val="0"/>
      <w:marTop w:val="0"/>
      <w:marBottom w:val="0"/>
      <w:divBdr>
        <w:top w:val="none" w:sz="0" w:space="0" w:color="auto"/>
        <w:left w:val="none" w:sz="0" w:space="0" w:color="auto"/>
        <w:bottom w:val="none" w:sz="0" w:space="0" w:color="auto"/>
        <w:right w:val="none" w:sz="0" w:space="0" w:color="auto"/>
      </w:divBdr>
    </w:div>
    <w:div w:id="1329334267">
      <w:bodyDiv w:val="1"/>
      <w:marLeft w:val="0"/>
      <w:marRight w:val="0"/>
      <w:marTop w:val="0"/>
      <w:marBottom w:val="0"/>
      <w:divBdr>
        <w:top w:val="none" w:sz="0" w:space="0" w:color="auto"/>
        <w:left w:val="none" w:sz="0" w:space="0" w:color="auto"/>
        <w:bottom w:val="none" w:sz="0" w:space="0" w:color="auto"/>
        <w:right w:val="none" w:sz="0" w:space="0" w:color="auto"/>
      </w:divBdr>
    </w:div>
    <w:div w:id="1454908056">
      <w:bodyDiv w:val="1"/>
      <w:marLeft w:val="0"/>
      <w:marRight w:val="0"/>
      <w:marTop w:val="0"/>
      <w:marBottom w:val="0"/>
      <w:divBdr>
        <w:top w:val="none" w:sz="0" w:space="0" w:color="auto"/>
        <w:left w:val="none" w:sz="0" w:space="0" w:color="auto"/>
        <w:bottom w:val="none" w:sz="0" w:space="0" w:color="auto"/>
        <w:right w:val="none" w:sz="0" w:space="0" w:color="auto"/>
      </w:divBdr>
    </w:div>
    <w:div w:id="1594124503">
      <w:bodyDiv w:val="1"/>
      <w:marLeft w:val="0"/>
      <w:marRight w:val="0"/>
      <w:marTop w:val="0"/>
      <w:marBottom w:val="0"/>
      <w:divBdr>
        <w:top w:val="none" w:sz="0" w:space="0" w:color="auto"/>
        <w:left w:val="none" w:sz="0" w:space="0" w:color="auto"/>
        <w:bottom w:val="none" w:sz="0" w:space="0" w:color="auto"/>
        <w:right w:val="none" w:sz="0" w:space="0" w:color="auto"/>
      </w:divBdr>
    </w:div>
    <w:div w:id="1757629117">
      <w:bodyDiv w:val="1"/>
      <w:marLeft w:val="0"/>
      <w:marRight w:val="0"/>
      <w:marTop w:val="0"/>
      <w:marBottom w:val="0"/>
      <w:divBdr>
        <w:top w:val="none" w:sz="0" w:space="0" w:color="auto"/>
        <w:left w:val="none" w:sz="0" w:space="0" w:color="auto"/>
        <w:bottom w:val="none" w:sz="0" w:space="0" w:color="auto"/>
        <w:right w:val="none" w:sz="0" w:space="0" w:color="auto"/>
      </w:divBdr>
    </w:div>
    <w:div w:id="1972244281">
      <w:bodyDiv w:val="1"/>
      <w:marLeft w:val="0"/>
      <w:marRight w:val="0"/>
      <w:marTop w:val="0"/>
      <w:marBottom w:val="0"/>
      <w:divBdr>
        <w:top w:val="none" w:sz="0" w:space="0" w:color="auto"/>
        <w:left w:val="none" w:sz="0" w:space="0" w:color="auto"/>
        <w:bottom w:val="none" w:sz="0" w:space="0" w:color="auto"/>
        <w:right w:val="none" w:sz="0" w:space="0" w:color="auto"/>
      </w:divBdr>
    </w:div>
    <w:div w:id="1978601963">
      <w:bodyDiv w:val="1"/>
      <w:marLeft w:val="0"/>
      <w:marRight w:val="0"/>
      <w:marTop w:val="0"/>
      <w:marBottom w:val="0"/>
      <w:divBdr>
        <w:top w:val="none" w:sz="0" w:space="0" w:color="auto"/>
        <w:left w:val="none" w:sz="0" w:space="0" w:color="auto"/>
        <w:bottom w:val="none" w:sz="0" w:space="0" w:color="auto"/>
        <w:right w:val="none" w:sz="0" w:space="0" w:color="auto"/>
      </w:divBdr>
    </w:div>
    <w:div w:id="2023049880">
      <w:bodyDiv w:val="1"/>
      <w:marLeft w:val="0"/>
      <w:marRight w:val="0"/>
      <w:marTop w:val="0"/>
      <w:marBottom w:val="0"/>
      <w:divBdr>
        <w:top w:val="none" w:sz="0" w:space="0" w:color="auto"/>
        <w:left w:val="none" w:sz="0" w:space="0" w:color="auto"/>
        <w:bottom w:val="none" w:sz="0" w:space="0" w:color="auto"/>
        <w:right w:val="none" w:sz="0" w:space="0" w:color="auto"/>
      </w:divBdr>
      <w:divsChild>
        <w:div w:id="456727517">
          <w:marLeft w:val="0"/>
          <w:marRight w:val="0"/>
          <w:marTop w:val="0"/>
          <w:marBottom w:val="0"/>
          <w:divBdr>
            <w:top w:val="none" w:sz="0" w:space="0" w:color="auto"/>
            <w:left w:val="none" w:sz="0" w:space="0" w:color="auto"/>
            <w:bottom w:val="none" w:sz="0" w:space="0" w:color="auto"/>
            <w:right w:val="none" w:sz="0" w:space="0" w:color="auto"/>
          </w:divBdr>
        </w:div>
      </w:divsChild>
    </w:div>
    <w:div w:id="2075159117">
      <w:bodyDiv w:val="1"/>
      <w:marLeft w:val="0"/>
      <w:marRight w:val="0"/>
      <w:marTop w:val="0"/>
      <w:marBottom w:val="0"/>
      <w:divBdr>
        <w:top w:val="none" w:sz="0" w:space="0" w:color="auto"/>
        <w:left w:val="none" w:sz="0" w:space="0" w:color="auto"/>
        <w:bottom w:val="none" w:sz="0" w:space="0" w:color="auto"/>
        <w:right w:val="none" w:sz="0" w:space="0" w:color="auto"/>
      </w:divBdr>
      <w:divsChild>
        <w:div w:id="1105617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inha2@ncsu.edu"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CC3B72-469A-45B1-A930-3EE93F057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22</Pages>
  <Words>12542</Words>
  <Characters>71491</Characters>
  <Application>Microsoft Office Word</Application>
  <DocSecurity>0</DocSecurity>
  <Lines>595</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Sinha PhD</dc:creator>
  <cp:keywords/>
  <dc:description/>
  <cp:lastModifiedBy>Aditya Sinha PhD</cp:lastModifiedBy>
  <cp:revision>10</cp:revision>
  <cp:lastPrinted>2023-06-06T12:27:00Z</cp:lastPrinted>
  <dcterms:created xsi:type="dcterms:W3CDTF">2023-11-22T19:52:00Z</dcterms:created>
  <dcterms:modified xsi:type="dcterms:W3CDTF">2023-11-28T22:39:00Z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id="5Bqj4lr7"/&gt;&lt;style id="http://www.zotero.org/styles/joule" hasBibliography="1" bibliographyStyleHasBeenSet="1"/&gt;&lt;prefs&gt;&lt;pref name="fieldType" value="Field"/&gt;&lt;pref name="automaticJournalAbbreviatio</vt:lpwstr>
  </property>
  <property fmtid="{D5CDD505-2E9C-101B-9397-08002B2CF9AE}" pid="3" name="ZOTERO_PREF_2">
    <vt:lpwstr>ns" value="true"/&gt;&lt;/prefs&gt;&lt;/data&gt;</vt:lpwstr>
  </property>
  <property fmtid="{D5CDD505-2E9C-101B-9397-08002B2CF9AE}" pid="4" name="GrammarlyDocumentId">
    <vt:lpwstr>e8ae4a38208f7bbdea4b9efd8a503b97013325026d922bce14031ccc1c591f32</vt:lpwstr>
  </property>
</Properties>
</file>