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F073D1" w14:textId="77777777" w:rsidR="005D376C" w:rsidRDefault="005D376C" w:rsidP="005D376C">
      <w:pPr>
        <w:spacing w:after="0" w:line="240" w:lineRule="auto"/>
        <w:jc w:val="center"/>
        <w:rPr>
          <w:rFonts w:ascii="Arial" w:hAnsi="Arial" w:cs="Arial"/>
          <w:b/>
          <w:u w:val="single"/>
        </w:rPr>
      </w:pPr>
      <w:bookmarkStart w:id="0" w:name="_GoBack"/>
      <w:r>
        <w:rPr>
          <w:rFonts w:ascii="Arial" w:hAnsi="Arial" w:cs="Arial"/>
          <w:b/>
          <w:u w:val="single"/>
        </w:rPr>
        <w:t>SUPPLEMENTAL MATERIALS</w:t>
      </w:r>
    </w:p>
    <w:p w14:paraId="0897D0C0" w14:textId="77777777" w:rsidR="00E06C65" w:rsidRPr="005D376C" w:rsidRDefault="00E06C65" w:rsidP="00E06C65">
      <w:pPr>
        <w:spacing w:after="0" w:line="240" w:lineRule="auto"/>
        <w:rPr>
          <w:rFonts w:ascii="Arial" w:hAnsi="Arial" w:cs="Arial"/>
          <w:bCs/>
        </w:rPr>
      </w:pPr>
    </w:p>
    <w:p w14:paraId="43301597" w14:textId="4E0DA5D2" w:rsidR="00E06C65" w:rsidRPr="005D376C" w:rsidRDefault="00E06C65" w:rsidP="00E06C65">
      <w:pPr>
        <w:spacing w:after="0" w:line="240" w:lineRule="auto"/>
        <w:jc w:val="both"/>
        <w:rPr>
          <w:rFonts w:ascii="Arial" w:eastAsia="Arial" w:hAnsi="Arial" w:cs="Arial"/>
          <w:b/>
        </w:rPr>
      </w:pPr>
      <w:r w:rsidRPr="005D376C">
        <w:rPr>
          <w:rFonts w:ascii="Arial" w:eastAsia="Arial" w:hAnsi="Arial" w:cs="Arial"/>
          <w:b/>
        </w:rPr>
        <w:t xml:space="preserve">1) Social Interaction </w:t>
      </w:r>
      <w:r w:rsidR="00493AF3">
        <w:rPr>
          <w:rFonts w:ascii="Arial" w:eastAsia="Arial" w:hAnsi="Arial" w:cs="Arial"/>
          <w:b/>
        </w:rPr>
        <w:t>T</w:t>
      </w:r>
      <w:r w:rsidRPr="005D376C">
        <w:rPr>
          <w:rFonts w:ascii="Arial" w:eastAsia="Arial" w:hAnsi="Arial" w:cs="Arial"/>
          <w:b/>
        </w:rPr>
        <w:t>est (SIT)</w:t>
      </w:r>
    </w:p>
    <w:p w14:paraId="26B91268" w14:textId="4FDD17AA" w:rsidR="00E06C65" w:rsidRPr="005D376C" w:rsidRDefault="00E06C65" w:rsidP="00E06C65">
      <w:pPr>
        <w:spacing w:after="0" w:line="240" w:lineRule="auto"/>
        <w:jc w:val="both"/>
        <w:rPr>
          <w:rFonts w:ascii="Arial" w:eastAsia="Arial" w:hAnsi="Arial" w:cs="Arial"/>
        </w:rPr>
      </w:pPr>
      <w:r w:rsidRPr="005D376C">
        <w:rPr>
          <w:rFonts w:ascii="Arial" w:eastAsia="Arial" w:hAnsi="Arial" w:cs="Arial"/>
        </w:rPr>
        <w:t>Behavioral experiments were conducted in 7 months old mice. Crawley’s Three-Chamber test for sociability and preference for social novelty was performed as described previously</w:t>
      </w:r>
      <w:r w:rsidR="00BF5F1D">
        <w:rPr>
          <w:rFonts w:ascii="Arial" w:eastAsia="Arial" w:hAnsi="Arial" w:cs="Arial"/>
        </w:rPr>
        <w:t xml:space="preserve"> </w:t>
      </w:r>
      <w:r w:rsidRPr="005D376C">
        <w:rPr>
          <w:rFonts w:ascii="Arial" w:eastAsia="Arial" w:hAnsi="Arial" w:cs="Arial"/>
        </w:rPr>
        <w:fldChar w:fldCharType="begin"/>
      </w:r>
      <w:r w:rsidRPr="005D376C">
        <w:rPr>
          <w:rFonts w:ascii="Arial" w:eastAsia="Arial" w:hAnsi="Arial" w:cs="Arial"/>
        </w:rPr>
        <w:instrText xml:space="preserve"> ADDIN EN.CITE &lt;EndNote&gt;&lt;Cite&gt;&lt;Author&gt;Silverman&lt;/Author&gt;&lt;Year&gt;2010&lt;/Year&gt;&lt;RecNum&gt;53&lt;/RecNum&gt;&lt;DisplayText&gt;&lt;style face="superscript"&gt;97&lt;/style&gt;&lt;/DisplayText&gt;&lt;record&gt;&lt;rec-number&gt;64&lt;/rec-number&gt;&lt;foreign-keys&gt;&lt;key app="EN" db-id="a29vewawzeawp1e5pzgvsavmrvea02s92rep" timestamp="1616614718"&gt;64&lt;/key&gt;&lt;/foreign-keys&gt;&lt;ref-type name="Journal Article"&gt;17&lt;/ref-type&gt;&lt;contributors&gt;&lt;authors&gt;&lt;author&gt;Silverman, J. L.&lt;/author&gt;&lt;author&gt;Yang, M.&lt;/author&gt;&lt;author&gt;Lord, C.&lt;/author&gt;&lt;author&gt;Crawley, J. N.&lt;/author&gt;&lt;/authors&gt;&lt;/contributors&gt;&lt;auth-address&gt;National Institute of Mental Health, Porter Neuroscience Research Center, Bethesda, MD 20892-3730, USA.&lt;/auth-address&gt;&lt;titles&gt;&lt;title&gt;Behavioural phenotyping assays for mouse models of autism&lt;/title&gt;&lt;secondary-title&gt;Nat Rev Neurosci&lt;/secondary-title&gt;&lt;/titles&gt;&lt;periodical&gt;&lt;full-title&gt;Nat Rev Neurosci&lt;/full-title&gt;&lt;/periodical&gt;&lt;pages&gt;490-502&lt;/pages&gt;&lt;volume&gt;11&lt;/volume&gt;&lt;number&gt;7&lt;/number&gt;&lt;keywords&gt;&lt;keyword&gt;Animals&lt;/keyword&gt;&lt;keyword&gt;Autistic Disorder/*genetics/*psychology/therapy&lt;/keyword&gt;&lt;keyword&gt;*Disease Models, Animal&lt;/keyword&gt;&lt;keyword&gt;Diseases in Twins/genetics/psychology&lt;/keyword&gt;&lt;keyword&gt;Humans&lt;/keyword&gt;&lt;keyword&gt;*Interpersonal Relations&lt;/keyword&gt;&lt;keyword&gt;Mice&lt;/keyword&gt;&lt;keyword&gt;Mutation/genetics&lt;/keyword&gt;&lt;keyword&gt;*Phenotype&lt;/keyword&gt;&lt;keyword&gt;Social Behavior Disorders/genetics/psychology/therapy&lt;/keyword&gt;&lt;/keywords&gt;&lt;dates&gt;&lt;year&gt;2010&lt;/year&gt;&lt;pub-dates&gt;&lt;date&gt;Jul&lt;/date&gt;&lt;/pub-dates&gt;&lt;/dates&gt;&lt;isbn&gt;1471-0048 (Electronic)&amp;#xD;1471-003X (Linking)&lt;/isbn&gt;&lt;accession-num&gt;20559336&lt;/accession-num&gt;&lt;urls&gt;&lt;related-urls&gt;&lt;url&gt;https://www.ncbi.nlm.nih.gov/pubmed/20559336&lt;/url&gt;&lt;/related-urls&gt;&lt;/urls&gt;&lt;custom2&gt;PMC3087436&lt;/custom2&gt;&lt;electronic-resource-num&gt;10.1038/nrn2851&lt;/electronic-resource-num&gt;&lt;/record&gt;&lt;/Cite&gt;&lt;/EndNote&gt;</w:instrText>
      </w:r>
      <w:r w:rsidRPr="005D376C">
        <w:rPr>
          <w:rFonts w:ascii="Arial" w:eastAsia="Arial" w:hAnsi="Arial" w:cs="Arial"/>
        </w:rPr>
        <w:fldChar w:fldCharType="separate"/>
      </w:r>
      <w:r w:rsidRPr="005D376C">
        <w:rPr>
          <w:rFonts w:ascii="Arial" w:eastAsia="Arial" w:hAnsi="Arial" w:cs="Arial"/>
          <w:noProof/>
          <w:vertAlign w:val="superscript"/>
        </w:rPr>
        <w:t>97</w:t>
      </w:r>
      <w:r w:rsidRPr="005D376C">
        <w:rPr>
          <w:rFonts w:ascii="Arial" w:eastAsia="Arial" w:hAnsi="Arial" w:cs="Arial"/>
        </w:rPr>
        <w:fldChar w:fldCharType="end"/>
      </w:r>
      <w:r w:rsidRPr="005D376C">
        <w:rPr>
          <w:rFonts w:ascii="Arial" w:eastAsia="Arial" w:hAnsi="Arial" w:cs="Arial"/>
        </w:rPr>
        <w:t>.</w:t>
      </w:r>
      <w:r w:rsidRPr="005D376C">
        <w:rPr>
          <w:rFonts w:ascii="Arial" w:hAnsi="Arial" w:cs="Arial"/>
        </w:rPr>
        <w:t xml:space="preserve"> </w:t>
      </w:r>
      <w:r w:rsidRPr="005D376C">
        <w:rPr>
          <w:rFonts w:ascii="Arial" w:eastAsia="Arial" w:hAnsi="Arial" w:cs="Arial"/>
        </w:rPr>
        <w:t>Prior to the test, mice were handled for eight minutes daily for 6 consecutive days. Then, in the next two days, they were habituated in an open field (63.6 x 43 x 24.5 cm Plexiglas) divided into three equally sized interconnected chambers (Left, Center, Right) for 12 minutes. On test day, an ovariectomized female (JAX,</w:t>
      </w:r>
      <w:r w:rsidRPr="005D376C">
        <w:rPr>
          <w:rFonts w:ascii="Arial" w:hAnsi="Arial" w:cs="Arial"/>
        </w:rPr>
        <w:t xml:space="preserve"> </w:t>
      </w:r>
      <w:r w:rsidRPr="005D376C">
        <w:rPr>
          <w:rFonts w:ascii="Arial" w:eastAsia="Arial" w:hAnsi="Arial" w:cs="Arial"/>
        </w:rPr>
        <w:t>Cat.</w:t>
      </w:r>
      <w:r w:rsidR="00493AF3">
        <w:rPr>
          <w:rFonts w:ascii="Arial" w:eastAsia="Arial" w:hAnsi="Arial" w:cs="Arial"/>
        </w:rPr>
        <w:t xml:space="preserve"> N0.</w:t>
      </w:r>
      <w:r w:rsidRPr="005D376C">
        <w:rPr>
          <w:rFonts w:ascii="Arial" w:eastAsia="Arial" w:hAnsi="Arial" w:cs="Arial"/>
        </w:rPr>
        <w:t>: 000691) was placed in the Right or Left compartment in a wire cup (“social cup”), while the other side contained an empty wire cup (“empty cup”). The test subject was released into the center compartment and allowed to explore the three compartments of the open field freely for 10 min</w:t>
      </w:r>
      <w:r w:rsidR="00493AF3">
        <w:rPr>
          <w:rFonts w:ascii="Arial" w:eastAsia="Arial" w:hAnsi="Arial" w:cs="Arial"/>
        </w:rPr>
        <w:t>utes</w:t>
      </w:r>
      <w:r w:rsidRPr="005D376C">
        <w:rPr>
          <w:rFonts w:ascii="Arial" w:eastAsia="Arial" w:hAnsi="Arial" w:cs="Arial"/>
        </w:rPr>
        <w:t>. The exploration time was recorded during test</w:t>
      </w:r>
      <w:r w:rsidR="00493AF3">
        <w:rPr>
          <w:rFonts w:ascii="Arial" w:eastAsia="Arial" w:hAnsi="Arial" w:cs="Arial"/>
        </w:rPr>
        <w:t>ing</w:t>
      </w:r>
      <w:r w:rsidRPr="005D376C">
        <w:rPr>
          <w:rFonts w:ascii="Arial" w:eastAsia="Arial" w:hAnsi="Arial" w:cs="Arial"/>
        </w:rPr>
        <w:t>. Location of the social cup in the Left or Right chamber during the test was counterbalanced between trials. The three-chamber apparatus was cleaned after each session. Sessions were video recorded and social exploration time were scored offline by 1-2 blinded and experienced observers using stopwatches. Usually, the variation between observers was minor (0-3 seconds in the 10</w:t>
      </w:r>
      <w:r w:rsidR="00493AF3">
        <w:rPr>
          <w:rFonts w:ascii="Arial" w:eastAsia="Arial" w:hAnsi="Arial" w:cs="Arial"/>
        </w:rPr>
        <w:t>-</w:t>
      </w:r>
      <w:r w:rsidRPr="005D376C">
        <w:rPr>
          <w:rFonts w:ascii="Arial" w:eastAsia="Arial" w:hAnsi="Arial" w:cs="Arial"/>
        </w:rPr>
        <w:t>min</w:t>
      </w:r>
      <w:r w:rsidR="00493AF3">
        <w:rPr>
          <w:rFonts w:ascii="Arial" w:eastAsia="Arial" w:hAnsi="Arial" w:cs="Arial"/>
        </w:rPr>
        <w:t>ute</w:t>
      </w:r>
      <w:r w:rsidRPr="005D376C">
        <w:rPr>
          <w:rFonts w:ascii="Arial" w:eastAsia="Arial" w:hAnsi="Arial" w:cs="Arial"/>
        </w:rPr>
        <w:t xml:space="preserve"> exploration sessions). Exploration was counted only when the test mouse touched with its nose either the empty cup, the social cup</w:t>
      </w:r>
      <w:r w:rsidR="00493AF3">
        <w:rPr>
          <w:rFonts w:ascii="Arial" w:eastAsia="Arial" w:hAnsi="Arial" w:cs="Arial"/>
        </w:rPr>
        <w:t>,</w:t>
      </w:r>
      <w:r w:rsidRPr="005D376C">
        <w:rPr>
          <w:rFonts w:ascii="Arial" w:eastAsia="Arial" w:hAnsi="Arial" w:cs="Arial"/>
        </w:rPr>
        <w:t xml:space="preserve"> or the ovariectomized female. All experiments and scoring were carried out blind to genotype and treatment condition.</w:t>
      </w:r>
    </w:p>
    <w:p w14:paraId="2503DD60" w14:textId="77777777" w:rsidR="00E06C65" w:rsidRPr="005D376C" w:rsidRDefault="00E06C65" w:rsidP="00E06C65">
      <w:pPr>
        <w:spacing w:after="0" w:line="240" w:lineRule="auto"/>
        <w:jc w:val="both"/>
        <w:rPr>
          <w:rFonts w:ascii="Arial" w:eastAsia="Arial" w:hAnsi="Arial" w:cs="Arial"/>
        </w:rPr>
      </w:pPr>
    </w:p>
    <w:p w14:paraId="20506B31" w14:textId="7022D0E0" w:rsidR="00E06C65" w:rsidRPr="005D376C" w:rsidRDefault="00E06C65" w:rsidP="00E06C65">
      <w:pPr>
        <w:spacing w:after="0" w:line="240" w:lineRule="auto"/>
        <w:jc w:val="both"/>
        <w:rPr>
          <w:rFonts w:ascii="Arial" w:eastAsia="Arial" w:hAnsi="Arial" w:cs="Arial"/>
          <w:b/>
        </w:rPr>
      </w:pPr>
      <w:r w:rsidRPr="005D376C">
        <w:rPr>
          <w:rFonts w:ascii="Arial" w:eastAsia="Arial" w:hAnsi="Arial" w:cs="Arial"/>
          <w:b/>
        </w:rPr>
        <w:t xml:space="preserve">2) Social </w:t>
      </w:r>
      <w:r w:rsidR="00493AF3">
        <w:rPr>
          <w:rFonts w:ascii="Arial" w:eastAsia="Arial" w:hAnsi="Arial" w:cs="Arial"/>
          <w:b/>
        </w:rPr>
        <w:t xml:space="preserve">Recognition </w:t>
      </w:r>
      <w:r w:rsidRPr="005D376C">
        <w:rPr>
          <w:rFonts w:ascii="Arial" w:eastAsia="Arial" w:hAnsi="Arial" w:cs="Arial"/>
          <w:b/>
        </w:rPr>
        <w:t>Memory Test (SMT)</w:t>
      </w:r>
    </w:p>
    <w:p w14:paraId="482CFCEF" w14:textId="6FE1BDE1" w:rsidR="00E06C65" w:rsidRPr="005D376C" w:rsidRDefault="00E06C65" w:rsidP="00E06C65">
      <w:pPr>
        <w:spacing w:after="0" w:line="240" w:lineRule="auto"/>
        <w:jc w:val="both"/>
        <w:rPr>
          <w:rFonts w:ascii="Arial" w:eastAsia="Arial" w:hAnsi="Arial" w:cs="Arial"/>
        </w:rPr>
      </w:pPr>
      <w:r w:rsidRPr="005D376C">
        <w:rPr>
          <w:rFonts w:ascii="Arial" w:eastAsia="Arial" w:hAnsi="Arial" w:cs="Arial"/>
        </w:rPr>
        <w:t xml:space="preserve">Twenty-four hours after the Social Interaction Test (SIT), mice were tested for social </w:t>
      </w:r>
      <w:r w:rsidR="00493AF3">
        <w:rPr>
          <w:rFonts w:ascii="Arial" w:eastAsia="Arial" w:hAnsi="Arial" w:cs="Arial"/>
        </w:rPr>
        <w:t xml:space="preserve">recognition </w:t>
      </w:r>
      <w:r w:rsidRPr="005D376C">
        <w:rPr>
          <w:rFonts w:ascii="Arial" w:eastAsia="Arial" w:hAnsi="Arial" w:cs="Arial"/>
        </w:rPr>
        <w:t>memory.  This test involved the previously presented ovariectomized female (familiar mouse) located in the same chamber (Left or Right) as during training (SIT) and a new ovariectomized female (novel mouse) located in the cup that was empty during training. The test subject was released into the center compartment and allowed to explore the three-compartment-open-field freely for 10 min</w:t>
      </w:r>
      <w:r w:rsidR="00475006">
        <w:rPr>
          <w:rFonts w:ascii="Arial" w:eastAsia="Arial" w:hAnsi="Arial" w:cs="Arial"/>
        </w:rPr>
        <w:t>utes</w:t>
      </w:r>
      <w:r w:rsidRPr="005D376C">
        <w:rPr>
          <w:rFonts w:ascii="Arial" w:eastAsia="Arial" w:hAnsi="Arial" w:cs="Arial"/>
        </w:rPr>
        <w:t>. The exploration time was recorded during this test as described above. Location of the new mouse in the Left or Right chamber during the test was counterbalanced between trials attending to the location of the familiar ovariectomized female during training, such that the location of the familiar ovariectomized female was always the same between training and test. The three-chamber apparatus was cleaned after each session. Sessions were video recorded and scored offline as described above. As described above, experiments and scoring were carried out blind to genotype and treatment condition.</w:t>
      </w:r>
    </w:p>
    <w:p w14:paraId="00F03744" w14:textId="77777777" w:rsidR="00E06C65" w:rsidRPr="005D376C" w:rsidRDefault="00E06C65" w:rsidP="00E06C65">
      <w:pPr>
        <w:autoSpaceDE w:val="0"/>
        <w:autoSpaceDN w:val="0"/>
        <w:adjustRightInd w:val="0"/>
        <w:spacing w:after="0" w:line="240" w:lineRule="auto"/>
        <w:jc w:val="both"/>
        <w:rPr>
          <w:rFonts w:ascii="Arial" w:hAnsi="Arial" w:cs="Arial"/>
        </w:rPr>
      </w:pPr>
    </w:p>
    <w:p w14:paraId="1A84E866" w14:textId="5C027AAC" w:rsidR="00E06C65" w:rsidRPr="005D376C" w:rsidRDefault="00E06C65" w:rsidP="00E06C65">
      <w:pPr>
        <w:spacing w:after="0" w:line="240" w:lineRule="auto"/>
        <w:jc w:val="both"/>
        <w:rPr>
          <w:rFonts w:ascii="Arial" w:eastAsia="Arial" w:hAnsi="Arial" w:cs="Arial"/>
          <w:b/>
        </w:rPr>
      </w:pPr>
      <w:r w:rsidRPr="005D376C">
        <w:rPr>
          <w:rFonts w:ascii="Arial" w:eastAsia="Arial" w:hAnsi="Arial" w:cs="Arial"/>
          <w:b/>
        </w:rPr>
        <w:t>3) Novel Object Recognition (NOR)</w:t>
      </w:r>
      <w:r w:rsidR="00493AF3">
        <w:rPr>
          <w:rFonts w:ascii="Arial" w:eastAsia="Arial" w:hAnsi="Arial" w:cs="Arial"/>
          <w:b/>
        </w:rPr>
        <w:t xml:space="preserve"> Test</w:t>
      </w:r>
    </w:p>
    <w:p w14:paraId="77D44979" w14:textId="4E3A9C38" w:rsidR="00E06C65" w:rsidRPr="005D376C" w:rsidRDefault="00E06C65" w:rsidP="00E06C65">
      <w:pPr>
        <w:spacing w:after="0" w:line="240" w:lineRule="auto"/>
        <w:jc w:val="both"/>
        <w:rPr>
          <w:rFonts w:ascii="Arial" w:eastAsia="Arial" w:hAnsi="Arial" w:cs="Arial"/>
        </w:rPr>
      </w:pPr>
      <w:r w:rsidRPr="005D376C">
        <w:rPr>
          <w:rFonts w:ascii="Arial" w:eastAsia="Arial" w:hAnsi="Arial" w:cs="Arial"/>
        </w:rPr>
        <w:t xml:space="preserve">The Novel Object Recognition </w:t>
      </w:r>
      <w:r w:rsidRPr="005D376C">
        <w:rPr>
          <w:rFonts w:ascii="Arial" w:eastAsia="Arial" w:hAnsi="Arial" w:cs="Arial"/>
          <w:b/>
        </w:rPr>
        <w:t>(</w:t>
      </w:r>
      <w:r w:rsidRPr="005D376C">
        <w:rPr>
          <w:rFonts w:ascii="Arial" w:eastAsia="Arial" w:hAnsi="Arial" w:cs="Arial"/>
        </w:rPr>
        <w:t xml:space="preserve">NOR) </w:t>
      </w:r>
      <w:r w:rsidR="00475006" w:rsidRPr="005D376C">
        <w:rPr>
          <w:rFonts w:ascii="Arial" w:eastAsia="Arial" w:hAnsi="Arial" w:cs="Arial"/>
        </w:rPr>
        <w:t>test</w:t>
      </w:r>
      <w:r w:rsidR="00475006" w:rsidRPr="005D376C">
        <w:rPr>
          <w:rFonts w:ascii="Arial" w:eastAsia="Arial" w:hAnsi="Arial" w:cs="Arial"/>
          <w:b/>
        </w:rPr>
        <w:t xml:space="preserve"> </w:t>
      </w:r>
      <w:r w:rsidRPr="005D376C">
        <w:rPr>
          <w:rFonts w:ascii="Arial" w:eastAsia="Arial" w:hAnsi="Arial" w:cs="Arial"/>
        </w:rPr>
        <w:t>was carried out as described previously</w:t>
      </w:r>
      <w:r w:rsidR="00BF5F1D">
        <w:rPr>
          <w:rFonts w:ascii="Arial" w:eastAsia="Arial" w:hAnsi="Arial" w:cs="Arial"/>
        </w:rPr>
        <w:t xml:space="preserve"> </w:t>
      </w:r>
      <w:r w:rsidRPr="005D376C">
        <w:rPr>
          <w:rFonts w:ascii="Arial" w:eastAsia="Arial" w:hAnsi="Arial" w:cs="Arial"/>
        </w:rPr>
        <w:fldChar w:fldCharType="begin"/>
      </w:r>
      <w:r w:rsidRPr="005D376C">
        <w:rPr>
          <w:rFonts w:ascii="Arial" w:eastAsia="Arial" w:hAnsi="Arial" w:cs="Arial"/>
        </w:rPr>
        <w:instrText xml:space="preserve"> ADDIN EN.CITE &lt;EndNote&gt;&lt;Cite&gt;&lt;Author&gt;Ennaceur&lt;/Author&gt;&lt;Year&gt;1988&lt;/Year&gt;&lt;RecNum&gt;23&lt;/RecNum&gt;&lt;DisplayText&gt;&lt;style face="superscript"&gt;98&lt;/style&gt;&lt;/DisplayText&gt;&lt;record&gt;&lt;rec-number&gt;23&lt;/rec-number&gt;&lt;foreign-keys&gt;&lt;key app="EN" db-id="a29vewawzeawp1e5pzgvsavmrvea02s92rep" timestamp="1616614697"&gt;23&lt;/key&gt;&lt;/foreign-keys&gt;&lt;ref-type name="Journal Article"&gt;17&lt;/ref-type&gt;&lt;contributors&gt;&lt;authors&gt;&lt;author&gt;Ennaceur, A.&lt;/author&gt;&lt;author&gt;Delacour, J.&lt;/author&gt;&lt;/authors&gt;&lt;/contributors&gt;&lt;auth-address&gt;Laboratoire de Psychophysiologie, Universite Paris VII, France.&lt;/auth-address&gt;&lt;titles&gt;&lt;title&gt;A new one-trial test for neurobiological studies of memory in rats. 1: Behavioral data&lt;/title&gt;&lt;secondary-title&gt;Behav Brain Res&lt;/secondary-title&gt;&lt;/titles&gt;&lt;periodical&gt;&lt;full-title&gt;Behav Brain Res&lt;/full-title&gt;&lt;/periodical&gt;&lt;pages&gt;47-59&lt;/pages&gt;&lt;volume&gt;31&lt;/volume&gt;&lt;number&gt;1&lt;/number&gt;&lt;keywords&gt;&lt;keyword&gt;Animals&lt;/keyword&gt;&lt;keyword&gt;Attention/physiology&lt;/keyword&gt;&lt;keyword&gt;Brain/*physiology&lt;/keyword&gt;&lt;keyword&gt;Exploratory Behavior/*physiology&lt;/keyword&gt;&lt;keyword&gt;Habituation, Psychophysiologic/physiology&lt;/keyword&gt;&lt;keyword&gt;Male&lt;/keyword&gt;&lt;keyword&gt;Memory/*physiology&lt;/keyword&gt;&lt;keyword&gt;Mental Recall/*physiology&lt;/keyword&gt;&lt;keyword&gt;Orientation/physiology&lt;/keyword&gt;&lt;keyword&gt;Rats&lt;/keyword&gt;&lt;keyword&gt;Rats, Inbred Strains&lt;/keyword&gt;&lt;keyword&gt;Retention (Psychology)/*physiology&lt;/keyword&gt;&lt;/keywords&gt;&lt;dates&gt;&lt;year&gt;1988&lt;/year&gt;&lt;pub-dates&gt;&lt;date&gt;Nov 1&lt;/date&gt;&lt;/pub-dates&gt;&lt;/dates&gt;&lt;isbn&gt;0166-4328 (Print)&amp;#xD;0166-4328 (Linking)&lt;/isbn&gt;&lt;accession-num&gt;3228475&lt;/accession-num&gt;&lt;urls&gt;&lt;related-urls&gt;&lt;url&gt;https://www.ncbi.nlm.nih.gov/pubmed/3228475&lt;/url&gt;&lt;/related-urls&gt;&lt;/urls&gt;&lt;/record&gt;&lt;/Cite&gt;&lt;/EndNote&gt;</w:instrText>
      </w:r>
      <w:r w:rsidRPr="005D376C">
        <w:rPr>
          <w:rFonts w:ascii="Arial" w:eastAsia="Arial" w:hAnsi="Arial" w:cs="Arial"/>
        </w:rPr>
        <w:fldChar w:fldCharType="separate"/>
      </w:r>
      <w:r w:rsidRPr="005D376C">
        <w:rPr>
          <w:rFonts w:ascii="Arial" w:eastAsia="Arial" w:hAnsi="Arial" w:cs="Arial"/>
          <w:noProof/>
          <w:vertAlign w:val="superscript"/>
        </w:rPr>
        <w:t>98</w:t>
      </w:r>
      <w:r w:rsidRPr="005D376C">
        <w:rPr>
          <w:rFonts w:ascii="Arial" w:eastAsia="Arial" w:hAnsi="Arial" w:cs="Arial"/>
        </w:rPr>
        <w:fldChar w:fldCharType="end"/>
      </w:r>
      <w:r w:rsidRPr="005D376C">
        <w:rPr>
          <w:rFonts w:ascii="Arial" w:hAnsi="Arial" w:cs="Arial"/>
        </w:rPr>
        <w:t xml:space="preserve">. </w:t>
      </w:r>
      <w:r w:rsidRPr="005D376C">
        <w:rPr>
          <w:rFonts w:ascii="Arial" w:eastAsia="Arial" w:hAnsi="Arial" w:cs="Arial"/>
        </w:rPr>
        <w:t>Twenty-four hours after the SMT, mice were habituated in an open-field (41.5 x 41.5 x 40.5 cm) 2 days for 12 minutes. During the training session, mice were placed back in the open-field, this time with 2 identical objects, and they were allowed to explore freely for 7 minutes. After a 24</w:t>
      </w:r>
      <w:r w:rsidR="00475006">
        <w:rPr>
          <w:rFonts w:ascii="Arial" w:eastAsia="Arial" w:hAnsi="Arial" w:cs="Arial"/>
        </w:rPr>
        <w:t>-</w:t>
      </w:r>
      <w:r w:rsidRPr="005D376C">
        <w:rPr>
          <w:rFonts w:ascii="Arial" w:eastAsia="Arial" w:hAnsi="Arial" w:cs="Arial"/>
        </w:rPr>
        <w:t>h</w:t>
      </w:r>
      <w:r w:rsidR="00475006">
        <w:rPr>
          <w:rFonts w:ascii="Arial" w:eastAsia="Arial" w:hAnsi="Arial" w:cs="Arial"/>
        </w:rPr>
        <w:t>our</w:t>
      </w:r>
      <w:r w:rsidRPr="005D376C">
        <w:rPr>
          <w:rFonts w:ascii="Arial" w:eastAsia="Arial" w:hAnsi="Arial" w:cs="Arial"/>
        </w:rPr>
        <w:t xml:space="preserve"> interval, mice were tested for object memory with the previously presented object and a new object. Location of the new object during the test was counterbalanced between trials. Mice were trained or tested in any test only once per day. The open-field was cleaned after each session. Sessions were video recorded and scored offline as described above. The variation between observers was normally less than 2 seconds in the 7</w:t>
      </w:r>
      <w:r w:rsidR="00475006">
        <w:rPr>
          <w:rFonts w:ascii="Arial" w:eastAsia="Arial" w:hAnsi="Arial" w:cs="Arial"/>
        </w:rPr>
        <w:t>-</w:t>
      </w:r>
      <w:r w:rsidRPr="005D376C">
        <w:rPr>
          <w:rFonts w:ascii="Arial" w:eastAsia="Arial" w:hAnsi="Arial" w:cs="Arial"/>
        </w:rPr>
        <w:t>minute exploration sessions. Exploration was counted only when the test mouse touched with its nose the objects. All experiments and scoring were carried out blind to genotype and treatment condition. The objects included in this study were small bottles or containers of different shapes.</w:t>
      </w:r>
    </w:p>
    <w:p w14:paraId="2613AA0C" w14:textId="77777777" w:rsidR="00E06C65" w:rsidRPr="005D376C" w:rsidRDefault="00E06C65" w:rsidP="00E06C65">
      <w:pPr>
        <w:spacing w:after="0" w:line="240" w:lineRule="auto"/>
        <w:jc w:val="both"/>
        <w:rPr>
          <w:rFonts w:ascii="Arial" w:eastAsia="Arial" w:hAnsi="Arial" w:cs="Arial"/>
        </w:rPr>
      </w:pPr>
    </w:p>
    <w:p w14:paraId="5B6F4CA0" w14:textId="3B06BCE1" w:rsidR="00E06C65" w:rsidRPr="005D376C" w:rsidRDefault="00E06C65" w:rsidP="00E06C65">
      <w:pPr>
        <w:spacing w:after="0" w:line="240" w:lineRule="auto"/>
        <w:jc w:val="both"/>
        <w:rPr>
          <w:rFonts w:ascii="Arial" w:eastAsia="Arial" w:hAnsi="Arial" w:cs="Arial"/>
          <w:b/>
          <w:bCs/>
        </w:rPr>
      </w:pPr>
      <w:r w:rsidRPr="005D376C">
        <w:rPr>
          <w:rFonts w:ascii="Arial" w:eastAsia="Arial" w:hAnsi="Arial" w:cs="Arial"/>
          <w:b/>
          <w:bCs/>
        </w:rPr>
        <w:t>4) Object Place Recognition (OPR)</w:t>
      </w:r>
      <w:r w:rsidR="00493AF3">
        <w:rPr>
          <w:rFonts w:ascii="Arial" w:eastAsia="Arial" w:hAnsi="Arial" w:cs="Arial"/>
          <w:b/>
          <w:bCs/>
        </w:rPr>
        <w:t xml:space="preserve"> Test</w:t>
      </w:r>
    </w:p>
    <w:p w14:paraId="57DB6DCA" w14:textId="05BB0C62" w:rsidR="00EE198B" w:rsidRPr="005D376C" w:rsidRDefault="00E06C65" w:rsidP="00E06C65">
      <w:pPr>
        <w:rPr>
          <w:rFonts w:ascii="Arial" w:eastAsia="Arial" w:hAnsi="Arial" w:cs="Arial"/>
        </w:rPr>
      </w:pPr>
      <w:r w:rsidRPr="005D376C">
        <w:rPr>
          <w:rFonts w:ascii="Arial" w:eastAsia="Arial" w:hAnsi="Arial" w:cs="Arial"/>
        </w:rPr>
        <w:t xml:space="preserve">Twenty-four hours after the SMT, during the training session, mice were placed back in the OPR open-field, with 2 identical objects, and they were allowed to explore freely for 7 minutes. After </w:t>
      </w:r>
      <w:r w:rsidRPr="005D376C">
        <w:rPr>
          <w:rFonts w:ascii="Arial" w:eastAsia="Arial" w:hAnsi="Arial" w:cs="Arial"/>
        </w:rPr>
        <w:lastRenderedPageBreak/>
        <w:t>either a 1</w:t>
      </w:r>
      <w:r w:rsidR="00475006">
        <w:rPr>
          <w:rFonts w:ascii="Arial" w:eastAsia="Arial" w:hAnsi="Arial" w:cs="Arial"/>
        </w:rPr>
        <w:t>-</w:t>
      </w:r>
      <w:r w:rsidRPr="005D376C">
        <w:rPr>
          <w:rFonts w:ascii="Arial" w:eastAsia="Arial" w:hAnsi="Arial" w:cs="Arial"/>
        </w:rPr>
        <w:t>hour or a 24</w:t>
      </w:r>
      <w:r w:rsidR="00475006">
        <w:rPr>
          <w:rFonts w:ascii="Arial" w:eastAsia="Arial" w:hAnsi="Arial" w:cs="Arial"/>
        </w:rPr>
        <w:t>-</w:t>
      </w:r>
      <w:r w:rsidRPr="005D376C">
        <w:rPr>
          <w:rFonts w:ascii="Arial" w:eastAsia="Arial" w:hAnsi="Arial" w:cs="Arial"/>
        </w:rPr>
        <w:t>h</w:t>
      </w:r>
      <w:r w:rsidR="00475006">
        <w:rPr>
          <w:rFonts w:ascii="Arial" w:eastAsia="Arial" w:hAnsi="Arial" w:cs="Arial"/>
        </w:rPr>
        <w:t>our</w:t>
      </w:r>
      <w:r w:rsidRPr="005D376C">
        <w:rPr>
          <w:rFonts w:ascii="Arial" w:eastAsia="Arial" w:hAnsi="Arial" w:cs="Arial"/>
        </w:rPr>
        <w:t xml:space="preserve"> inte</w:t>
      </w:r>
      <w:bookmarkEnd w:id="0"/>
      <w:r w:rsidRPr="005D376C">
        <w:rPr>
          <w:rFonts w:ascii="Arial" w:eastAsia="Arial" w:hAnsi="Arial" w:cs="Arial"/>
        </w:rPr>
        <w:t>rval, mice were tested for OPR with the previously presented objects, one of them in a new location. The object on the new location during test was counterbalanced between trials. The open-field was cleaned after each session using 70% ethanol. Mice were trained or tested once per day. Sessions were video recorded and scored offline by either one or two observers, as described above. The variation between observers was normally less than 2 seconds in the 7</w:t>
      </w:r>
      <w:r w:rsidR="00475006">
        <w:rPr>
          <w:rFonts w:ascii="Arial" w:eastAsia="Arial" w:hAnsi="Arial" w:cs="Arial"/>
        </w:rPr>
        <w:t>-</w:t>
      </w:r>
      <w:r w:rsidRPr="005D376C">
        <w:rPr>
          <w:rFonts w:ascii="Arial" w:eastAsia="Arial" w:hAnsi="Arial" w:cs="Arial"/>
        </w:rPr>
        <w:t>minute exploration sessions. Exploration was counted only when the test mouse touched with its nose one of the objects. All experiments and scoring were carried out blind to genotype and treatment condition. The objects included in this study were small bottles or containers of different shapes.</w:t>
      </w:r>
    </w:p>
    <w:p w14:paraId="180FCC28" w14:textId="77777777" w:rsidR="005D376C" w:rsidRPr="005D376C" w:rsidRDefault="005D376C" w:rsidP="00E06C65"/>
    <w:p w14:paraId="3117D1FB" w14:textId="77777777" w:rsidR="005D376C" w:rsidRPr="005D376C" w:rsidRDefault="005D376C" w:rsidP="00E06C65"/>
    <w:p w14:paraId="79DF4D8A" w14:textId="77777777" w:rsidR="005D376C" w:rsidRPr="005D376C" w:rsidRDefault="005D376C" w:rsidP="005D376C">
      <w:pPr>
        <w:jc w:val="both"/>
        <w:rPr>
          <w:rFonts w:ascii="Arial" w:hAnsi="Arial" w:cs="Arial"/>
        </w:rPr>
      </w:pPr>
    </w:p>
    <w:p w14:paraId="06AEB2A7" w14:textId="40D5027E" w:rsidR="005D376C" w:rsidRPr="005D376C" w:rsidRDefault="00493AF3" w:rsidP="005D376C">
      <w:pPr>
        <w:pStyle w:val="MDPI41tablecaption"/>
        <w:ind w:left="0"/>
        <w:rPr>
          <w:rFonts w:ascii="Arial" w:hAnsi="Arial"/>
          <w:sz w:val="24"/>
          <w:szCs w:val="20"/>
        </w:rPr>
      </w:pPr>
      <w:r>
        <w:rPr>
          <w:rFonts w:ascii="Arial" w:hAnsi="Arial"/>
          <w:sz w:val="24"/>
          <w:szCs w:val="20"/>
        </w:rPr>
        <w:t>Primary A</w:t>
      </w:r>
      <w:r w:rsidR="005D376C" w:rsidRPr="005D376C">
        <w:rPr>
          <w:rFonts w:ascii="Arial" w:hAnsi="Arial"/>
          <w:sz w:val="24"/>
          <w:szCs w:val="20"/>
        </w:rPr>
        <w:t xml:space="preserve">ntibodies </w:t>
      </w:r>
      <w:r>
        <w:rPr>
          <w:rFonts w:ascii="Arial" w:hAnsi="Arial"/>
          <w:sz w:val="24"/>
          <w:szCs w:val="20"/>
        </w:rPr>
        <w:t>U</w:t>
      </w:r>
      <w:r w:rsidR="005D376C" w:rsidRPr="005D376C">
        <w:rPr>
          <w:rFonts w:ascii="Arial" w:hAnsi="Arial"/>
          <w:sz w:val="24"/>
          <w:szCs w:val="20"/>
        </w:rPr>
        <w:t xml:space="preserve">sed in Western </w:t>
      </w:r>
      <w:r>
        <w:rPr>
          <w:rFonts w:ascii="Arial" w:hAnsi="Arial"/>
          <w:sz w:val="24"/>
          <w:szCs w:val="20"/>
        </w:rPr>
        <w:t>B</w:t>
      </w:r>
      <w:r w:rsidR="005D376C" w:rsidRPr="005D376C">
        <w:rPr>
          <w:rFonts w:ascii="Arial" w:hAnsi="Arial"/>
          <w:sz w:val="24"/>
          <w:szCs w:val="20"/>
        </w:rPr>
        <w:t>lot</w:t>
      </w:r>
      <w:r>
        <w:rPr>
          <w:rFonts w:ascii="Arial" w:hAnsi="Arial"/>
          <w:sz w:val="24"/>
          <w:szCs w:val="20"/>
        </w:rPr>
        <w:t>ting</w:t>
      </w:r>
    </w:p>
    <w:tbl>
      <w:tblPr>
        <w:tblW w:w="8845" w:type="dxa"/>
        <w:tblBorders>
          <w:top w:val="single" w:sz="8" w:space="0" w:color="auto"/>
          <w:bottom w:val="single" w:sz="8" w:space="0" w:color="auto"/>
          <w:insideH w:val="single" w:sz="4" w:space="0" w:color="auto"/>
        </w:tblBorders>
        <w:tblLayout w:type="fixed"/>
        <w:tblCellMar>
          <w:left w:w="0" w:type="dxa"/>
          <w:right w:w="0" w:type="dxa"/>
        </w:tblCellMar>
        <w:tblLook w:val="04A0" w:firstRow="1" w:lastRow="0" w:firstColumn="1" w:lastColumn="0" w:noHBand="0" w:noVBand="1"/>
      </w:tblPr>
      <w:tblGrid>
        <w:gridCol w:w="1530"/>
        <w:gridCol w:w="720"/>
        <w:gridCol w:w="1890"/>
        <w:gridCol w:w="1232"/>
        <w:gridCol w:w="928"/>
        <w:gridCol w:w="1170"/>
        <w:gridCol w:w="1375"/>
      </w:tblGrid>
      <w:tr w:rsidR="005D376C" w:rsidRPr="005D376C" w14:paraId="4421E293" w14:textId="77777777" w:rsidTr="00732D80">
        <w:trPr>
          <w:trHeight w:val="157"/>
        </w:trPr>
        <w:tc>
          <w:tcPr>
            <w:tcW w:w="1530" w:type="dxa"/>
            <w:shd w:val="clear" w:color="auto" w:fill="auto"/>
            <w:vAlign w:val="center"/>
          </w:tcPr>
          <w:p w14:paraId="77086C88" w14:textId="77777777"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Antibody</w:t>
            </w:r>
          </w:p>
          <w:p w14:paraId="1938A2A2" w14:textId="77777777" w:rsidR="005D376C" w:rsidRPr="005D376C" w:rsidRDefault="005D376C" w:rsidP="000262E9">
            <w:pPr>
              <w:pStyle w:val="MDPI42tablebody"/>
              <w:spacing w:line="240" w:lineRule="auto"/>
              <w:jc w:val="left"/>
              <w:rPr>
                <w:rFonts w:ascii="Arial" w:hAnsi="Arial"/>
                <w:b/>
                <w:snapToGrid/>
                <w:sz w:val="22"/>
              </w:rPr>
            </w:pPr>
          </w:p>
        </w:tc>
        <w:tc>
          <w:tcPr>
            <w:tcW w:w="720" w:type="dxa"/>
            <w:shd w:val="clear" w:color="auto" w:fill="auto"/>
            <w:vAlign w:val="center"/>
          </w:tcPr>
          <w:p w14:paraId="2CC3D2D5" w14:textId="77777777"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Host</w:t>
            </w:r>
          </w:p>
          <w:p w14:paraId="6F7BEEC5" w14:textId="77777777" w:rsidR="005D376C" w:rsidRPr="005D376C" w:rsidRDefault="005D376C" w:rsidP="000262E9">
            <w:pPr>
              <w:pStyle w:val="MDPI42tablebody"/>
              <w:spacing w:line="240" w:lineRule="auto"/>
              <w:jc w:val="left"/>
              <w:rPr>
                <w:rFonts w:ascii="Arial" w:hAnsi="Arial"/>
                <w:sz w:val="22"/>
              </w:rPr>
            </w:pPr>
          </w:p>
        </w:tc>
        <w:tc>
          <w:tcPr>
            <w:tcW w:w="1890" w:type="dxa"/>
            <w:shd w:val="clear" w:color="auto" w:fill="auto"/>
            <w:vAlign w:val="center"/>
          </w:tcPr>
          <w:p w14:paraId="00840105" w14:textId="77777777"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Isotype</w:t>
            </w:r>
          </w:p>
          <w:p w14:paraId="6327BD42" w14:textId="77777777" w:rsidR="005D376C" w:rsidRPr="005D376C" w:rsidRDefault="005D376C" w:rsidP="000262E9">
            <w:pPr>
              <w:pStyle w:val="MDPI42tablebody"/>
              <w:spacing w:line="240" w:lineRule="auto"/>
              <w:jc w:val="left"/>
              <w:rPr>
                <w:rFonts w:ascii="Arial" w:hAnsi="Arial"/>
                <w:sz w:val="22"/>
              </w:rPr>
            </w:pPr>
          </w:p>
        </w:tc>
        <w:tc>
          <w:tcPr>
            <w:tcW w:w="1232" w:type="dxa"/>
            <w:shd w:val="clear" w:color="auto" w:fill="auto"/>
            <w:vAlign w:val="center"/>
          </w:tcPr>
          <w:p w14:paraId="06947FC6" w14:textId="77777777"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Molecular Size</w:t>
            </w:r>
          </w:p>
        </w:tc>
        <w:tc>
          <w:tcPr>
            <w:tcW w:w="928" w:type="dxa"/>
            <w:shd w:val="clear" w:color="auto" w:fill="auto"/>
            <w:vAlign w:val="center"/>
          </w:tcPr>
          <w:p w14:paraId="09F67200" w14:textId="77777777"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Dilution</w:t>
            </w:r>
          </w:p>
          <w:p w14:paraId="4E801DC6" w14:textId="77777777" w:rsidR="005D376C" w:rsidRPr="005D376C" w:rsidRDefault="005D376C" w:rsidP="000262E9">
            <w:pPr>
              <w:pStyle w:val="MDPI42tablebody"/>
              <w:spacing w:line="240" w:lineRule="auto"/>
              <w:jc w:val="left"/>
              <w:rPr>
                <w:rFonts w:ascii="Arial" w:hAnsi="Arial"/>
                <w:sz w:val="22"/>
              </w:rPr>
            </w:pPr>
          </w:p>
        </w:tc>
        <w:tc>
          <w:tcPr>
            <w:tcW w:w="1170" w:type="dxa"/>
            <w:shd w:val="clear" w:color="auto" w:fill="auto"/>
            <w:vAlign w:val="center"/>
          </w:tcPr>
          <w:p w14:paraId="2403227A" w14:textId="031B64FA"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Cat. No</w:t>
            </w:r>
            <w:r w:rsidR="00493AF3">
              <w:rPr>
                <w:rFonts w:ascii="Arial" w:hAnsi="Arial"/>
                <w:b/>
                <w:snapToGrid/>
                <w:sz w:val="22"/>
              </w:rPr>
              <w:t>.</w:t>
            </w:r>
          </w:p>
          <w:p w14:paraId="274E6B3A" w14:textId="77777777" w:rsidR="005D376C" w:rsidRPr="005D376C" w:rsidRDefault="005D376C" w:rsidP="000262E9">
            <w:pPr>
              <w:pStyle w:val="MDPI42tablebody"/>
              <w:spacing w:line="240" w:lineRule="auto"/>
              <w:jc w:val="left"/>
              <w:rPr>
                <w:rFonts w:ascii="Arial" w:hAnsi="Arial"/>
                <w:sz w:val="22"/>
              </w:rPr>
            </w:pPr>
          </w:p>
        </w:tc>
        <w:tc>
          <w:tcPr>
            <w:tcW w:w="1375" w:type="dxa"/>
            <w:shd w:val="clear" w:color="auto" w:fill="auto"/>
            <w:vAlign w:val="center"/>
          </w:tcPr>
          <w:p w14:paraId="06745FCC" w14:textId="77777777" w:rsidR="005D376C" w:rsidRPr="005D376C" w:rsidRDefault="005D376C" w:rsidP="000262E9">
            <w:pPr>
              <w:pStyle w:val="MDPI42tablebody"/>
              <w:spacing w:line="240" w:lineRule="auto"/>
              <w:jc w:val="left"/>
              <w:rPr>
                <w:rFonts w:ascii="Arial" w:hAnsi="Arial"/>
                <w:b/>
                <w:snapToGrid/>
                <w:sz w:val="22"/>
              </w:rPr>
            </w:pPr>
            <w:r w:rsidRPr="005D376C">
              <w:rPr>
                <w:rFonts w:ascii="Arial" w:hAnsi="Arial"/>
                <w:b/>
                <w:snapToGrid/>
                <w:sz w:val="22"/>
              </w:rPr>
              <w:t>Company</w:t>
            </w:r>
          </w:p>
          <w:p w14:paraId="398BD2C7" w14:textId="77777777" w:rsidR="005D376C" w:rsidRPr="005D376C" w:rsidRDefault="005D376C" w:rsidP="000262E9">
            <w:pPr>
              <w:pStyle w:val="MDPI42tablebody"/>
              <w:jc w:val="left"/>
              <w:rPr>
                <w:rFonts w:ascii="Arial" w:hAnsi="Arial"/>
                <w:b/>
                <w:snapToGrid/>
                <w:sz w:val="22"/>
              </w:rPr>
            </w:pPr>
          </w:p>
        </w:tc>
      </w:tr>
      <w:tr w:rsidR="005D376C" w:rsidRPr="005D376C" w14:paraId="482EF693" w14:textId="77777777" w:rsidTr="00732D80">
        <w:trPr>
          <w:trHeight w:val="156"/>
        </w:trPr>
        <w:tc>
          <w:tcPr>
            <w:tcW w:w="1530" w:type="dxa"/>
            <w:shd w:val="clear" w:color="auto" w:fill="auto"/>
            <w:vAlign w:val="center"/>
          </w:tcPr>
          <w:p w14:paraId="62FE09C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Anti-HO-1</w:t>
            </w:r>
          </w:p>
        </w:tc>
        <w:tc>
          <w:tcPr>
            <w:tcW w:w="720" w:type="dxa"/>
            <w:shd w:val="clear" w:color="auto" w:fill="auto"/>
            <w:vAlign w:val="center"/>
          </w:tcPr>
          <w:p w14:paraId="46C9F21B"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Rabbit</w:t>
            </w:r>
          </w:p>
        </w:tc>
        <w:tc>
          <w:tcPr>
            <w:tcW w:w="1890" w:type="dxa"/>
            <w:shd w:val="clear" w:color="auto" w:fill="auto"/>
            <w:vAlign w:val="center"/>
          </w:tcPr>
          <w:p w14:paraId="4C59D55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Polyclonal</w:t>
            </w:r>
          </w:p>
        </w:tc>
        <w:tc>
          <w:tcPr>
            <w:tcW w:w="1232" w:type="dxa"/>
            <w:shd w:val="clear" w:color="auto" w:fill="auto"/>
            <w:vAlign w:val="center"/>
          </w:tcPr>
          <w:p w14:paraId="2D5A5B26"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31 </w:t>
            </w:r>
            <w:proofErr w:type="spellStart"/>
            <w:r w:rsidRPr="005D376C">
              <w:rPr>
                <w:rFonts w:ascii="Arial" w:hAnsi="Arial"/>
                <w:snapToGrid/>
                <w:sz w:val="22"/>
              </w:rPr>
              <w:t>kDa</w:t>
            </w:r>
            <w:proofErr w:type="spellEnd"/>
          </w:p>
        </w:tc>
        <w:tc>
          <w:tcPr>
            <w:tcW w:w="928" w:type="dxa"/>
            <w:shd w:val="clear" w:color="auto" w:fill="auto"/>
            <w:vAlign w:val="center"/>
          </w:tcPr>
          <w:p w14:paraId="7E6793E6"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1:500</w:t>
            </w:r>
          </w:p>
        </w:tc>
        <w:tc>
          <w:tcPr>
            <w:tcW w:w="1170" w:type="dxa"/>
            <w:shd w:val="clear" w:color="auto" w:fill="auto"/>
            <w:vAlign w:val="center"/>
          </w:tcPr>
          <w:p w14:paraId="66A1C940"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SPA-894</w:t>
            </w:r>
          </w:p>
        </w:tc>
        <w:tc>
          <w:tcPr>
            <w:tcW w:w="1375" w:type="dxa"/>
            <w:shd w:val="clear" w:color="auto" w:fill="auto"/>
            <w:vAlign w:val="center"/>
          </w:tcPr>
          <w:p w14:paraId="67B28F43"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z w:val="22"/>
              </w:rPr>
              <w:t>ENZO Life Sciences</w:t>
            </w:r>
          </w:p>
        </w:tc>
      </w:tr>
      <w:tr w:rsidR="005D376C" w:rsidRPr="005D376C" w14:paraId="1A1905A6" w14:textId="77777777" w:rsidTr="00732D80">
        <w:trPr>
          <w:trHeight w:val="156"/>
        </w:trPr>
        <w:tc>
          <w:tcPr>
            <w:tcW w:w="1530" w:type="dxa"/>
            <w:shd w:val="clear" w:color="auto" w:fill="auto"/>
            <w:vAlign w:val="center"/>
          </w:tcPr>
          <w:p w14:paraId="4CB63B32"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Anti-HO-2</w:t>
            </w:r>
          </w:p>
        </w:tc>
        <w:tc>
          <w:tcPr>
            <w:tcW w:w="720" w:type="dxa"/>
            <w:shd w:val="clear" w:color="auto" w:fill="auto"/>
            <w:vAlign w:val="center"/>
          </w:tcPr>
          <w:p w14:paraId="0609C62F"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Mouse</w:t>
            </w:r>
          </w:p>
        </w:tc>
        <w:tc>
          <w:tcPr>
            <w:tcW w:w="1890" w:type="dxa"/>
            <w:shd w:val="clear" w:color="auto" w:fill="auto"/>
            <w:vAlign w:val="center"/>
          </w:tcPr>
          <w:p w14:paraId="4004A47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Monoclonal IgG2a</w:t>
            </w:r>
          </w:p>
        </w:tc>
        <w:tc>
          <w:tcPr>
            <w:tcW w:w="1232" w:type="dxa"/>
            <w:shd w:val="clear" w:color="auto" w:fill="auto"/>
            <w:vAlign w:val="center"/>
          </w:tcPr>
          <w:p w14:paraId="0D25FCDD"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36 </w:t>
            </w:r>
            <w:proofErr w:type="spellStart"/>
            <w:r w:rsidRPr="005D376C">
              <w:rPr>
                <w:rFonts w:ascii="Arial" w:hAnsi="Arial"/>
                <w:snapToGrid/>
                <w:sz w:val="22"/>
              </w:rPr>
              <w:t>kDa</w:t>
            </w:r>
            <w:proofErr w:type="spellEnd"/>
          </w:p>
        </w:tc>
        <w:tc>
          <w:tcPr>
            <w:tcW w:w="928" w:type="dxa"/>
            <w:shd w:val="clear" w:color="auto" w:fill="auto"/>
            <w:vAlign w:val="center"/>
          </w:tcPr>
          <w:p w14:paraId="0562746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1:1000</w:t>
            </w:r>
          </w:p>
        </w:tc>
        <w:tc>
          <w:tcPr>
            <w:tcW w:w="1170" w:type="dxa"/>
            <w:shd w:val="clear" w:color="auto" w:fill="auto"/>
            <w:vAlign w:val="center"/>
          </w:tcPr>
          <w:p w14:paraId="2D17EC7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MA5-25749</w:t>
            </w:r>
          </w:p>
        </w:tc>
        <w:tc>
          <w:tcPr>
            <w:tcW w:w="1375" w:type="dxa"/>
            <w:shd w:val="clear" w:color="auto" w:fill="auto"/>
            <w:vAlign w:val="center"/>
          </w:tcPr>
          <w:p w14:paraId="09D70CF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Invitrogen</w:t>
            </w:r>
          </w:p>
        </w:tc>
      </w:tr>
      <w:tr w:rsidR="005D376C" w:rsidRPr="005D376C" w14:paraId="655BB7C1" w14:textId="77777777" w:rsidTr="00732D80">
        <w:trPr>
          <w:trHeight w:val="156"/>
        </w:trPr>
        <w:tc>
          <w:tcPr>
            <w:tcW w:w="1530" w:type="dxa"/>
            <w:shd w:val="clear" w:color="auto" w:fill="auto"/>
            <w:vAlign w:val="center"/>
          </w:tcPr>
          <w:p w14:paraId="4CFA615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Anti-PRDX1</w:t>
            </w:r>
          </w:p>
        </w:tc>
        <w:tc>
          <w:tcPr>
            <w:tcW w:w="720" w:type="dxa"/>
            <w:shd w:val="clear" w:color="auto" w:fill="auto"/>
            <w:vAlign w:val="center"/>
          </w:tcPr>
          <w:p w14:paraId="3C74E44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Rabbit</w:t>
            </w:r>
          </w:p>
        </w:tc>
        <w:tc>
          <w:tcPr>
            <w:tcW w:w="1890" w:type="dxa"/>
            <w:shd w:val="clear" w:color="auto" w:fill="auto"/>
            <w:vAlign w:val="center"/>
          </w:tcPr>
          <w:p w14:paraId="6B664EEF"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Monoclonal</w:t>
            </w:r>
          </w:p>
        </w:tc>
        <w:tc>
          <w:tcPr>
            <w:tcW w:w="1232" w:type="dxa"/>
            <w:shd w:val="clear" w:color="auto" w:fill="auto"/>
            <w:vAlign w:val="center"/>
          </w:tcPr>
          <w:p w14:paraId="4EEF0A2E"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22 </w:t>
            </w:r>
            <w:proofErr w:type="spellStart"/>
            <w:r w:rsidRPr="005D376C">
              <w:rPr>
                <w:rFonts w:ascii="Arial" w:hAnsi="Arial"/>
                <w:snapToGrid/>
                <w:sz w:val="22"/>
              </w:rPr>
              <w:t>kDa</w:t>
            </w:r>
            <w:proofErr w:type="spellEnd"/>
          </w:p>
        </w:tc>
        <w:tc>
          <w:tcPr>
            <w:tcW w:w="928" w:type="dxa"/>
            <w:shd w:val="clear" w:color="auto" w:fill="auto"/>
            <w:vAlign w:val="center"/>
          </w:tcPr>
          <w:p w14:paraId="43665B28"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1:1000</w:t>
            </w:r>
          </w:p>
        </w:tc>
        <w:tc>
          <w:tcPr>
            <w:tcW w:w="1170" w:type="dxa"/>
            <w:shd w:val="clear" w:color="auto" w:fill="auto"/>
            <w:vAlign w:val="center"/>
          </w:tcPr>
          <w:p w14:paraId="48C3DC3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8732</w:t>
            </w:r>
          </w:p>
        </w:tc>
        <w:tc>
          <w:tcPr>
            <w:tcW w:w="1375" w:type="dxa"/>
            <w:shd w:val="clear" w:color="auto" w:fill="auto"/>
            <w:vAlign w:val="center"/>
          </w:tcPr>
          <w:p w14:paraId="1CE3AC7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z w:val="22"/>
              </w:rPr>
              <w:t>CST</w:t>
            </w:r>
          </w:p>
        </w:tc>
      </w:tr>
      <w:tr w:rsidR="005D376C" w:rsidRPr="005D376C" w14:paraId="16A89E02" w14:textId="77777777" w:rsidTr="00732D80">
        <w:trPr>
          <w:trHeight w:val="156"/>
        </w:trPr>
        <w:tc>
          <w:tcPr>
            <w:tcW w:w="1530" w:type="dxa"/>
            <w:shd w:val="clear" w:color="auto" w:fill="auto"/>
            <w:vAlign w:val="center"/>
          </w:tcPr>
          <w:p w14:paraId="0AA54A3F"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Anti-GPX1</w:t>
            </w:r>
          </w:p>
        </w:tc>
        <w:tc>
          <w:tcPr>
            <w:tcW w:w="720" w:type="dxa"/>
            <w:shd w:val="clear" w:color="auto" w:fill="auto"/>
            <w:vAlign w:val="center"/>
          </w:tcPr>
          <w:p w14:paraId="021E1248"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Rabbit</w:t>
            </w:r>
          </w:p>
        </w:tc>
        <w:tc>
          <w:tcPr>
            <w:tcW w:w="1890" w:type="dxa"/>
            <w:shd w:val="clear" w:color="auto" w:fill="auto"/>
            <w:vAlign w:val="center"/>
          </w:tcPr>
          <w:p w14:paraId="56AFFAE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Monoclonal</w:t>
            </w:r>
          </w:p>
        </w:tc>
        <w:tc>
          <w:tcPr>
            <w:tcW w:w="1232" w:type="dxa"/>
            <w:shd w:val="clear" w:color="auto" w:fill="auto"/>
            <w:vAlign w:val="center"/>
          </w:tcPr>
          <w:p w14:paraId="3838F983"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22 </w:t>
            </w:r>
            <w:proofErr w:type="spellStart"/>
            <w:r w:rsidRPr="005D376C">
              <w:rPr>
                <w:rFonts w:ascii="Arial" w:hAnsi="Arial"/>
                <w:snapToGrid/>
                <w:sz w:val="22"/>
              </w:rPr>
              <w:t>kDa</w:t>
            </w:r>
            <w:proofErr w:type="spellEnd"/>
          </w:p>
        </w:tc>
        <w:tc>
          <w:tcPr>
            <w:tcW w:w="928" w:type="dxa"/>
            <w:shd w:val="clear" w:color="auto" w:fill="auto"/>
            <w:vAlign w:val="center"/>
          </w:tcPr>
          <w:p w14:paraId="7CC8EAA8"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1:2000</w:t>
            </w:r>
          </w:p>
        </w:tc>
        <w:tc>
          <w:tcPr>
            <w:tcW w:w="1170" w:type="dxa"/>
            <w:shd w:val="clear" w:color="auto" w:fill="auto"/>
            <w:vAlign w:val="center"/>
          </w:tcPr>
          <w:p w14:paraId="42DF279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3286S</w:t>
            </w:r>
          </w:p>
        </w:tc>
        <w:tc>
          <w:tcPr>
            <w:tcW w:w="1375" w:type="dxa"/>
            <w:shd w:val="clear" w:color="auto" w:fill="auto"/>
            <w:vAlign w:val="center"/>
          </w:tcPr>
          <w:p w14:paraId="05FEAFBD" w14:textId="74F96B04" w:rsidR="005D376C" w:rsidRPr="005D376C" w:rsidRDefault="005D376C" w:rsidP="000262E9">
            <w:pPr>
              <w:pStyle w:val="MDPI42tablebody"/>
              <w:spacing w:line="240" w:lineRule="auto"/>
              <w:jc w:val="left"/>
              <w:rPr>
                <w:rFonts w:ascii="Arial" w:hAnsi="Arial"/>
                <w:snapToGrid/>
                <w:sz w:val="22"/>
              </w:rPr>
            </w:pPr>
            <w:r w:rsidRPr="005D376C">
              <w:rPr>
                <w:rFonts w:ascii="Arial" w:hAnsi="Arial"/>
                <w:sz w:val="22"/>
              </w:rPr>
              <w:t>C</w:t>
            </w:r>
            <w:r w:rsidR="00493AF3">
              <w:rPr>
                <w:rFonts w:ascii="Arial" w:hAnsi="Arial"/>
                <w:sz w:val="22"/>
              </w:rPr>
              <w:t>S</w:t>
            </w:r>
            <w:r w:rsidRPr="005D376C">
              <w:rPr>
                <w:rFonts w:ascii="Arial" w:hAnsi="Arial"/>
                <w:sz w:val="22"/>
              </w:rPr>
              <w:t>T</w:t>
            </w:r>
          </w:p>
        </w:tc>
      </w:tr>
      <w:tr w:rsidR="005D376C" w:rsidRPr="005D376C" w14:paraId="190A0B4D" w14:textId="77777777" w:rsidTr="00732D80">
        <w:trPr>
          <w:trHeight w:val="156"/>
        </w:trPr>
        <w:tc>
          <w:tcPr>
            <w:tcW w:w="1530" w:type="dxa"/>
            <w:shd w:val="clear" w:color="auto" w:fill="auto"/>
            <w:vAlign w:val="center"/>
          </w:tcPr>
          <w:p w14:paraId="5DC27CFB"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Anti-GPX4</w:t>
            </w:r>
          </w:p>
        </w:tc>
        <w:tc>
          <w:tcPr>
            <w:tcW w:w="720" w:type="dxa"/>
            <w:shd w:val="clear" w:color="auto" w:fill="auto"/>
            <w:vAlign w:val="center"/>
          </w:tcPr>
          <w:p w14:paraId="09418340"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Rabbit</w:t>
            </w:r>
          </w:p>
        </w:tc>
        <w:tc>
          <w:tcPr>
            <w:tcW w:w="1890" w:type="dxa"/>
            <w:shd w:val="clear" w:color="auto" w:fill="auto"/>
            <w:vAlign w:val="center"/>
          </w:tcPr>
          <w:p w14:paraId="3154EE7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Monoclonal</w:t>
            </w:r>
          </w:p>
        </w:tc>
        <w:tc>
          <w:tcPr>
            <w:tcW w:w="1232" w:type="dxa"/>
            <w:shd w:val="clear" w:color="auto" w:fill="auto"/>
            <w:vAlign w:val="center"/>
          </w:tcPr>
          <w:p w14:paraId="224D1842"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22 </w:t>
            </w:r>
            <w:proofErr w:type="spellStart"/>
            <w:r w:rsidRPr="005D376C">
              <w:rPr>
                <w:rFonts w:ascii="Arial" w:hAnsi="Arial"/>
                <w:snapToGrid/>
                <w:sz w:val="22"/>
              </w:rPr>
              <w:t>kDa</w:t>
            </w:r>
            <w:proofErr w:type="spellEnd"/>
          </w:p>
        </w:tc>
        <w:tc>
          <w:tcPr>
            <w:tcW w:w="928" w:type="dxa"/>
            <w:shd w:val="clear" w:color="auto" w:fill="auto"/>
            <w:vAlign w:val="center"/>
          </w:tcPr>
          <w:p w14:paraId="02A86B54"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1:2000</w:t>
            </w:r>
          </w:p>
        </w:tc>
        <w:tc>
          <w:tcPr>
            <w:tcW w:w="1170" w:type="dxa"/>
            <w:shd w:val="clear" w:color="auto" w:fill="auto"/>
            <w:vAlign w:val="center"/>
          </w:tcPr>
          <w:p w14:paraId="122A36B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ab125066</w:t>
            </w:r>
          </w:p>
        </w:tc>
        <w:tc>
          <w:tcPr>
            <w:tcW w:w="1375" w:type="dxa"/>
            <w:shd w:val="clear" w:color="auto" w:fill="auto"/>
            <w:vAlign w:val="center"/>
          </w:tcPr>
          <w:p w14:paraId="7881724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z w:val="22"/>
              </w:rPr>
              <w:t>Abcam</w:t>
            </w:r>
          </w:p>
        </w:tc>
      </w:tr>
      <w:tr w:rsidR="005D376C" w:rsidRPr="005D376C" w14:paraId="45D315FF" w14:textId="77777777" w:rsidTr="00732D80">
        <w:trPr>
          <w:trHeight w:val="156"/>
        </w:trPr>
        <w:tc>
          <w:tcPr>
            <w:tcW w:w="1530" w:type="dxa"/>
            <w:shd w:val="clear" w:color="auto" w:fill="auto"/>
            <w:vAlign w:val="center"/>
          </w:tcPr>
          <w:p w14:paraId="3160460A"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Anti-PSD95</w:t>
            </w:r>
          </w:p>
        </w:tc>
        <w:tc>
          <w:tcPr>
            <w:tcW w:w="720" w:type="dxa"/>
            <w:shd w:val="clear" w:color="auto" w:fill="auto"/>
            <w:vAlign w:val="center"/>
          </w:tcPr>
          <w:p w14:paraId="556BC8E5"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Mouse</w:t>
            </w:r>
          </w:p>
        </w:tc>
        <w:tc>
          <w:tcPr>
            <w:tcW w:w="1890" w:type="dxa"/>
            <w:shd w:val="clear" w:color="auto" w:fill="auto"/>
            <w:vAlign w:val="center"/>
          </w:tcPr>
          <w:p w14:paraId="2306DC2C"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Monoclonal IgG2a</w:t>
            </w:r>
          </w:p>
        </w:tc>
        <w:tc>
          <w:tcPr>
            <w:tcW w:w="1232" w:type="dxa"/>
            <w:shd w:val="clear" w:color="auto" w:fill="auto"/>
            <w:vAlign w:val="center"/>
          </w:tcPr>
          <w:p w14:paraId="59395BCD"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95 </w:t>
            </w:r>
            <w:proofErr w:type="spellStart"/>
            <w:r w:rsidRPr="005D376C">
              <w:rPr>
                <w:rFonts w:ascii="Arial" w:hAnsi="Arial"/>
                <w:snapToGrid/>
                <w:sz w:val="22"/>
              </w:rPr>
              <w:t>kDa</w:t>
            </w:r>
            <w:proofErr w:type="spellEnd"/>
          </w:p>
        </w:tc>
        <w:tc>
          <w:tcPr>
            <w:tcW w:w="928" w:type="dxa"/>
            <w:shd w:val="clear" w:color="auto" w:fill="auto"/>
            <w:vAlign w:val="center"/>
          </w:tcPr>
          <w:p w14:paraId="08839CD2"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1:1000</w:t>
            </w:r>
          </w:p>
        </w:tc>
        <w:tc>
          <w:tcPr>
            <w:tcW w:w="1170" w:type="dxa"/>
            <w:shd w:val="clear" w:color="auto" w:fill="auto"/>
            <w:vAlign w:val="center"/>
          </w:tcPr>
          <w:p w14:paraId="3C23D37F"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MAB1596</w:t>
            </w:r>
          </w:p>
        </w:tc>
        <w:tc>
          <w:tcPr>
            <w:tcW w:w="1375" w:type="dxa"/>
            <w:shd w:val="clear" w:color="auto" w:fill="auto"/>
            <w:vAlign w:val="center"/>
          </w:tcPr>
          <w:p w14:paraId="4575733F"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Millipore</w:t>
            </w:r>
          </w:p>
        </w:tc>
      </w:tr>
      <w:tr w:rsidR="005D376C" w:rsidRPr="005D376C" w14:paraId="0B1704E1" w14:textId="77777777" w:rsidTr="00732D80">
        <w:trPr>
          <w:trHeight w:val="156"/>
        </w:trPr>
        <w:tc>
          <w:tcPr>
            <w:tcW w:w="1530" w:type="dxa"/>
            <w:shd w:val="clear" w:color="auto" w:fill="auto"/>
            <w:vAlign w:val="center"/>
          </w:tcPr>
          <w:p w14:paraId="4DFFB6DF"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Anti-</w:t>
            </w:r>
            <w:r w:rsidRPr="005D376C">
              <w:rPr>
                <w:rFonts w:ascii="Symbol" w:hAnsi="Symbol"/>
                <w:sz w:val="22"/>
              </w:rPr>
              <w:t></w:t>
            </w:r>
            <w:r w:rsidRPr="005D376C">
              <w:rPr>
                <w:rFonts w:ascii="Arial" w:hAnsi="Arial"/>
                <w:sz w:val="22"/>
              </w:rPr>
              <w:t>-Tubulin</w:t>
            </w:r>
          </w:p>
        </w:tc>
        <w:tc>
          <w:tcPr>
            <w:tcW w:w="720" w:type="dxa"/>
            <w:shd w:val="clear" w:color="auto" w:fill="auto"/>
            <w:vAlign w:val="center"/>
          </w:tcPr>
          <w:p w14:paraId="66175DAE"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Rabbit</w:t>
            </w:r>
          </w:p>
        </w:tc>
        <w:tc>
          <w:tcPr>
            <w:tcW w:w="1890" w:type="dxa"/>
            <w:shd w:val="clear" w:color="auto" w:fill="auto"/>
            <w:vAlign w:val="center"/>
          </w:tcPr>
          <w:p w14:paraId="2971BFCB"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Monoclonal</w:t>
            </w:r>
          </w:p>
        </w:tc>
        <w:tc>
          <w:tcPr>
            <w:tcW w:w="1232" w:type="dxa"/>
            <w:shd w:val="clear" w:color="auto" w:fill="auto"/>
            <w:vAlign w:val="center"/>
          </w:tcPr>
          <w:p w14:paraId="0BD79196"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 xml:space="preserve">50 </w:t>
            </w:r>
            <w:proofErr w:type="spellStart"/>
            <w:r w:rsidRPr="005D376C">
              <w:rPr>
                <w:rFonts w:ascii="Arial" w:hAnsi="Arial"/>
                <w:snapToGrid/>
                <w:sz w:val="22"/>
              </w:rPr>
              <w:t>kDa</w:t>
            </w:r>
            <w:proofErr w:type="spellEnd"/>
          </w:p>
        </w:tc>
        <w:tc>
          <w:tcPr>
            <w:tcW w:w="928" w:type="dxa"/>
            <w:shd w:val="clear" w:color="auto" w:fill="auto"/>
            <w:vAlign w:val="center"/>
          </w:tcPr>
          <w:p w14:paraId="67F8DBDD"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1:3000</w:t>
            </w:r>
          </w:p>
        </w:tc>
        <w:tc>
          <w:tcPr>
            <w:tcW w:w="1170" w:type="dxa"/>
            <w:shd w:val="clear" w:color="auto" w:fill="auto"/>
            <w:vAlign w:val="center"/>
          </w:tcPr>
          <w:p w14:paraId="5117AC37"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napToGrid/>
                <w:sz w:val="22"/>
              </w:rPr>
              <w:t>2128S</w:t>
            </w:r>
          </w:p>
        </w:tc>
        <w:tc>
          <w:tcPr>
            <w:tcW w:w="1375" w:type="dxa"/>
            <w:shd w:val="clear" w:color="auto" w:fill="auto"/>
            <w:vAlign w:val="center"/>
          </w:tcPr>
          <w:p w14:paraId="14368849" w14:textId="77777777" w:rsidR="005D376C" w:rsidRPr="005D376C" w:rsidRDefault="005D376C" w:rsidP="000262E9">
            <w:pPr>
              <w:pStyle w:val="MDPI42tablebody"/>
              <w:spacing w:line="240" w:lineRule="auto"/>
              <w:jc w:val="left"/>
              <w:rPr>
                <w:rFonts w:ascii="Arial" w:hAnsi="Arial"/>
                <w:snapToGrid/>
                <w:sz w:val="22"/>
              </w:rPr>
            </w:pPr>
            <w:r w:rsidRPr="005D376C">
              <w:rPr>
                <w:rFonts w:ascii="Arial" w:hAnsi="Arial"/>
                <w:sz w:val="22"/>
              </w:rPr>
              <w:t>CST</w:t>
            </w:r>
          </w:p>
        </w:tc>
      </w:tr>
    </w:tbl>
    <w:p w14:paraId="0D22F399" w14:textId="77777777" w:rsidR="005D376C" w:rsidRPr="006B61CD" w:rsidRDefault="005D376C" w:rsidP="005D376C">
      <w:pPr>
        <w:pStyle w:val="MDPI43tablefooter"/>
        <w:rPr>
          <w:rFonts w:ascii="Arial" w:hAnsi="Arial" w:cs="Arial"/>
          <w:sz w:val="20"/>
        </w:rPr>
      </w:pPr>
      <w:r w:rsidRPr="005D376C">
        <w:rPr>
          <w:rFonts w:ascii="Arial" w:hAnsi="Arial"/>
          <w:sz w:val="22"/>
          <w:szCs w:val="20"/>
        </w:rPr>
        <w:t>CST: Cell Signaling Technologies</w:t>
      </w:r>
    </w:p>
    <w:p w14:paraId="10E7EF7B" w14:textId="77777777" w:rsidR="005D376C" w:rsidRDefault="005D376C" w:rsidP="005D376C">
      <w:pPr>
        <w:jc w:val="both"/>
        <w:rPr>
          <w:rFonts w:ascii="Arial" w:hAnsi="Arial" w:cs="Arial"/>
        </w:rPr>
      </w:pPr>
    </w:p>
    <w:p w14:paraId="2CDAEC52" w14:textId="77777777" w:rsidR="005D376C" w:rsidRDefault="005D376C" w:rsidP="00E06C65"/>
    <w:sectPr w:rsidR="005D37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C65"/>
    <w:rsid w:val="000262E9"/>
    <w:rsid w:val="00475006"/>
    <w:rsid w:val="00493AF3"/>
    <w:rsid w:val="005D376C"/>
    <w:rsid w:val="007A6961"/>
    <w:rsid w:val="00BF5F1D"/>
    <w:rsid w:val="00E06C65"/>
    <w:rsid w:val="00EE198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7FF8"/>
  <w15:chartTrackingRefBased/>
  <w15:docId w15:val="{1FA5FCEB-1530-4977-920C-5E7D30D7D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6C6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41tablecaption">
    <w:name w:val="MDPI_4.1_table_caption"/>
    <w:basedOn w:val="Normal"/>
    <w:qFormat/>
    <w:rsid w:val="005D376C"/>
    <w:pPr>
      <w:adjustRightInd w:val="0"/>
      <w:snapToGrid w:val="0"/>
      <w:spacing w:before="240" w:after="120" w:line="260" w:lineRule="atLeast"/>
      <w:ind w:left="425" w:right="425"/>
      <w:jc w:val="both"/>
    </w:pPr>
    <w:rPr>
      <w:rFonts w:ascii="Palatino Linotype" w:eastAsia="Times New Roman" w:hAnsi="Palatino Linotype" w:cs="Times New Roman"/>
      <w:color w:val="000000"/>
      <w:sz w:val="18"/>
      <w:lang w:eastAsia="de-DE" w:bidi="en-US"/>
    </w:rPr>
  </w:style>
  <w:style w:type="paragraph" w:customStyle="1" w:styleId="MDPI42tablebody">
    <w:name w:val="MDPI_4.2_table_body"/>
    <w:qFormat/>
    <w:rsid w:val="005D376C"/>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43tablefooter">
    <w:name w:val="MDPI_4.3_table_footer"/>
    <w:basedOn w:val="MDPI41tablecaption"/>
    <w:next w:val="Normal"/>
    <w:qFormat/>
    <w:rsid w:val="005D376C"/>
    <w:pPr>
      <w:spacing w:before="0"/>
      <w:ind w:left="0" w:right="0"/>
    </w:pPr>
  </w:style>
  <w:style w:type="paragraph" w:styleId="Revision">
    <w:name w:val="Revision"/>
    <w:hidden/>
    <w:uiPriority w:val="99"/>
    <w:semiHidden/>
    <w:rsid w:val="00493A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1311</Words>
  <Characters>7477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UCLA Health Sciences</Company>
  <LinksUpToDate>false</LinksUpToDate>
  <CharactersWithSpaces>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Levine, Andrew</dc:creator>
  <cp:keywords/>
  <dc:description/>
  <cp:lastModifiedBy>Levine, Andrew</cp:lastModifiedBy>
  <cp:revision>2</cp:revision>
  <dcterms:created xsi:type="dcterms:W3CDTF">2023-10-06T17:19:00Z</dcterms:created>
  <dcterms:modified xsi:type="dcterms:W3CDTF">2023-10-06T17:19:00Z</dcterms:modified>
</cp:coreProperties>
</file>