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Regular" w:hAnsi="Times New Roman Regular" w:cs="Times New Roman Regular"/>
        </w:rPr>
      </w:pPr>
      <w:r>
        <w:rPr>
          <w:rFonts w:hint="default" w:ascii="Times New Roman Regular" w:hAnsi="Times New Roman Regular" w:cs="Times New Roman Regular"/>
          <w:b/>
          <w:sz w:val="28"/>
        </w:rPr>
        <w:t>Figure legends:</w:t>
      </w:r>
      <w:r>
        <w:rPr>
          <w:rFonts w:hint="default" w:ascii="Times New Roman Regular" w:hAnsi="Times New Roman Regular" w:cs="Times New Roman Regular"/>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480" w:lineRule="auto"/>
        <w:jc w:val="both"/>
        <w:textAlignment w:val="auto"/>
        <w:rPr>
          <w:rFonts w:hint="default" w:ascii="Times New Roman Bold" w:hAnsi="Times New Roman Bold" w:cs="Times New Roman Bold"/>
          <w:b/>
          <w:bCs/>
          <w:i/>
          <w:iCs/>
          <w:sz w:val="24"/>
          <w:szCs w:val="24"/>
          <w:vertAlign w:val="baseline"/>
          <w:lang w:val="en-US" w:eastAsia="zh-CN"/>
        </w:rPr>
      </w:pPr>
      <w:r>
        <w:rPr>
          <w:rFonts w:hint="default" w:ascii="Times New Roman Bold" w:hAnsi="Times New Roman Bold" w:cs="Times New Roman Bold"/>
          <w:b/>
          <w:bCs/>
          <w:i/>
          <w:iCs/>
          <w:sz w:val="24"/>
          <w:szCs w:val="24"/>
          <w:vertAlign w:val="baseline"/>
          <w:lang w:val="en-US" w:eastAsia="zh-CN"/>
        </w:rPr>
        <w:t>Additional f</w:t>
      </w:r>
      <w:r>
        <w:rPr>
          <w:rFonts w:hint="eastAsia" w:ascii="Times New Roman Bold" w:hAnsi="Times New Roman Bold" w:cs="Times New Roman Bold"/>
          <w:b/>
          <w:bCs/>
          <w:i/>
          <w:iCs/>
          <w:sz w:val="24"/>
          <w:szCs w:val="24"/>
          <w:vertAlign w:val="baseline"/>
          <w:lang w:val="en-US" w:eastAsia="zh-CN"/>
        </w:rPr>
        <w:t>i</w:t>
      </w:r>
      <w:r>
        <w:rPr>
          <w:rFonts w:hint="default" w:ascii="Times New Roman Bold" w:hAnsi="Times New Roman Bold" w:cs="Times New Roman Bold"/>
          <w:b/>
          <w:bCs/>
          <w:i/>
          <w:iCs/>
          <w:sz w:val="24"/>
          <w:szCs w:val="24"/>
          <w:vertAlign w:val="baseline"/>
          <w:lang w:val="en-US" w:eastAsia="zh-CN"/>
        </w:rPr>
        <w:t xml:space="preserve">le 2. Fig. S1 MRI of 2 PJS patients classified as Grade </w:t>
      </w:r>
      <w:r>
        <w:rPr>
          <w:rFonts w:hint="eastAsia" w:ascii="Times New Roman Bold" w:hAnsi="Times New Roman Bold" w:cs="Times New Roman Bold"/>
          <w:b/>
          <w:bCs/>
          <w:i/>
          <w:iCs/>
          <w:sz w:val="24"/>
          <w:szCs w:val="24"/>
          <w:vertAlign w:val="baseline"/>
          <w:lang w:val="en-US" w:eastAsia="zh-CN"/>
        </w:rPr>
        <w:t>3</w:t>
      </w:r>
      <w:r>
        <w:rPr>
          <w:rFonts w:hint="default" w:ascii="Times New Roman Bold" w:hAnsi="Times New Roman Bold" w:cs="Times New Roman Bold"/>
          <w:b/>
          <w:bCs/>
          <w:i/>
          <w:iCs/>
          <w:sz w:val="24"/>
          <w:szCs w:val="24"/>
          <w:vertAlign w:val="baseline"/>
          <w:lang w:val="en-US" w:eastAsia="zh-CN"/>
        </w:rPr>
        <w:t xml:space="preserve"> preoperatively.</w:t>
      </w:r>
    </w:p>
    <w:p>
      <w:pPr>
        <w:keepNext w:val="0"/>
        <w:keepLines w:val="0"/>
        <w:pageBreakBefore w:val="0"/>
        <w:widowControl/>
        <w:numPr>
          <w:ilvl w:val="0"/>
          <w:numId w:val="0"/>
        </w:numPr>
        <w:kinsoku/>
        <w:wordWrap/>
        <w:overflowPunct/>
        <w:topLinePunct w:val="0"/>
        <w:autoSpaceDE/>
        <w:autoSpaceDN/>
        <w:bidi w:val="0"/>
        <w:adjustRightInd/>
        <w:snapToGrid/>
        <w:spacing w:after="0" w:line="480" w:lineRule="auto"/>
        <w:jc w:val="both"/>
        <w:textAlignment w:val="auto"/>
        <w:rPr>
          <w:rFonts w:hint="default" w:ascii="Times New Roman Regular" w:hAnsi="Times New Roman Regular" w:cs="Times New Roman Regular"/>
          <w:i/>
          <w:iCs/>
          <w:sz w:val="24"/>
          <w:szCs w:val="24"/>
          <w:vertAlign w:val="baseline"/>
          <w:lang w:val="en-US" w:eastAsia="zh-CN"/>
        </w:rPr>
      </w:pPr>
      <w:r>
        <w:rPr>
          <w:rFonts w:hint="default" w:ascii="Times New Roman Regular" w:hAnsi="Times New Roman Regular" w:cs="Times New Roman Regular"/>
          <w:i/>
          <w:iCs/>
          <w:sz w:val="24"/>
          <w:szCs w:val="24"/>
          <w:vertAlign w:val="baseline"/>
          <w:lang w:val="en-US" w:eastAsia="zh-CN"/>
        </w:rPr>
        <w:t xml:space="preserve">A-C: A 34-year-old woman with increased vaginal discharge for more than 1 year was </w:t>
      </w:r>
      <w:r>
        <w:rPr>
          <w:rFonts w:hint="eastAsia" w:ascii="Times New Roman Regular" w:hAnsi="Times New Roman Regular" w:cs="Times New Roman Regular"/>
          <w:i/>
          <w:iCs/>
          <w:sz w:val="24"/>
          <w:szCs w:val="24"/>
          <w:vertAlign w:val="baseline"/>
          <w:lang w:val="en-US" w:eastAsia="zh-CN"/>
        </w:rPr>
        <w:t>classified</w:t>
      </w:r>
      <w:r>
        <w:rPr>
          <w:rFonts w:hint="default" w:ascii="Times New Roman Regular" w:hAnsi="Times New Roman Regular" w:cs="Times New Roman Regular"/>
          <w:i/>
          <w:iCs/>
          <w:sz w:val="24"/>
          <w:szCs w:val="24"/>
          <w:vertAlign w:val="baseline"/>
          <w:lang w:val="en-US" w:eastAsia="zh-CN"/>
        </w:rPr>
        <w:t xml:space="preserve"> as Grade 3 and then was pathologically confirmed as aLEGH. Axial (A) and coronal (B) T2W</w:t>
      </w:r>
      <w:r>
        <w:rPr>
          <w:rFonts w:hint="eastAsia" w:ascii="Times New Roman Regular" w:hAnsi="Times New Roman Regular" w:cs="Times New Roman Regular"/>
          <w:i/>
          <w:iCs/>
          <w:sz w:val="24"/>
          <w:szCs w:val="24"/>
          <w:vertAlign w:val="baseline"/>
          <w:lang w:val="en-US" w:eastAsia="zh-CN"/>
        </w:rPr>
        <w:t>I</w:t>
      </w:r>
      <w:r>
        <w:rPr>
          <w:rFonts w:hint="default" w:ascii="Times New Roman Regular" w:hAnsi="Times New Roman Regular" w:cs="Times New Roman Regular"/>
          <w:i/>
          <w:iCs/>
          <w:sz w:val="24"/>
          <w:szCs w:val="24"/>
          <w:vertAlign w:val="baseline"/>
          <w:lang w:val="en-US" w:eastAsia="zh-CN"/>
        </w:rPr>
        <w:t xml:space="preserve"> showed dense microcysts (short arrow) and macrocysts (long arrow) in the middle and upper sections of the cervical canal. The cervical stromal ring was intact with low signal on T2WI (B) and the proportion of microcysts was more than 1/3 but less than 2/3. Coronal contrast-enhanced T1WI (C) showed the microcysts were moderately enhanced.</w:t>
      </w:r>
    </w:p>
    <w:p>
      <w:pPr>
        <w:keepNext w:val="0"/>
        <w:keepLines w:val="0"/>
        <w:pageBreakBefore w:val="0"/>
        <w:widowControl/>
        <w:numPr>
          <w:ilvl w:val="0"/>
          <w:numId w:val="0"/>
        </w:numPr>
        <w:kinsoku/>
        <w:wordWrap/>
        <w:overflowPunct/>
        <w:topLinePunct w:val="0"/>
        <w:autoSpaceDE/>
        <w:autoSpaceDN/>
        <w:bidi w:val="0"/>
        <w:adjustRightInd/>
        <w:snapToGrid/>
        <w:spacing w:after="0" w:line="480" w:lineRule="auto"/>
        <w:jc w:val="both"/>
        <w:textAlignment w:val="auto"/>
        <w:rPr>
          <w:rFonts w:hint="default" w:ascii="Times New Roman Regular" w:hAnsi="Times New Roman Regular" w:cs="Times New Roman Regular"/>
          <w:sz w:val="24"/>
          <w:szCs w:val="24"/>
          <w:vertAlign w:val="baseline"/>
          <w:lang w:val="en-US" w:eastAsia="zh-CN"/>
        </w:rPr>
      </w:pPr>
      <w:r>
        <w:rPr>
          <w:rFonts w:hint="default" w:ascii="Times New Roman Regular" w:hAnsi="Times New Roman Regular" w:cs="Times New Roman Regular"/>
          <w:i/>
          <w:iCs/>
          <w:sz w:val="24"/>
          <w:szCs w:val="24"/>
          <w:vertAlign w:val="baseline"/>
          <w:lang w:val="en-US" w:eastAsia="zh-CN"/>
        </w:rPr>
        <w:t>D-F: A 34-year-old woman with increased vaginal discharge for more than 4 year</w:t>
      </w:r>
      <w:r>
        <w:rPr>
          <w:rFonts w:hint="eastAsia" w:ascii="Times New Roman Regular" w:hAnsi="Times New Roman Regular" w:cs="Times New Roman Regular"/>
          <w:i/>
          <w:iCs/>
          <w:sz w:val="24"/>
          <w:szCs w:val="24"/>
          <w:vertAlign w:val="baseline"/>
          <w:lang w:val="en-US" w:eastAsia="zh-CN"/>
        </w:rPr>
        <w:t xml:space="preserve">s </w:t>
      </w:r>
      <w:r>
        <w:rPr>
          <w:rFonts w:hint="default" w:ascii="Times New Roman Regular" w:hAnsi="Times New Roman Regular" w:cs="Times New Roman Regular"/>
          <w:i/>
          <w:iCs/>
          <w:sz w:val="24"/>
          <w:szCs w:val="24"/>
          <w:vertAlign w:val="baseline"/>
          <w:lang w:val="en-US" w:eastAsia="zh-CN"/>
        </w:rPr>
        <w:t xml:space="preserve">was classified as Grade 3 and then </w:t>
      </w:r>
      <w:r>
        <w:rPr>
          <w:rFonts w:hint="eastAsia" w:ascii="Times New Roman Regular" w:hAnsi="Times New Roman Regular" w:cs="Times New Roman Regular"/>
          <w:i/>
          <w:iCs/>
          <w:sz w:val="24"/>
          <w:szCs w:val="24"/>
          <w:vertAlign w:val="baseline"/>
          <w:lang w:val="en-US" w:eastAsia="zh-CN"/>
        </w:rPr>
        <w:t>was</w:t>
      </w:r>
      <w:r>
        <w:rPr>
          <w:rFonts w:hint="default" w:ascii="Times New Roman Regular" w:hAnsi="Times New Roman Regular" w:cs="Times New Roman Regular"/>
          <w:i/>
          <w:iCs/>
          <w:sz w:val="24"/>
          <w:szCs w:val="24"/>
          <w:vertAlign w:val="baseline"/>
          <w:lang w:val="en-US" w:eastAsia="zh-CN"/>
        </w:rPr>
        <w:t xml:space="preserve"> pathologically confirmed as LEGH. Coronal (D) and axial (E) T2WI showed dense microcysts and macrocysts (long arrow) in the middle and upper sections of the cervical canal. The cervical stromal ring was intact with low signal on T2WI (E) and the proportion of microcysts was more than 1/3 but less than 2/3. A </w:t>
      </w:r>
      <w:r>
        <w:rPr>
          <w:rFonts w:hint="eastAsia" w:ascii="Times New Roman Regular" w:hAnsi="Times New Roman Regular" w:cs="Times New Roman Regular"/>
          <w:i/>
          <w:iCs/>
          <w:sz w:val="24"/>
          <w:szCs w:val="24"/>
          <w:vertAlign w:val="baseline"/>
          <w:lang w:val="en-US" w:eastAsia="zh-CN"/>
        </w:rPr>
        <w:t>pure</w:t>
      </w:r>
      <w:r>
        <w:rPr>
          <w:rFonts w:hint="default" w:ascii="Times New Roman Regular" w:hAnsi="Times New Roman Regular" w:cs="Times New Roman Regular"/>
          <w:i/>
          <w:iCs/>
          <w:sz w:val="24"/>
          <w:szCs w:val="24"/>
          <w:vertAlign w:val="baseline"/>
          <w:lang w:val="en-US" w:eastAsia="zh-CN"/>
        </w:rPr>
        <w:t xml:space="preserve"> cyst with a diameter of 3 cm </w:t>
      </w:r>
      <w:r>
        <w:rPr>
          <w:rFonts w:hint="default" w:ascii="Times New Roman Regular" w:hAnsi="Times New Roman Regular" w:cs="Times New Roman Regular"/>
          <w:sz w:val="24"/>
          <w:szCs w:val="24"/>
          <w:vertAlign w:val="baseline"/>
          <w:lang w:val="en-US" w:eastAsia="zh-CN"/>
        </w:rPr>
        <w:t>was observed in the left ovary (short arrow). Axial contrast-enhanced T1WI (F</w:t>
      </w:r>
      <w:bookmarkStart w:id="0" w:name="_GoBack"/>
      <w:bookmarkEnd w:id="0"/>
      <w:r>
        <w:rPr>
          <w:rFonts w:hint="default" w:ascii="Times New Roman Regular" w:hAnsi="Times New Roman Regular" w:cs="Times New Roman Regular"/>
          <w:sz w:val="24"/>
          <w:szCs w:val="24"/>
          <w:vertAlign w:val="baseline"/>
          <w:lang w:val="en-US" w:eastAsia="zh-CN"/>
        </w:rPr>
        <w:t>) showed the microcysts were moderately enhanced.</w:t>
      </w:r>
    </w:p>
    <w:p>
      <w:pPr>
        <w:rPr>
          <w:rFonts w:hint="default"/>
          <w:lang w:val="en-US"/>
        </w:rPr>
      </w:pPr>
    </w:p>
    <w:sectPr>
      <w:headerReference r:id="rId5" w:type="default"/>
      <w:pgSz w:w="11906" w:h="16838"/>
      <w:pgMar w:top="1440" w:right="1800" w:bottom="1440" w:left="1800" w:header="851" w:footer="992" w:gutter="0"/>
      <w:lnNumType w:countBy="1" w:restart="continuou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Times New Roman Regular">
    <w:panose1 w:val="02020603050405020304"/>
    <w:charset w:val="00"/>
    <w:family w:val="auto"/>
    <w:pitch w:val="default"/>
    <w:sig w:usb0="E0002AEF" w:usb1="C0007841" w:usb2="00000009" w:usb3="00000000" w:csb0="400001FF" w:csb1="FFFF0000"/>
  </w:font>
  <w:font w:name="Times New Roman Bold">
    <w:panose1 w:val="02020603050405020304"/>
    <w:charset w:val="00"/>
    <w:family w:val="auto"/>
    <w:pitch w:val="default"/>
    <w:sig w:usb0="E0002AEF" w:usb1="C0007841" w:usb2="00000009" w:usb3="00000000" w:csb0="400001FF" w:csb1="FFFF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BBD9D5"/>
    <w:rsid w:val="3FED7C28"/>
    <w:rsid w:val="7DBBD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ja-JP"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Office_6.3.0.8471_F1E327BC-269C-435d-A152-05C5408002CA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2023-11-27T20:09:00Z</dcterms:created>
  <dc:creator>姜安绮</dc:creator>
  <cp:lastModifiedBy>姜安绮</cp:lastModifiedBy>
  <dcterms:modified xsi:type="dcterms:W3CDTF">2023-11-27T20:10:04Z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2052-6.3.0.8471</vt:lpwstr>
  </property>
  <property fmtid="{D5CDD505-2E9C-101B-9397-08002B2CF9AE}" pid="3" name="ICV">
    <vt:lpwstr>DC4D42A7E3971BA6088764650B398863_41</vt:lpwstr>
  </property>
</Properties>
</file>