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8A2" w:rsidRDefault="00C218A2" w:rsidP="00C218A2">
      <w:pPr>
        <w:spacing w:after="0" w:line="48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3D676A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Supplementary Table 1. Anticholinergic Cognitive Burden (ACB) score drugs per number of participants </w:t>
      </w:r>
    </w:p>
    <w:tbl>
      <w:tblPr>
        <w:tblStyle w:val="Grigliatabella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2"/>
        <w:gridCol w:w="5026"/>
      </w:tblGrid>
      <w:tr w:rsidR="00C218A2" w:rsidRPr="00A30D54" w:rsidTr="002966C6">
        <w:trPr>
          <w:trHeight w:hRule="exact" w:val="567"/>
        </w:trPr>
        <w:tc>
          <w:tcPr>
            <w:tcW w:w="4612" w:type="dxa"/>
            <w:tcBorders>
              <w:top w:val="single" w:sz="4" w:space="0" w:color="auto"/>
              <w:bottom w:val="single" w:sz="4" w:space="0" w:color="auto"/>
            </w:tcBorders>
          </w:tcPr>
          <w:p w:rsidR="00C218A2" w:rsidRPr="00A30D54" w:rsidRDefault="00C218A2" w:rsidP="002966C6">
            <w:pPr>
              <w:spacing w:after="20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30D5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ACB score</w:t>
            </w:r>
          </w:p>
        </w:tc>
        <w:tc>
          <w:tcPr>
            <w:tcW w:w="5026" w:type="dxa"/>
            <w:tcBorders>
              <w:top w:val="single" w:sz="4" w:space="0" w:color="auto"/>
              <w:bottom w:val="single" w:sz="4" w:space="0" w:color="auto"/>
            </w:tcBorders>
          </w:tcPr>
          <w:p w:rsidR="00C218A2" w:rsidRPr="00A30D54" w:rsidRDefault="00C218A2" w:rsidP="002966C6">
            <w:pPr>
              <w:spacing w:after="20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proofErr w:type="spellStart"/>
            <w:r w:rsidRPr="00A30D5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Chemical</w:t>
            </w:r>
            <w:proofErr w:type="spellEnd"/>
            <w:r w:rsidRPr="00A30D5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A30D5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substances</w:t>
            </w:r>
            <w:proofErr w:type="spellEnd"/>
          </w:p>
        </w:tc>
      </w:tr>
      <w:tr w:rsidR="00C218A2" w:rsidRPr="00D27F07" w:rsidTr="002966C6">
        <w:trPr>
          <w:trHeight w:hRule="exact" w:val="3000"/>
        </w:trPr>
        <w:tc>
          <w:tcPr>
            <w:tcW w:w="4612" w:type="dxa"/>
            <w:tcBorders>
              <w:top w:val="single" w:sz="4" w:space="0" w:color="auto"/>
              <w:bottom w:val="single" w:sz="4" w:space="0" w:color="auto"/>
            </w:tcBorders>
          </w:tcPr>
          <w:p w:rsidR="00C218A2" w:rsidRPr="00C218A2" w:rsidRDefault="00C218A2" w:rsidP="002966C6">
            <w:pPr>
              <w:spacing w:after="20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C218A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 (N=117)</w:t>
            </w:r>
          </w:p>
          <w:p w:rsidR="00C218A2" w:rsidRPr="00C218A2" w:rsidRDefault="00C218A2" w:rsidP="002966C6">
            <w:pPr>
              <w:spacing w:after="20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30D54">
              <w:rPr>
                <w:rFonts w:ascii="Times New Roman" w:eastAsia="Calibri" w:hAnsi="Times New Roman" w:cs="Times New Roman"/>
                <w:sz w:val="20"/>
                <w:szCs w:val="20"/>
                <w:lang w:val="en"/>
              </w:rPr>
              <w:t>Drug that exhibits anticholinergic activity in vitro. On a clinical level, cognitive effects are possible, but not very relevant.</w:t>
            </w:r>
          </w:p>
        </w:tc>
        <w:tc>
          <w:tcPr>
            <w:tcW w:w="5026" w:type="dxa"/>
            <w:tcBorders>
              <w:top w:val="single" w:sz="4" w:space="0" w:color="auto"/>
              <w:bottom w:val="single" w:sz="4" w:space="0" w:color="auto"/>
            </w:tcBorders>
          </w:tcPr>
          <w:p w:rsidR="00C218A2" w:rsidRPr="00C218A2" w:rsidRDefault="00C218A2" w:rsidP="002966C6">
            <w:pPr>
              <w:spacing w:after="20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:rsidR="00C218A2" w:rsidRPr="00C218A2" w:rsidRDefault="00C218A2" w:rsidP="002966C6">
            <w:pPr>
              <w:spacing w:after="20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C218A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Haloperidol, Alprazolam, Atenolol, Metropolol, Atropine, Cetirizine, Colecalciferol, Desloratadine, Digoxin, Diltiazem, Fluvoxamine, Venlafaxine, Furosemide, Isosorbide, Levothyroxine, Nifedipine, Olmesartan, Ranitidine, Oxybutynin, Prednisone, Warfarin.</w:t>
            </w:r>
          </w:p>
          <w:p w:rsidR="00C218A2" w:rsidRPr="00C218A2" w:rsidRDefault="00C218A2" w:rsidP="002966C6">
            <w:pPr>
              <w:spacing w:after="20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218A2" w:rsidRPr="00A30D54" w:rsidTr="002966C6">
        <w:trPr>
          <w:trHeight w:hRule="exact" w:val="1700"/>
        </w:trPr>
        <w:tc>
          <w:tcPr>
            <w:tcW w:w="4612" w:type="dxa"/>
            <w:tcBorders>
              <w:top w:val="single" w:sz="4" w:space="0" w:color="auto"/>
              <w:bottom w:val="single" w:sz="4" w:space="0" w:color="auto"/>
            </w:tcBorders>
          </w:tcPr>
          <w:p w:rsidR="00C218A2" w:rsidRPr="00C218A2" w:rsidRDefault="00C218A2" w:rsidP="002966C6">
            <w:pPr>
              <w:spacing w:after="20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C218A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 (N=4)</w:t>
            </w:r>
          </w:p>
          <w:p w:rsidR="00C218A2" w:rsidRPr="00C218A2" w:rsidRDefault="00C218A2" w:rsidP="002966C6">
            <w:pPr>
              <w:spacing w:after="20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30D54">
              <w:rPr>
                <w:rFonts w:ascii="Times New Roman" w:eastAsia="Calibri" w:hAnsi="Times New Roman" w:cs="Times New Roman"/>
                <w:sz w:val="20"/>
                <w:szCs w:val="20"/>
                <w:lang w:val="en"/>
              </w:rPr>
              <w:t>Drug that has moderate anticholinergic effects, which can be clinically relevant on the cognitive sphere.</w:t>
            </w:r>
          </w:p>
        </w:tc>
        <w:tc>
          <w:tcPr>
            <w:tcW w:w="5026" w:type="dxa"/>
            <w:tcBorders>
              <w:top w:val="single" w:sz="4" w:space="0" w:color="auto"/>
              <w:bottom w:val="single" w:sz="4" w:space="0" w:color="auto"/>
            </w:tcBorders>
          </w:tcPr>
          <w:p w:rsidR="00C218A2" w:rsidRDefault="00C218A2" w:rsidP="002966C6">
            <w:pPr>
              <w:spacing w:after="20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"/>
              </w:rPr>
            </w:pPr>
          </w:p>
          <w:p w:rsidR="00C218A2" w:rsidRPr="00A30D54" w:rsidRDefault="00C218A2" w:rsidP="002966C6">
            <w:pPr>
              <w:spacing w:after="20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"/>
              </w:rPr>
            </w:pPr>
            <w:r w:rsidRPr="00A30D54">
              <w:rPr>
                <w:rFonts w:ascii="Times New Roman" w:eastAsia="Calibri" w:hAnsi="Times New Roman" w:cs="Times New Roman"/>
                <w:sz w:val="20"/>
                <w:szCs w:val="20"/>
                <w:lang w:val="en"/>
              </w:rPr>
              <w:t>Amantadine, Carbamazepine.</w:t>
            </w:r>
          </w:p>
          <w:p w:rsidR="00C218A2" w:rsidRPr="00A30D54" w:rsidRDefault="00C218A2" w:rsidP="002966C6">
            <w:pPr>
              <w:spacing w:after="200" w:line="48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218A2" w:rsidRPr="00A30D54" w:rsidTr="002966C6">
        <w:trPr>
          <w:trHeight w:hRule="exact" w:val="1838"/>
        </w:trPr>
        <w:tc>
          <w:tcPr>
            <w:tcW w:w="4612" w:type="dxa"/>
            <w:tcBorders>
              <w:top w:val="single" w:sz="4" w:space="0" w:color="auto"/>
              <w:bottom w:val="single" w:sz="4" w:space="0" w:color="auto"/>
            </w:tcBorders>
          </w:tcPr>
          <w:p w:rsidR="00C218A2" w:rsidRPr="00C218A2" w:rsidRDefault="00C218A2" w:rsidP="002966C6">
            <w:pPr>
              <w:spacing w:after="20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C218A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 (N=26)</w:t>
            </w:r>
          </w:p>
          <w:p w:rsidR="00C218A2" w:rsidRPr="00C218A2" w:rsidRDefault="00C218A2" w:rsidP="002966C6">
            <w:pPr>
              <w:spacing w:after="20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30D54">
              <w:rPr>
                <w:rFonts w:ascii="Times New Roman" w:eastAsia="Calibri" w:hAnsi="Times New Roman" w:cs="Times New Roman"/>
                <w:sz w:val="20"/>
                <w:szCs w:val="20"/>
                <w:lang w:val="en"/>
              </w:rPr>
              <w:t>Drug that has marked anticholinergic effects, which are clinically relevant on the cognitive sphere.</w:t>
            </w:r>
          </w:p>
        </w:tc>
        <w:tc>
          <w:tcPr>
            <w:tcW w:w="5026" w:type="dxa"/>
            <w:tcBorders>
              <w:top w:val="single" w:sz="4" w:space="0" w:color="auto"/>
              <w:bottom w:val="single" w:sz="4" w:space="0" w:color="auto"/>
            </w:tcBorders>
          </w:tcPr>
          <w:p w:rsidR="00C218A2" w:rsidRPr="00C218A2" w:rsidRDefault="00C218A2" w:rsidP="002966C6">
            <w:pPr>
              <w:spacing w:after="20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:rsidR="00C218A2" w:rsidRPr="00D27F07" w:rsidRDefault="00C218A2" w:rsidP="002966C6">
            <w:pPr>
              <w:spacing w:after="200" w:line="48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27F07">
              <w:rPr>
                <w:rFonts w:ascii="Times New Roman" w:eastAsia="Calibri" w:hAnsi="Times New Roman" w:cs="Times New Roman"/>
                <w:sz w:val="20"/>
                <w:szCs w:val="20"/>
              </w:rPr>
              <w:t>Amitriptyline</w:t>
            </w:r>
            <w:proofErr w:type="spellEnd"/>
            <w:r w:rsidRPr="00D27F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27F07">
              <w:rPr>
                <w:rFonts w:ascii="Times New Roman" w:eastAsia="Calibri" w:hAnsi="Times New Roman" w:cs="Times New Roman"/>
                <w:sz w:val="20"/>
                <w:szCs w:val="20"/>
              </w:rPr>
              <w:t>Clomipramine</w:t>
            </w:r>
            <w:proofErr w:type="spellEnd"/>
            <w:r w:rsidRPr="00D27F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27F07">
              <w:rPr>
                <w:rFonts w:ascii="Times New Roman" w:eastAsia="Calibri" w:hAnsi="Times New Roman" w:cs="Times New Roman"/>
                <w:sz w:val="20"/>
                <w:szCs w:val="20"/>
              </w:rPr>
              <w:t>Paroxetine</w:t>
            </w:r>
            <w:proofErr w:type="spellEnd"/>
            <w:r w:rsidRPr="00D27F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27F07">
              <w:rPr>
                <w:rFonts w:ascii="Times New Roman" w:eastAsia="Calibri" w:hAnsi="Times New Roman" w:cs="Times New Roman"/>
                <w:sz w:val="20"/>
                <w:szCs w:val="20"/>
              </w:rPr>
              <w:t>Olanzapine</w:t>
            </w:r>
            <w:proofErr w:type="spellEnd"/>
            <w:r w:rsidRPr="00D27F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27F07">
              <w:rPr>
                <w:rFonts w:ascii="Times New Roman" w:eastAsia="Calibri" w:hAnsi="Times New Roman" w:cs="Times New Roman"/>
                <w:sz w:val="20"/>
                <w:szCs w:val="20"/>
              </w:rPr>
              <w:t>Quetiapine</w:t>
            </w:r>
            <w:proofErr w:type="spellEnd"/>
            <w:r w:rsidRPr="00D27F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27F07">
              <w:rPr>
                <w:rFonts w:ascii="Times New Roman" w:eastAsia="Calibri" w:hAnsi="Times New Roman" w:cs="Times New Roman"/>
                <w:sz w:val="20"/>
                <w:szCs w:val="20"/>
              </w:rPr>
              <w:t>Soliphenacin</w:t>
            </w:r>
            <w:proofErr w:type="spellEnd"/>
            <w:r w:rsidRPr="00D27F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27F07">
              <w:rPr>
                <w:rFonts w:ascii="Times New Roman" w:eastAsia="Calibri" w:hAnsi="Times New Roman" w:cs="Times New Roman"/>
                <w:sz w:val="20"/>
                <w:szCs w:val="20"/>
              </w:rPr>
              <w:t>Tolterodine</w:t>
            </w:r>
            <w:proofErr w:type="spellEnd"/>
            <w:r w:rsidRPr="00D27F07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C218A2" w:rsidRPr="00D27F07" w:rsidRDefault="00C218A2" w:rsidP="002966C6">
            <w:pPr>
              <w:spacing w:after="200" w:line="48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C218A2" w:rsidRPr="00D27F07" w:rsidRDefault="00C218A2" w:rsidP="00C218A2">
      <w:pPr>
        <w:spacing w:after="200" w:line="276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C218A2" w:rsidRPr="00D27F07" w:rsidRDefault="00C218A2" w:rsidP="00C218A2">
      <w:pPr>
        <w:rPr>
          <w:rFonts w:ascii="Times New Roman" w:eastAsia="Calibri" w:hAnsi="Times New Roman" w:cs="Times New Roman"/>
          <w:sz w:val="20"/>
          <w:szCs w:val="20"/>
        </w:rPr>
      </w:pPr>
    </w:p>
    <w:p w:rsidR="00C218A2" w:rsidRPr="00D27F07" w:rsidRDefault="00C218A2" w:rsidP="00C218A2">
      <w:pPr>
        <w:rPr>
          <w:rFonts w:ascii="Times New Roman" w:eastAsia="Calibri" w:hAnsi="Times New Roman" w:cs="Times New Roman"/>
          <w:sz w:val="20"/>
          <w:szCs w:val="20"/>
        </w:rPr>
      </w:pPr>
    </w:p>
    <w:p w:rsidR="007C3172" w:rsidRDefault="007C3172">
      <w:bookmarkStart w:id="0" w:name="_GoBack"/>
      <w:bookmarkEnd w:id="0"/>
    </w:p>
    <w:sectPr w:rsidR="007C3172" w:rsidSect="009754BD">
      <w:headerReference w:type="default" r:id="rId4"/>
      <w:pgSz w:w="11906" w:h="16838"/>
      <w:pgMar w:top="141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0140" w:rsidRPr="00F74609" w:rsidRDefault="00C218A2" w:rsidP="00F74609">
    <w:pPr>
      <w:pStyle w:val="Intestazione"/>
    </w:pPr>
    <w:r w:rsidRPr="00F74609">
      <w:rPr>
        <w:rStyle w:val="hgkelc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I1NjIzNzUxMTMzNTVU0lEKTi0uzszPAykwrAUAL4Tw+CwAAAA="/>
  </w:docVars>
  <w:rsids>
    <w:rsidRoot w:val="00C218A2"/>
    <w:rsid w:val="007C3172"/>
    <w:rsid w:val="00C21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4B949A-E43F-439E-90B3-5EB80DB0E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218A2"/>
    <w:rPr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gliatabella1">
    <w:name w:val="Griglia tabella1"/>
    <w:basedOn w:val="Tabellanormale"/>
    <w:next w:val="Grigliatabella"/>
    <w:uiPriority w:val="59"/>
    <w:rsid w:val="00C218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Carpredefinitoparagrafo"/>
    <w:rsid w:val="00C218A2"/>
  </w:style>
  <w:style w:type="paragraph" w:styleId="Intestazione">
    <w:name w:val="header"/>
    <w:basedOn w:val="Normale"/>
    <w:link w:val="IntestazioneCarattere1"/>
    <w:uiPriority w:val="99"/>
    <w:unhideWhenUsed/>
    <w:rsid w:val="00C218A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uiPriority w:val="99"/>
    <w:semiHidden/>
    <w:rsid w:val="00C218A2"/>
    <w:rPr>
      <w:lang w:val="it-IT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C218A2"/>
    <w:rPr>
      <w:lang w:val="it-IT"/>
    </w:rPr>
  </w:style>
  <w:style w:type="table" w:styleId="Grigliatabella">
    <w:name w:val="Table Grid"/>
    <w:basedOn w:val="Tabellanormale"/>
    <w:uiPriority w:val="39"/>
    <w:rsid w:val="00C218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Prinelli</dc:creator>
  <cp:keywords/>
  <dc:description/>
  <cp:lastModifiedBy>Federica Prinelli</cp:lastModifiedBy>
  <cp:revision>1</cp:revision>
  <dcterms:created xsi:type="dcterms:W3CDTF">2023-10-23T11:04:00Z</dcterms:created>
  <dcterms:modified xsi:type="dcterms:W3CDTF">2023-10-23T11:04:00Z</dcterms:modified>
</cp:coreProperties>
</file>