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D1766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b/>
          <w:color w:val="000000"/>
          <w:kern w:val="0"/>
          <w:sz w:val="24"/>
          <w:szCs w:val="21"/>
          <w:lang w:eastAsia="en-US"/>
        </w:rPr>
        <w:t xml:space="preserve">Table 1. 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Baseline characteristics of COPD participants according to serum 25(OH)D concentrations in NHANES data from 2007 to 2018, weighted.</w:t>
      </w:r>
    </w:p>
    <w:p w14:paraId="49579C2A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noProof/>
          <w:color w:val="000000"/>
          <w:kern w:val="0"/>
          <w:sz w:val="24"/>
          <w:szCs w:val="21"/>
          <w:lang w:eastAsia="en-US"/>
        </w:rPr>
        <w:drawing>
          <wp:inline distT="0" distB="0" distL="0" distR="0" wp14:anchorId="101EAA27" wp14:editId="03724CAC">
            <wp:extent cx="4791075" cy="530903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32" cy="53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ED7B1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*The percentage of the categorical variables does not sum to 100% because some participants chose to ‘not answer’. COPD, chronic obstructive pulmonary disease; 25(OH)D, 25-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softHyphen/>
        <w:t>hydroxyvitamin D; HDL, high-density lipoprotein cholesterol; TC, cholesterol; WBC, white blood cell</w:t>
      </w:r>
      <w:r w:rsidRPr="00A519CC">
        <w:rPr>
          <w:rFonts w:ascii="Times New Roman" w:hAnsi="Times New Roman" w:cs="Times New Roman" w:hint="eastAsia"/>
          <w:color w:val="000000"/>
          <w:kern w:val="0"/>
          <w:sz w:val="24"/>
          <w:szCs w:val="21"/>
          <w:lang w:eastAsia="en-US"/>
        </w:rPr>
        <w:t>;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 xml:space="preserve"> eGFR: estimated glomerular filtration rate.</w:t>
      </w:r>
    </w:p>
    <w:p w14:paraId="7175725F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b/>
          <w:color w:val="000000"/>
          <w:kern w:val="0"/>
          <w:sz w:val="24"/>
          <w:szCs w:val="21"/>
          <w:lang w:eastAsia="en-US"/>
        </w:rPr>
        <w:t xml:space="preserve">Table 2. 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The relationship between serum 25(OH)D concentrations and risk of COPD among participants from the NHANES (2007-2018).</w:t>
      </w:r>
    </w:p>
    <w:p w14:paraId="41B194E2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noProof/>
          <w:color w:val="000000"/>
          <w:kern w:val="0"/>
          <w:sz w:val="24"/>
          <w:szCs w:val="21"/>
          <w:lang w:eastAsia="en-US"/>
        </w:rPr>
        <w:lastRenderedPageBreak/>
        <w:drawing>
          <wp:inline distT="0" distB="0" distL="0" distR="0" wp14:anchorId="52F4264B" wp14:editId="7B6DF3D8">
            <wp:extent cx="5274310" cy="1536825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96B01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Crude model: Non-adjusted</w:t>
      </w:r>
    </w:p>
    <w:p w14:paraId="027AFB74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Model 1: adjusted for age, gender, race/ethnicity, education, marriage</w:t>
      </w:r>
    </w:p>
    <w:p w14:paraId="430D4ECF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Model 2: adjusted for model 1 plus smoking status, body mass index, DM, hypertension, CVD, TC, HDL, WBC, eGFR</w:t>
      </w:r>
    </w:p>
    <w:p w14:paraId="7095217B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</w:p>
    <w:p w14:paraId="24326B10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b/>
          <w:color w:val="000000"/>
          <w:kern w:val="0"/>
          <w:sz w:val="24"/>
          <w:szCs w:val="21"/>
          <w:lang w:eastAsia="en-US"/>
        </w:rPr>
        <w:t xml:space="preserve">Table 3. 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All-cause mortality according to serum 25(OH)D concentrations among participants with COPD from the NHANES (2007-2018).</w:t>
      </w:r>
    </w:p>
    <w:p w14:paraId="3D42168F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noProof/>
          <w:color w:val="000000"/>
          <w:kern w:val="0"/>
          <w:sz w:val="24"/>
          <w:szCs w:val="21"/>
          <w:lang w:eastAsia="en-US"/>
        </w:rPr>
        <w:drawing>
          <wp:inline distT="0" distB="0" distL="0" distR="0" wp14:anchorId="44309530" wp14:editId="16D825B0">
            <wp:extent cx="5274310" cy="1536825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84C4F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bookmarkStart w:id="0" w:name="_Hlk151316091"/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Crude model: Non-adjusted</w:t>
      </w:r>
    </w:p>
    <w:p w14:paraId="5B443CCD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Model 1 adjusted for age, gender, race/ethnicity, education, marriage</w:t>
      </w:r>
    </w:p>
    <w:p w14:paraId="63DD76F6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Model 2: adjusted for model 1 plus smoking status, body mass index, DM, hypertension, CVD, TC, HDL, WBC, eGFR</w:t>
      </w:r>
    </w:p>
    <w:bookmarkEnd w:id="0"/>
    <w:p w14:paraId="4229AA30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b/>
          <w:color w:val="000000"/>
          <w:kern w:val="0"/>
          <w:sz w:val="24"/>
          <w:szCs w:val="21"/>
          <w:lang w:eastAsia="en-US"/>
        </w:rPr>
        <w:t xml:space="preserve">Table 4. 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CVD mortality according to serum 25(OH)D concentrations among participants with COPD from the NHANES (2007-2018).</w:t>
      </w:r>
    </w:p>
    <w:p w14:paraId="5372BFB7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noProof/>
          <w:color w:val="000000"/>
          <w:kern w:val="0"/>
          <w:sz w:val="24"/>
          <w:szCs w:val="21"/>
          <w:lang w:eastAsia="en-US"/>
        </w:rPr>
        <w:lastRenderedPageBreak/>
        <w:drawing>
          <wp:inline distT="0" distB="0" distL="0" distR="0" wp14:anchorId="7D2A7CD8" wp14:editId="6204553D">
            <wp:extent cx="5274310" cy="138430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A5DF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Crude model: Non-adjusted</w:t>
      </w:r>
    </w:p>
    <w:p w14:paraId="2FB54669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Model 1: adjusted for age, gender, race/ethnicity, education, marriage</w:t>
      </w:r>
    </w:p>
    <w:p w14:paraId="585B0149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Model 2: adjusted for model 1 plus smoking status, body mass index, DM, hypertension, CVD, TC, HDL, WBC, eGFR</w:t>
      </w:r>
    </w:p>
    <w:p w14:paraId="364D30E0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b/>
          <w:color w:val="000000"/>
          <w:kern w:val="0"/>
          <w:sz w:val="24"/>
          <w:szCs w:val="21"/>
          <w:lang w:eastAsia="en-US"/>
        </w:rPr>
        <w:t xml:space="preserve">Table 5. 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>Subgroup analyses of the associations between serum 25(OH)D concentrations and all-cause mortality among participants with COPD from the NHANES (2007-2018). The Cox proportional hazard model was used to estimate the HR of all-cause mortality according to DII.</w:t>
      </w:r>
    </w:p>
    <w:p w14:paraId="4A58D5AB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noProof/>
          <w:color w:val="000000"/>
          <w:kern w:val="0"/>
          <w:sz w:val="24"/>
          <w:szCs w:val="21"/>
          <w:lang w:eastAsia="en-US"/>
        </w:rPr>
        <w:drawing>
          <wp:inline distT="0" distB="0" distL="0" distR="0" wp14:anchorId="5B46FF38" wp14:editId="4DB9DD10">
            <wp:extent cx="5274310" cy="4602480"/>
            <wp:effectExtent l="0" t="0" r="254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0fc2941ed5512161ab2ab367656742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E839" w14:textId="77777777" w:rsidR="00CD6DCD" w:rsidRPr="00A519CC" w:rsidRDefault="00CD6DCD" w:rsidP="00CD6DCD">
      <w:pPr>
        <w:widowControl/>
        <w:spacing w:before="120" w:after="240"/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</w:pP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lastRenderedPageBreak/>
        <w:t>Adjusted for age, gender, race/ethnicity, education, marriage</w:t>
      </w:r>
      <w:r w:rsidRPr="00A519CC">
        <w:rPr>
          <w:rFonts w:ascii="Times New Roman" w:hAnsi="Times New Roman" w:cs="Times New Roman" w:hint="eastAsia"/>
          <w:color w:val="000000"/>
          <w:kern w:val="0"/>
          <w:sz w:val="24"/>
          <w:szCs w:val="21"/>
          <w:lang w:eastAsia="en-US"/>
        </w:rPr>
        <w:t>,</w:t>
      </w:r>
      <w:r w:rsidRPr="00A519CC">
        <w:rPr>
          <w:rFonts w:ascii="Times New Roman" w:hAnsi="Times New Roman" w:cs="Times New Roman"/>
          <w:color w:val="000000"/>
          <w:kern w:val="0"/>
          <w:sz w:val="24"/>
          <w:szCs w:val="21"/>
          <w:lang w:eastAsia="en-US"/>
        </w:rPr>
        <w:t xml:space="preserve"> smoking status, body mass index, DM, hypertension, CVD</w:t>
      </w:r>
    </w:p>
    <w:p w14:paraId="1C6CB233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CD"/>
    <w:rsid w:val="003F1652"/>
    <w:rsid w:val="00CD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57B33"/>
  <w15:chartTrackingRefBased/>
  <w15:docId w15:val="{9D7AA116-1808-440C-A5CE-2E536E71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DC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277</Words>
  <Characters>1581</Characters>
  <Application>Microsoft Office Word</Application>
  <DocSecurity>0</DocSecurity>
  <Lines>13</Lines>
  <Paragraphs>3</Paragraphs>
  <ScaleCrop>false</ScaleCrop>
  <Company>Springer Nature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2023-12-05T18:51:00Z</dcterms:created>
  <dcterms:modified xsi:type="dcterms:W3CDTF">2023-12-05T18:51:00Z</dcterms:modified>
</cp:coreProperties>
</file>