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426A3" w14:textId="7ED29222" w:rsidR="00DA59A2" w:rsidRPr="00945EDF" w:rsidRDefault="00DA59A2" w:rsidP="006F11CF">
      <w:pPr>
        <w:jc w:val="both"/>
        <w:rPr>
          <w:rFonts w:ascii="Arial" w:hAnsi="Arial" w:cs="Arial"/>
          <w:b/>
          <w:bCs/>
        </w:rPr>
      </w:pPr>
      <w:r w:rsidRPr="00945EDF">
        <w:rPr>
          <w:rFonts w:ascii="Arial" w:hAnsi="Arial" w:cs="Arial"/>
          <w:b/>
          <w:bCs/>
        </w:rPr>
        <w:t xml:space="preserve">Supplementary Figure </w:t>
      </w:r>
      <w:r w:rsidRPr="00945EDF">
        <w:rPr>
          <w:rFonts w:ascii="Arial" w:hAnsi="Arial" w:cs="Arial"/>
          <w:b/>
          <w:bCs/>
        </w:rPr>
        <w:t xml:space="preserve">1. </w:t>
      </w:r>
      <w:r w:rsidR="000633EF" w:rsidRPr="00945EDF">
        <w:rPr>
          <w:rFonts w:ascii="Arial" w:hAnsi="Arial" w:cs="Arial"/>
        </w:rPr>
        <w:t xml:space="preserve">Transfection of flavivirus </w:t>
      </w:r>
      <w:r w:rsidR="000633EF" w:rsidRPr="00945EDF">
        <w:rPr>
          <w:rFonts w:ascii="Arial" w:hAnsi="Arial" w:cs="Arial"/>
        </w:rPr>
        <w:t>fluorescent mCherry-tagged</w:t>
      </w:r>
      <w:r w:rsidR="000633EF" w:rsidRPr="00945EDF">
        <w:rPr>
          <w:rFonts w:ascii="Arial" w:hAnsi="Arial" w:cs="Arial"/>
        </w:rPr>
        <w:t xml:space="preserve"> NS1 in</w:t>
      </w:r>
      <w:r w:rsidR="000633EF" w:rsidRPr="00945EDF">
        <w:rPr>
          <w:rFonts w:ascii="Arial" w:hAnsi="Arial" w:cs="Arial"/>
          <w:b/>
          <w:bCs/>
        </w:rPr>
        <w:t xml:space="preserve"> </w:t>
      </w:r>
      <w:r w:rsidR="000633EF" w:rsidRPr="00945EDF">
        <w:rPr>
          <w:rFonts w:ascii="Arial" w:hAnsi="Arial" w:cs="Arial"/>
        </w:rPr>
        <w:t>m</w:t>
      </w:r>
      <w:r w:rsidR="000633EF" w:rsidRPr="00945EDF">
        <w:rPr>
          <w:rFonts w:ascii="Arial" w:hAnsi="Arial" w:cs="Arial"/>
        </w:rPr>
        <w:t>ultiple mammalian cell lines</w:t>
      </w:r>
      <w:r w:rsidR="000633EF" w:rsidRPr="00945EDF">
        <w:rPr>
          <w:rFonts w:ascii="Arial" w:hAnsi="Arial" w:cs="Arial"/>
        </w:rPr>
        <w:t xml:space="preserve"> shows that </w:t>
      </w:r>
      <w:r w:rsidR="000633EF" w:rsidRPr="00945EDF">
        <w:rPr>
          <w:rFonts w:ascii="Arial" w:hAnsi="Arial" w:cs="Arial"/>
        </w:rPr>
        <w:t xml:space="preserve">ZIKA virus (ZIKV) </w:t>
      </w:r>
      <w:r w:rsidR="000633EF" w:rsidRPr="00945EDF">
        <w:rPr>
          <w:rFonts w:ascii="Arial" w:hAnsi="Arial" w:cs="Arial"/>
        </w:rPr>
        <w:t>has unique ability to</w:t>
      </w:r>
      <w:r w:rsidR="000633EF" w:rsidRPr="00945EDF">
        <w:rPr>
          <w:rFonts w:ascii="Arial" w:hAnsi="Arial" w:cs="Arial"/>
        </w:rPr>
        <w:t xml:space="preserve"> induce TNT formation</w:t>
      </w:r>
      <w:r w:rsidR="000633EF" w:rsidRPr="00945EDF">
        <w:rPr>
          <w:rFonts w:ascii="Arial" w:hAnsi="Arial" w:cs="Arial"/>
        </w:rPr>
        <w:t xml:space="preserve"> compared to </w:t>
      </w:r>
      <w:r w:rsidR="000633EF" w:rsidRPr="00945EDF">
        <w:rPr>
          <w:rFonts w:ascii="Arial" w:hAnsi="Arial" w:cs="Arial"/>
        </w:rPr>
        <w:t>West Nile virus (WNV)</w:t>
      </w:r>
      <w:r w:rsidR="000633EF" w:rsidRPr="00945EDF">
        <w:rPr>
          <w:rFonts w:ascii="Arial" w:hAnsi="Arial" w:cs="Arial"/>
        </w:rPr>
        <w:t xml:space="preserve">, </w:t>
      </w:r>
      <w:r w:rsidRPr="00945EDF">
        <w:rPr>
          <w:rFonts w:ascii="Arial" w:hAnsi="Arial" w:cs="Arial"/>
        </w:rPr>
        <w:t>dengue virus (DENV)</w:t>
      </w:r>
      <w:r w:rsidR="000633EF" w:rsidRPr="00945EDF">
        <w:rPr>
          <w:rFonts w:ascii="Arial" w:hAnsi="Arial" w:cs="Arial"/>
        </w:rPr>
        <w:t xml:space="preserve"> and</w:t>
      </w:r>
      <w:r w:rsidRPr="00945EDF">
        <w:rPr>
          <w:rFonts w:ascii="Arial" w:hAnsi="Arial" w:cs="Arial"/>
        </w:rPr>
        <w:t xml:space="preserve"> deer tick virus (DTV)</w:t>
      </w:r>
      <w:r w:rsidR="000633EF" w:rsidRPr="00945EDF">
        <w:rPr>
          <w:rFonts w:ascii="Arial" w:hAnsi="Arial" w:cs="Arial"/>
        </w:rPr>
        <w:t xml:space="preserve">. </w:t>
      </w:r>
      <w:r w:rsidR="000633EF" w:rsidRPr="00945EDF">
        <w:rPr>
          <w:rFonts w:ascii="Arial" w:hAnsi="Arial" w:cs="Arial"/>
        </w:rPr>
        <w:t>As detailed in the methods section, using confocal microscopy, TNTs were qualitatively assessed after 24 hours post-transfection. For quantitative assessment of TNT counting and measurement, refer to Figure 2.</w:t>
      </w:r>
    </w:p>
    <w:p w14:paraId="44C5AB20" w14:textId="534B277C" w:rsidR="00D5299C" w:rsidRPr="00945EDF" w:rsidRDefault="008E44D9" w:rsidP="006F11CF">
      <w:pPr>
        <w:jc w:val="both"/>
        <w:rPr>
          <w:rFonts w:ascii="Arial" w:hAnsi="Arial" w:cs="Arial"/>
        </w:rPr>
      </w:pPr>
      <w:r w:rsidRPr="00945EDF">
        <w:rPr>
          <w:rFonts w:ascii="Arial" w:hAnsi="Arial" w:cs="Arial"/>
          <w:b/>
          <w:bCs/>
        </w:rPr>
        <w:t xml:space="preserve">Supplementary Figure </w:t>
      </w:r>
      <w:r w:rsidR="00DA59A2" w:rsidRPr="00945EDF">
        <w:rPr>
          <w:rFonts w:ascii="Arial" w:hAnsi="Arial" w:cs="Arial"/>
          <w:b/>
          <w:bCs/>
        </w:rPr>
        <w:t>2</w:t>
      </w:r>
      <w:r w:rsidRPr="00945EDF">
        <w:rPr>
          <w:rFonts w:ascii="Arial" w:hAnsi="Arial" w:cs="Arial"/>
          <w:b/>
          <w:bCs/>
        </w:rPr>
        <w:t>.</w:t>
      </w:r>
      <w:r w:rsidRPr="00945EDF">
        <w:rPr>
          <w:rFonts w:ascii="Arial" w:hAnsi="Arial" w:cs="Arial"/>
        </w:rPr>
        <w:t xml:space="preserve"> Yellow fever virus (YFV) and dengue virus (DENV) infection of HTR-8 </w:t>
      </w:r>
      <w:r w:rsidR="00423191" w:rsidRPr="00945EDF">
        <w:rPr>
          <w:rFonts w:ascii="Arial" w:hAnsi="Arial" w:cs="Arial"/>
        </w:rPr>
        <w:t>do</w:t>
      </w:r>
      <w:r w:rsidRPr="00945EDF">
        <w:rPr>
          <w:rFonts w:ascii="Arial" w:hAnsi="Arial" w:cs="Arial"/>
        </w:rPr>
        <w:t xml:space="preserve"> not induce TNT formation, MOI=0.1. </w:t>
      </w:r>
      <w:r w:rsidRPr="00945EDF">
        <w:rPr>
          <w:rFonts w:ascii="Arial" w:hAnsi="Arial" w:cs="Arial"/>
        </w:rPr>
        <w:t>Nuclei in blue are stained with Hoechst 33342</w:t>
      </w:r>
      <w:r w:rsidR="00423191" w:rsidRPr="00945EDF">
        <w:rPr>
          <w:rFonts w:ascii="Arial" w:hAnsi="Arial" w:cs="Arial"/>
        </w:rPr>
        <w:t>,</w:t>
      </w:r>
      <w:r w:rsidRPr="00945EDF">
        <w:rPr>
          <w:rFonts w:ascii="Arial" w:hAnsi="Arial" w:cs="Arial"/>
        </w:rPr>
        <w:t xml:space="preserve"> and</w:t>
      </w:r>
      <w:r w:rsidRPr="00945EDF">
        <w:rPr>
          <w:rFonts w:ascii="Arial" w:hAnsi="Arial" w:cs="Arial"/>
        </w:rPr>
        <w:t xml:space="preserve"> actin in gray</w:t>
      </w:r>
      <w:r w:rsidRPr="00945EDF">
        <w:rPr>
          <w:rFonts w:ascii="Arial" w:hAnsi="Arial" w:cs="Arial"/>
        </w:rPr>
        <w:t xml:space="preserve"> (pseudo color)</w:t>
      </w:r>
      <w:r w:rsidRPr="00945EDF">
        <w:rPr>
          <w:rFonts w:ascii="Arial" w:hAnsi="Arial" w:cs="Arial"/>
        </w:rPr>
        <w:t xml:space="preserve"> stained with</w:t>
      </w:r>
      <w:r w:rsidRPr="00945EDF">
        <w:rPr>
          <w:rFonts w:ascii="Arial" w:hAnsi="Arial" w:cs="Arial"/>
        </w:rPr>
        <w:t xml:space="preserve"> </w:t>
      </w:r>
      <w:r w:rsidRPr="00945EDF">
        <w:rPr>
          <w:rFonts w:ascii="Arial" w:hAnsi="Arial" w:cs="Arial"/>
        </w:rPr>
        <w:t>Alexa Fluor™ 555</w:t>
      </w:r>
      <w:r w:rsidRPr="00945EDF">
        <w:rPr>
          <w:rFonts w:ascii="Arial" w:hAnsi="Arial" w:cs="Arial"/>
        </w:rPr>
        <w:t xml:space="preserve"> phalloidin</w:t>
      </w:r>
      <w:r w:rsidRPr="00945EDF">
        <w:rPr>
          <w:rFonts w:ascii="Arial" w:hAnsi="Arial" w:cs="Arial"/>
        </w:rPr>
        <w:t>. Images were acquired by confocal microscopy at 60X oil objectives lens at 1.4 normal aperture (NA) using a Nikon A1R-MP. Images were processed using the NIS Elements software (Nikon). Bar= 25 μm.</w:t>
      </w:r>
    </w:p>
    <w:p w14:paraId="0E8A9440" w14:textId="2085E1F3" w:rsidR="00637972" w:rsidRPr="00945EDF" w:rsidRDefault="008E44D9" w:rsidP="006F11CF">
      <w:pPr>
        <w:jc w:val="both"/>
        <w:rPr>
          <w:rFonts w:ascii="Arial" w:hAnsi="Arial" w:cs="Arial"/>
        </w:rPr>
      </w:pPr>
      <w:r w:rsidRPr="00945EDF">
        <w:rPr>
          <w:rFonts w:ascii="Arial" w:hAnsi="Arial" w:cs="Arial"/>
          <w:b/>
          <w:bCs/>
        </w:rPr>
        <w:t xml:space="preserve">Supplementary Figure </w:t>
      </w:r>
      <w:r w:rsidR="00DA59A2" w:rsidRPr="00945EDF">
        <w:rPr>
          <w:rFonts w:ascii="Arial" w:hAnsi="Arial" w:cs="Arial"/>
          <w:b/>
          <w:bCs/>
        </w:rPr>
        <w:t>3</w:t>
      </w:r>
      <w:r w:rsidRPr="00945EDF">
        <w:rPr>
          <w:rFonts w:ascii="Arial" w:hAnsi="Arial" w:cs="Arial"/>
          <w:b/>
          <w:bCs/>
        </w:rPr>
        <w:t xml:space="preserve">. </w:t>
      </w:r>
      <w:r w:rsidRPr="00945EDF">
        <w:rPr>
          <w:rFonts w:ascii="Arial" w:hAnsi="Arial" w:cs="Arial"/>
        </w:rPr>
        <w:t xml:space="preserve">Gating strategy of flow cytometry experiments for quantification of mitochondria transfer in co-cultures. Cells were initially gated using SSC-A </w:t>
      </w:r>
      <w:r w:rsidRPr="00945EDF">
        <w:rPr>
          <w:rFonts w:ascii="Arial" w:hAnsi="Arial" w:cs="Arial"/>
          <w:i/>
          <w:iCs/>
        </w:rPr>
        <w:t>vs</w:t>
      </w:r>
      <w:r w:rsidRPr="00945EDF">
        <w:rPr>
          <w:rFonts w:ascii="Arial" w:hAnsi="Arial" w:cs="Arial"/>
        </w:rPr>
        <w:t>. FSC-A, followed by single</w:t>
      </w:r>
      <w:r w:rsidR="00423191" w:rsidRPr="00945EDF">
        <w:rPr>
          <w:rFonts w:ascii="Arial" w:hAnsi="Arial" w:cs="Arial"/>
        </w:rPr>
        <w:t>-</w:t>
      </w:r>
      <w:r w:rsidRPr="00945EDF">
        <w:rPr>
          <w:rFonts w:ascii="Arial" w:hAnsi="Arial" w:cs="Arial"/>
        </w:rPr>
        <w:t xml:space="preserve">cell gates using FSC-H </w:t>
      </w:r>
      <w:r w:rsidRPr="00945EDF">
        <w:rPr>
          <w:rFonts w:ascii="Arial" w:hAnsi="Arial" w:cs="Arial"/>
          <w:i/>
          <w:iCs/>
        </w:rPr>
        <w:t>vs</w:t>
      </w:r>
      <w:r w:rsidRPr="00945EDF">
        <w:rPr>
          <w:rFonts w:ascii="Arial" w:hAnsi="Arial" w:cs="Arial"/>
        </w:rPr>
        <w:t xml:space="preserve">. FSC-A and SSC-H </w:t>
      </w:r>
      <w:r w:rsidRPr="00945EDF">
        <w:rPr>
          <w:rFonts w:ascii="Arial" w:hAnsi="Arial" w:cs="Arial"/>
          <w:i/>
          <w:iCs/>
        </w:rPr>
        <w:t>vs</w:t>
      </w:r>
      <w:r w:rsidRPr="00945EDF">
        <w:rPr>
          <w:rFonts w:ascii="Arial" w:hAnsi="Arial" w:cs="Arial"/>
        </w:rPr>
        <w:t>. SSC-W. Dead cells were excluded by</w:t>
      </w:r>
      <w:r w:rsidR="00637972" w:rsidRPr="00945EDF">
        <w:rPr>
          <w:rFonts w:ascii="Arial" w:hAnsi="Arial" w:cs="Arial"/>
        </w:rPr>
        <w:t xml:space="preserve"> </w:t>
      </w:r>
      <w:r w:rsidR="00637972" w:rsidRPr="00945EDF">
        <w:rPr>
          <w:rFonts w:ascii="Arial" w:hAnsi="Arial" w:cs="Arial"/>
        </w:rPr>
        <w:t xml:space="preserve">LIVE/DEAD </w:t>
      </w:r>
      <w:r w:rsidR="00637972" w:rsidRPr="00945EDF">
        <w:rPr>
          <w:rFonts w:ascii="Arial" w:hAnsi="Arial" w:cs="Arial"/>
        </w:rPr>
        <w:t>f</w:t>
      </w:r>
      <w:r w:rsidR="00637972" w:rsidRPr="00945EDF">
        <w:rPr>
          <w:rFonts w:ascii="Arial" w:hAnsi="Arial" w:cs="Arial"/>
        </w:rPr>
        <w:t>ixable viability dye</w:t>
      </w:r>
      <w:r w:rsidRPr="00945EDF">
        <w:rPr>
          <w:rFonts w:ascii="Arial" w:hAnsi="Arial" w:cs="Arial"/>
        </w:rPr>
        <w:t xml:space="preserve"> gating on </w:t>
      </w:r>
      <w:r w:rsidR="00637972" w:rsidRPr="00945EDF">
        <w:rPr>
          <w:rFonts w:ascii="Arial" w:hAnsi="Arial" w:cs="Arial"/>
        </w:rPr>
        <w:t xml:space="preserve">live cells (R780 channel). Live cells were gated on </w:t>
      </w:r>
      <w:r w:rsidR="00423191" w:rsidRPr="00945EDF">
        <w:rPr>
          <w:rFonts w:ascii="Arial" w:hAnsi="Arial" w:cs="Arial"/>
        </w:rPr>
        <w:t>C</w:t>
      </w:r>
      <w:r w:rsidR="00637972" w:rsidRPr="00945EDF">
        <w:rPr>
          <w:rFonts w:ascii="Arial" w:hAnsi="Arial" w:cs="Arial"/>
        </w:rPr>
        <w:t>elltrace</w:t>
      </w:r>
      <w:r w:rsidR="00423191" w:rsidRPr="00945EDF">
        <w:rPr>
          <w:rFonts w:ascii="Arial" w:hAnsi="Arial" w:cs="Arial"/>
        </w:rPr>
        <w:t xml:space="preserve"> violet</w:t>
      </w:r>
      <w:r w:rsidR="00637972" w:rsidRPr="00945EDF">
        <w:rPr>
          <w:rFonts w:ascii="Arial" w:hAnsi="Arial" w:cs="Arial"/>
        </w:rPr>
        <w:t xml:space="preserve"> (V-450) positive (donor untransfected cells) and negative (acceptor transfected cells) populations. Quantification of mitochondria transfer was performed on acceptor cells by counting the frequency of double</w:t>
      </w:r>
      <w:r w:rsidR="00423191" w:rsidRPr="00945EDF">
        <w:rPr>
          <w:rFonts w:ascii="Arial" w:hAnsi="Arial" w:cs="Arial"/>
        </w:rPr>
        <w:t>-</w:t>
      </w:r>
      <w:r w:rsidR="00637972" w:rsidRPr="00945EDF">
        <w:rPr>
          <w:rFonts w:ascii="Arial" w:hAnsi="Arial" w:cs="Arial"/>
        </w:rPr>
        <w:t xml:space="preserve">positive cells (B-525 (mitotracker green) </w:t>
      </w:r>
      <w:r w:rsidR="00637972" w:rsidRPr="00945EDF">
        <w:rPr>
          <w:rFonts w:ascii="Arial" w:hAnsi="Arial" w:cs="Arial"/>
          <w:i/>
          <w:iCs/>
        </w:rPr>
        <w:t>vs</w:t>
      </w:r>
      <w:r w:rsidR="00637972" w:rsidRPr="00945EDF">
        <w:rPr>
          <w:rFonts w:ascii="Arial" w:hAnsi="Arial" w:cs="Arial"/>
        </w:rPr>
        <w:t xml:space="preserve">. YG610 (NS1-mCherry). A </w:t>
      </w:r>
      <w:r w:rsidR="00C0557E" w:rsidRPr="00945EDF">
        <w:rPr>
          <w:rFonts w:ascii="Arial" w:hAnsi="Arial" w:cs="Arial"/>
        </w:rPr>
        <w:t xml:space="preserve">total </w:t>
      </w:r>
      <w:r w:rsidR="00637972" w:rsidRPr="00945EDF">
        <w:rPr>
          <w:rFonts w:ascii="Arial" w:hAnsi="Arial" w:cs="Arial"/>
        </w:rPr>
        <w:t>of 30,000 live cells were collected</w:t>
      </w:r>
      <w:r w:rsidR="006F11CF" w:rsidRPr="00945EDF">
        <w:rPr>
          <w:rFonts w:ascii="Arial" w:hAnsi="Arial" w:cs="Arial"/>
        </w:rPr>
        <w:t xml:space="preserve">. Data is represented as </w:t>
      </w:r>
      <w:r w:rsidR="00423191" w:rsidRPr="00945EDF">
        <w:rPr>
          <w:rFonts w:ascii="Arial" w:hAnsi="Arial" w:cs="Arial"/>
        </w:rPr>
        <w:t xml:space="preserve">the </w:t>
      </w:r>
      <w:r w:rsidR="006F11CF" w:rsidRPr="00945EDF">
        <w:rPr>
          <w:rFonts w:ascii="Arial" w:hAnsi="Arial" w:cs="Arial"/>
        </w:rPr>
        <w:t xml:space="preserve">frequency of </w:t>
      </w:r>
      <w:r w:rsidR="00423191" w:rsidRPr="00945EDF">
        <w:rPr>
          <w:rFonts w:ascii="Arial" w:hAnsi="Arial" w:cs="Arial"/>
        </w:rPr>
        <w:t xml:space="preserve">the </w:t>
      </w:r>
      <w:r w:rsidR="006F11CF" w:rsidRPr="00945EDF">
        <w:rPr>
          <w:rFonts w:ascii="Arial" w:hAnsi="Arial" w:cs="Arial"/>
        </w:rPr>
        <w:t>total number of acceptor cells.</w:t>
      </w:r>
      <w:r w:rsidR="00637972" w:rsidRPr="00945EDF">
        <w:rPr>
          <w:rFonts w:ascii="Arial" w:hAnsi="Arial" w:cs="Arial"/>
        </w:rPr>
        <w:t xml:space="preserve"> Compensation was performed </w:t>
      </w:r>
      <w:r w:rsidR="00423191" w:rsidRPr="00945EDF">
        <w:rPr>
          <w:rFonts w:ascii="Arial" w:hAnsi="Arial" w:cs="Arial"/>
        </w:rPr>
        <w:t>using</w:t>
      </w:r>
      <w:r w:rsidR="00637972" w:rsidRPr="00945EDF">
        <w:rPr>
          <w:rFonts w:ascii="Arial" w:hAnsi="Arial" w:cs="Arial"/>
        </w:rPr>
        <w:t xml:space="preserve"> single staining controls (unstained, mitotracker green) and compensation beads ((mCherry (</w:t>
      </w:r>
      <w:r w:rsidR="00637972" w:rsidRPr="00945EDF">
        <w:rPr>
          <w:rFonts w:ascii="Arial" w:hAnsi="Arial" w:cs="Arial"/>
        </w:rPr>
        <w:t>mCherry BrightComp eBeads™</w:t>
      </w:r>
      <w:r w:rsidR="00637972" w:rsidRPr="00945EDF">
        <w:rPr>
          <w:rFonts w:ascii="Arial" w:hAnsi="Arial" w:cs="Arial"/>
        </w:rPr>
        <w:t xml:space="preserve">, Invitrogen, </w:t>
      </w:r>
      <w:r w:rsidR="00637972" w:rsidRPr="00945EDF">
        <w:rPr>
          <w:rFonts w:ascii="Arial" w:hAnsi="Arial" w:cs="Arial"/>
        </w:rPr>
        <w:t>A54743</w:t>
      </w:r>
      <w:r w:rsidR="00637972" w:rsidRPr="00945EDF">
        <w:rPr>
          <w:rFonts w:ascii="Arial" w:hAnsi="Arial" w:cs="Arial"/>
        </w:rPr>
        <w:t xml:space="preserve">) and </w:t>
      </w:r>
      <w:r w:rsidR="006F11CF" w:rsidRPr="00945EDF">
        <w:rPr>
          <w:rFonts w:ascii="Arial" w:hAnsi="Arial" w:cs="Arial"/>
        </w:rPr>
        <w:t>R780 (</w:t>
      </w:r>
      <w:r w:rsidR="006F11CF" w:rsidRPr="00945EDF">
        <w:rPr>
          <w:rFonts w:ascii="Arial" w:hAnsi="Arial" w:cs="Arial"/>
        </w:rPr>
        <w:t>ArC™ Amine Reactive Compensation Bead Kit</w:t>
      </w:r>
      <w:r w:rsidR="006F11CF" w:rsidRPr="00945EDF">
        <w:rPr>
          <w:rFonts w:ascii="Arial" w:hAnsi="Arial" w:cs="Arial"/>
        </w:rPr>
        <w:t xml:space="preserve"> for Live/dead, Invitrogen, </w:t>
      </w:r>
      <w:r w:rsidR="006F11CF" w:rsidRPr="00945EDF">
        <w:rPr>
          <w:rFonts w:ascii="Arial" w:hAnsi="Arial" w:cs="Arial"/>
        </w:rPr>
        <w:t>A10346</w:t>
      </w:r>
      <w:r w:rsidR="006F11CF" w:rsidRPr="00945EDF">
        <w:rPr>
          <w:rFonts w:ascii="Arial" w:hAnsi="Arial" w:cs="Arial"/>
        </w:rPr>
        <w:t xml:space="preserve">). Gating was set based on FMOs (fluorescent minus one) controls. </w:t>
      </w:r>
    </w:p>
    <w:p w14:paraId="13D65D6F" w14:textId="05CBF6AD" w:rsidR="008E44D9" w:rsidRPr="00945EDF" w:rsidRDefault="008E44D9">
      <w:pPr>
        <w:rPr>
          <w:rFonts w:ascii="Arial" w:hAnsi="Arial" w:cs="Arial"/>
        </w:rPr>
      </w:pPr>
    </w:p>
    <w:sectPr w:rsidR="008E44D9" w:rsidRPr="00945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FE8"/>
    <w:rsid w:val="000633EF"/>
    <w:rsid w:val="00191BF1"/>
    <w:rsid w:val="00410FE8"/>
    <w:rsid w:val="00423191"/>
    <w:rsid w:val="0058640B"/>
    <w:rsid w:val="00637972"/>
    <w:rsid w:val="006F11CF"/>
    <w:rsid w:val="00736C43"/>
    <w:rsid w:val="008E44D9"/>
    <w:rsid w:val="00945EDF"/>
    <w:rsid w:val="00C0557E"/>
    <w:rsid w:val="00C74133"/>
    <w:rsid w:val="00D5299C"/>
    <w:rsid w:val="00DA59A2"/>
    <w:rsid w:val="00F1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96657"/>
  <w15:chartTrackingRefBased/>
  <w15:docId w15:val="{1F6FD581-5760-49B8-830B-2F4169272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Tomoya Michita, Rafael</dc:creator>
  <cp:keywords/>
  <dc:description/>
  <cp:lastModifiedBy>Tomoya Michita, Rafael</cp:lastModifiedBy>
  <cp:revision>9</cp:revision>
  <dcterms:created xsi:type="dcterms:W3CDTF">2023-10-18T23:56:00Z</dcterms:created>
  <dcterms:modified xsi:type="dcterms:W3CDTF">2023-10-19T00:44:00Z</dcterms:modified>
</cp:coreProperties>
</file>