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before="120" w:after="240"/>
        <w:jc w:val="center"/>
        <w:rPr>
          <w:sz w:val="32"/>
          <w:szCs w:val="32"/>
        </w:rPr>
      </w:pPr>
      <w:r>
        <w:rPr>
          <w:rFonts w:cs="Calibri" w:ascii="FreeSerif" w:hAnsi="FreeSerif" w:cstheme="minorHAnsi"/>
          <w:b/>
          <w:bCs/>
          <w:sz w:val="32"/>
          <w:szCs w:val="32"/>
        </w:rPr>
        <w:t xml:space="preserve">SUPPLEMENTARY </w:t>
      </w:r>
      <w:r>
        <w:rPr>
          <w:rFonts w:cs="Calibri" w:ascii="FreeSerif" w:hAnsi="FreeSerif" w:cstheme="minorHAnsi"/>
          <w:b/>
          <w:bCs/>
          <w:sz w:val="32"/>
          <w:szCs w:val="32"/>
        </w:rPr>
        <w:t>METHODS</w:t>
      </w:r>
    </w:p>
    <w:p>
      <w:pPr>
        <w:pStyle w:val="Normal"/>
        <w:spacing w:lineRule="auto" w:line="480" w:before="120" w:after="240"/>
        <w:jc w:val="center"/>
        <w:rPr>
          <w:rFonts w:ascii="FreeSerif" w:hAnsi="FreeSerif"/>
          <w:sz w:val="24"/>
          <w:szCs w:val="24"/>
        </w:rPr>
      </w:pPr>
      <w:r>
        <w:rPr>
          <w:rFonts w:cs="Calibri" w:ascii="FreeSerif" w:hAnsi="FreeSerif" w:cstheme="minorHAnsi"/>
          <w:b/>
          <w:bCs/>
          <w:sz w:val="24"/>
          <w:szCs w:val="24"/>
        </w:rPr>
        <w:t>Backcrossing Modulates the Metabolic Profiles of Anthocyanin-Pigmented "Vitamaize" Lines Derived from CIMMYT Elite Maize Lines</w:t>
      </w:r>
    </w:p>
    <w:p>
      <w:pPr>
        <w:pStyle w:val="Normal"/>
        <w:spacing w:lineRule="auto" w:line="480" w:before="120" w:after="120"/>
        <w:rPr>
          <w:rFonts w:ascii="FreeSerif" w:hAnsi="FreeSerif"/>
          <w:sz w:val="24"/>
          <w:szCs w:val="24"/>
          <w:lang w:val="es-MX"/>
        </w:rPr>
      </w:pPr>
      <w:r>
        <w:rPr>
          <w:rFonts w:cs="Calibri" w:ascii="FreeSerif" w:hAnsi="FreeSerif" w:cstheme="minorHAnsi"/>
          <w:sz w:val="24"/>
          <w:szCs w:val="24"/>
          <w:lang w:val="es-ES"/>
        </w:rPr>
        <w:t>Héctor Arturo Peniche-Pavía</w:t>
      </w:r>
      <w:r>
        <w:rPr>
          <w:rFonts w:cs="Calibri" w:ascii="FreeSerif" w:hAnsi="FreeSerif" w:cstheme="minorHAnsi"/>
          <w:sz w:val="24"/>
          <w:szCs w:val="24"/>
          <w:vertAlign w:val="superscript"/>
          <w:lang w:val="es-ES"/>
        </w:rPr>
        <w:t>1</w:t>
      </w:r>
      <w:r>
        <w:rPr>
          <w:rFonts w:cs="Calibri" w:ascii="FreeSerif" w:hAnsi="FreeSerif" w:cstheme="minorHAnsi"/>
          <w:sz w:val="24"/>
          <w:szCs w:val="24"/>
          <w:lang w:val="es-ES"/>
        </w:rPr>
        <w:t>, Tzitziki González-Rodríguez</w:t>
      </w:r>
      <w:r>
        <w:rPr>
          <w:rFonts w:cs="Calibri" w:ascii="FreeSerif" w:hAnsi="FreeSerif" w:cstheme="minorHAnsi"/>
          <w:sz w:val="24"/>
          <w:szCs w:val="24"/>
          <w:vertAlign w:val="superscript"/>
          <w:lang w:val="es-ES"/>
        </w:rPr>
        <w:t>1,2</w:t>
      </w:r>
      <w:r>
        <w:rPr>
          <w:rFonts w:cs="Calibri" w:ascii="FreeSerif" w:hAnsi="FreeSerif" w:cstheme="minorHAnsi"/>
          <w:sz w:val="24"/>
          <w:szCs w:val="24"/>
          <w:lang w:val="es-ES"/>
        </w:rPr>
        <w:t>, Axel Tiessen</w:t>
      </w:r>
      <w:r>
        <w:rPr>
          <w:rFonts w:cs="Calibri" w:ascii="FreeSerif" w:hAnsi="FreeSerif" w:cstheme="minorHAnsi"/>
          <w:sz w:val="24"/>
          <w:szCs w:val="24"/>
          <w:vertAlign w:val="superscript"/>
          <w:lang w:val="es-ES"/>
        </w:rPr>
        <w:t>1,</w:t>
      </w:r>
      <w:r>
        <w:rPr>
          <w:rFonts w:eastAsia="rsfs10" w:cs="Calibri" w:ascii="FreeSerif" w:hAnsi="FreeSerif" w:cstheme="minorHAnsi"/>
          <w:sz w:val="24"/>
          <w:szCs w:val="24"/>
          <w:vertAlign w:val="superscript"/>
          <w:lang w:val="es-MX"/>
        </w:rPr>
        <w:t>†</w:t>
      </w:r>
      <w:r>
        <w:rPr>
          <w:rFonts w:cs="Calibri" w:ascii="FreeSerif" w:hAnsi="FreeSerif" w:cstheme="minorHAnsi"/>
          <w:sz w:val="24"/>
          <w:szCs w:val="24"/>
          <w:lang w:val="es-ES"/>
        </w:rPr>
        <w:t>, Silvero García-Lara</w:t>
      </w:r>
      <w:r>
        <w:rPr>
          <w:rFonts w:cs="Calibri" w:ascii="FreeSerif" w:hAnsi="FreeSerif" w:cstheme="minorHAnsi"/>
          <w:sz w:val="24"/>
          <w:szCs w:val="24"/>
          <w:vertAlign w:val="superscript"/>
          <w:lang w:val="es-ES"/>
        </w:rPr>
        <w:t>2</w:t>
      </w:r>
      <w:r>
        <w:rPr>
          <w:rFonts w:cs="Calibri" w:ascii="FreeSerif" w:hAnsi="FreeSerif" w:cstheme="minorHAnsi"/>
          <w:sz w:val="24"/>
          <w:szCs w:val="24"/>
          <w:lang w:val="es-ES"/>
        </w:rPr>
        <w:t xml:space="preserve"> and Robert Winkler</w:t>
      </w:r>
      <w:r>
        <w:rPr>
          <w:rFonts w:cs="Calibri" w:ascii="FreeSerif" w:hAnsi="FreeSerif" w:cstheme="minorHAnsi"/>
          <w:sz w:val="24"/>
          <w:szCs w:val="24"/>
          <w:vertAlign w:val="superscript"/>
          <w:lang w:val="es-ES"/>
        </w:rPr>
        <w:t>1,*</w:t>
      </w:r>
    </w:p>
    <w:p>
      <w:pPr>
        <w:pStyle w:val="Normal"/>
        <w:spacing w:lineRule="auto" w:line="480" w:before="0" w:after="0"/>
        <w:ind w:left="144" w:right="144"/>
        <w:rPr>
          <w:rFonts w:ascii="FreeSerif" w:hAnsi="FreeSerif"/>
          <w:sz w:val="24"/>
          <w:szCs w:val="24"/>
        </w:rPr>
      </w:pPr>
      <w:r>
        <w:rPr>
          <w:rFonts w:cs="Calibri" w:ascii="FreeSerif" w:hAnsi="FreeSerif" w:cstheme="minorHAnsi"/>
          <w:sz w:val="24"/>
          <w:szCs w:val="24"/>
          <w:vertAlign w:val="superscript"/>
          <w:lang w:val="es-ES"/>
        </w:rPr>
        <w:t>1</w:t>
      </w:r>
      <w:r>
        <w:rPr>
          <w:rFonts w:cs="Calibri" w:ascii="FreeSerif" w:hAnsi="FreeSerif" w:cstheme="minorHAnsi"/>
          <w:sz w:val="24"/>
          <w:szCs w:val="24"/>
          <w:lang w:val="es-ES"/>
        </w:rPr>
        <w:t xml:space="preserve">CINVESTAV Unidad Irapuato and UGA-Langebio Irapuato, Km. 9.6 Libramiento Norte Carr. </w:t>
      </w:r>
      <w:r>
        <w:rPr>
          <w:rFonts w:cs="Calibri" w:ascii="FreeSerif" w:hAnsi="FreeSerif" w:cstheme="minorHAnsi"/>
          <w:sz w:val="24"/>
          <w:szCs w:val="24"/>
        </w:rPr>
        <w:t>Irapuato-León, 36824 Irapuato, Gto., México.</w:t>
      </w:r>
    </w:p>
    <w:p>
      <w:pPr>
        <w:pStyle w:val="Normal"/>
        <w:spacing w:lineRule="auto" w:line="480" w:before="0" w:after="0"/>
        <w:ind w:left="144" w:right="144"/>
        <w:rPr>
          <w:rFonts w:ascii="FreeSerif" w:hAnsi="FreeSerif"/>
          <w:sz w:val="24"/>
          <w:szCs w:val="24"/>
        </w:rPr>
      </w:pPr>
      <w:r>
        <w:rPr>
          <w:rFonts w:cs="Calibri" w:ascii="FreeSerif" w:hAnsi="FreeSerif" w:cstheme="minorHAnsi"/>
          <w:sz w:val="24"/>
          <w:szCs w:val="24"/>
          <w:vertAlign w:val="superscript"/>
        </w:rPr>
        <w:t>2</w:t>
      </w:r>
      <w:r>
        <w:rPr>
          <w:rFonts w:cs="Calibri" w:ascii="FreeSerif" w:hAnsi="FreeSerif" w:cstheme="minorHAnsi"/>
          <w:sz w:val="24"/>
          <w:szCs w:val="24"/>
        </w:rPr>
        <w:t>Tecnológico de Monterrey, School of Engineering and Sciences, EIC, Ave. Eugenio Garza Sada 2501, Monterrey 64849, Mexico</w:t>
      </w:r>
    </w:p>
    <w:p>
      <w:pPr>
        <w:pStyle w:val="Normal"/>
        <w:spacing w:lineRule="auto" w:line="480" w:before="0" w:after="0"/>
        <w:ind w:right="144"/>
        <w:rPr>
          <w:rFonts w:ascii="FreeSerif" w:hAnsi="FreeSerif" w:cs="Calibri" w:cstheme="minorHAnsi"/>
          <w:sz w:val="24"/>
          <w:szCs w:val="24"/>
        </w:rPr>
      </w:pPr>
      <w:r>
        <w:rPr>
          <w:rFonts w:cs="Calibri" w:cstheme="minorHAnsi" w:ascii="FreeSerif" w:hAnsi="FreeSerif"/>
          <w:sz w:val="24"/>
          <w:szCs w:val="24"/>
        </w:rPr>
      </w:r>
    </w:p>
    <w:p>
      <w:pPr>
        <w:pStyle w:val="Normal"/>
        <w:spacing w:lineRule="auto" w:line="480" w:before="60" w:after="60"/>
        <w:rPr>
          <w:rFonts w:ascii="FreeSerif" w:hAnsi="FreeSerif"/>
          <w:sz w:val="24"/>
          <w:szCs w:val="24"/>
        </w:rPr>
      </w:pPr>
      <w:r>
        <w:rPr>
          <w:rFonts w:cs="Calibri" w:ascii="FreeSerif" w:hAnsi="FreeSerif" w:cstheme="minorHAnsi"/>
          <w:sz w:val="24"/>
          <w:szCs w:val="24"/>
        </w:rPr>
        <w:t>We dedicate this article to Prof. Axel Tiessen Favier (</w:t>
      </w:r>
      <w:r>
        <w:rPr>
          <w:rFonts w:eastAsia="rsfs10" w:cs="Calibri" w:ascii="FreeSerif" w:hAnsi="FreeSerif" w:cstheme="minorHAnsi"/>
          <w:sz w:val="24"/>
          <w:szCs w:val="24"/>
        </w:rPr>
        <w:t>†</w:t>
      </w:r>
      <w:r>
        <w:rPr>
          <w:rFonts w:eastAsia="Calibri" w:cs="Calibri" w:ascii="FreeSerif" w:hAnsi="FreeSerif" w:cstheme="minorHAnsi"/>
          <w:sz w:val="24"/>
          <w:szCs w:val="24"/>
        </w:rPr>
        <w:t xml:space="preserve"> 2020</w:t>
      </w:r>
      <w:r>
        <w:rPr>
          <w:rFonts w:cs="Calibri" w:ascii="FreeSerif" w:hAnsi="FreeSerif" w:cstheme="minorHAnsi"/>
          <w:sz w:val="24"/>
          <w:szCs w:val="24"/>
        </w:rPr>
        <w:t>), who created the Vitamaize lines.</w:t>
      </w:r>
    </w:p>
    <w:p>
      <w:pPr>
        <w:pStyle w:val="Heading1"/>
        <w:rPr>
          <w:rFonts w:ascii="FreeSerif" w:hAnsi="FreeSerif"/>
          <w:b/>
          <w:bCs/>
          <w:color w:val="auto"/>
          <w:sz w:val="24"/>
          <w:szCs w:val="24"/>
        </w:rPr>
      </w:pPr>
      <w:r>
        <w:rPr>
          <w:rFonts w:cs="Calibri" w:ascii="FreeSerif" w:hAnsi="FreeSerif" w:cstheme="minorHAnsi"/>
          <w:color w:val="000000"/>
          <w:sz w:val="24"/>
          <w:szCs w:val="24"/>
        </w:rPr>
        <w:t>*Corresponding author:</w:t>
      </w:r>
      <w:r>
        <w:rPr>
          <w:rFonts w:cs="Calibri" w:ascii="FreeSerif" w:hAnsi="FreeSerif" w:cstheme="minorHAnsi"/>
          <w:sz w:val="24"/>
          <w:szCs w:val="24"/>
        </w:rPr>
        <w:t xml:space="preserve"> </w:t>
      </w:r>
      <w:hyperlink r:id="rId2">
        <w:r>
          <w:rPr>
            <w:rStyle w:val="EnlacedeInternet"/>
            <w:rFonts w:cs="Calibri" w:ascii="FreeSerif" w:hAnsi="FreeSerif" w:cstheme="minorHAnsi"/>
            <w:sz w:val="24"/>
            <w:szCs w:val="24"/>
          </w:rPr>
          <w:t>robert.winkler@cinvestav.mx</w:t>
        </w:r>
      </w:hyperlink>
      <w:r>
        <w:rPr>
          <w:rFonts w:cs="Calibri" w:ascii="FreeSerif" w:hAnsi="FreeSerif" w:cstheme="minorHAnsi"/>
          <w:sz w:val="24"/>
          <w:szCs w:val="24"/>
        </w:rPr>
        <w:t xml:space="preserve"> </w:t>
      </w:r>
      <w:r>
        <w:br w:type="page"/>
      </w:r>
    </w:p>
    <w:p>
      <w:pPr>
        <w:pStyle w:val="Normal"/>
        <w:spacing w:before="0" w:after="160"/>
        <w:ind w:hanging="0"/>
        <w:rPr>
          <w:rFonts w:ascii="FreeSerif" w:hAnsi="FreeSerif"/>
          <w:b/>
          <w:bCs/>
          <w:color w:val="auto"/>
          <w:sz w:val="24"/>
          <w:szCs w:val="24"/>
        </w:rPr>
      </w:pPr>
      <w:r>
        <w:rPr>
          <w:rFonts w:eastAsia="Times New Roman" w:cs="Calibri" w:ascii="FreeSerif" w:hAnsi="FreeSerif" w:cstheme="minorHAnsi"/>
          <w:b/>
          <w:bCs/>
          <w:color w:val="auto"/>
          <w:sz w:val="24"/>
          <w:szCs w:val="24"/>
          <w:lang w:eastAsia="es-ES"/>
        </w:rPr>
        <w:t>Materials and Methods</w:t>
      </w:r>
    </w:p>
    <w:p>
      <w:pPr>
        <w:pStyle w:val="Ttulo21"/>
        <w:numPr>
          <w:ilvl w:val="0"/>
          <w:numId w:val="0"/>
        </w:numPr>
        <w:spacing w:lineRule="auto" w:line="480"/>
        <w:ind w:hanging="0" w:left="0"/>
        <w:rPr>
          <w:rFonts w:ascii="FreeSerif" w:hAnsi="FreeSerif"/>
          <w:szCs w:val="24"/>
          <w:lang w:val="en-US"/>
        </w:rPr>
      </w:pPr>
      <w:r>
        <w:rPr>
          <w:rFonts w:eastAsia="Times New Roman" w:cs="Calibri" w:ascii="FreeSerif" w:hAnsi="FreeSerif" w:cstheme="minorHAnsi"/>
          <w:szCs w:val="24"/>
          <w:lang w:val="en-US" w:eastAsia="es-ES"/>
        </w:rPr>
        <w:t>Sample collection</w:t>
      </w:r>
    </w:p>
    <w:p>
      <w:pPr>
        <w:pStyle w:val="Normal"/>
        <w:spacing w:lineRule="auto" w:line="480" w:before="120" w:after="120"/>
        <w:jc w:val="both"/>
        <w:rPr>
          <w:rFonts w:ascii="FreeSerif" w:hAnsi="FreeSerif"/>
          <w:sz w:val="24"/>
          <w:szCs w:val="24"/>
        </w:rPr>
      </w:pPr>
      <w:r>
        <w:rPr>
          <w:rFonts w:cs="Calibri" w:ascii="FreeSerif" w:hAnsi="FreeSerif" w:cstheme="minorHAnsi"/>
          <w:sz w:val="24"/>
          <w:szCs w:val="24"/>
          <w:lang w:eastAsia="es-ES"/>
        </w:rPr>
        <w:t xml:space="preserve">All the samples of CIMMYT maize lines (CMLs) and Vitamaize lines (VMLs) were grown under optimal agronomic conditions for subtropical conditions and were self-pollinated </w:t>
      </w:r>
      <w:r>
        <w:fldChar w:fldCharType="begin"/>
      </w:r>
      <w:r>
        <w:rPr>
          <w:sz w:val="24"/>
          <w:szCs w:val="24"/>
          <w:rFonts w:cs="Calibri" w:ascii="FreeSerif" w:hAnsi="FreeSerif"/>
          <w:lang w:eastAsia="es-ES"/>
        </w:rPr>
        <w:instrText xml:space="preserve">ADDIN CSL_CITATION {"citationItems":[{"id":"ITEM-1","itemData":{"DOI":"10.3390/plants11233221","ISSN":"22237747","abstract":"Maize (Zea mays L.) represents the main caloric source for much of the world’s population. Pigmented maize varieties are an excellent source of nutraceutical compounds: blue and yellow maize are rich in anthocyanins as well as carotenoids and phenolic acids, respectively. However, blue maize is usually grown in small quantities as a specialty crop because it lacks the qualities and adaptations of commercial white and yellow varieties. Here, a new high-yield variety of blue maize called Vitamaiz was developed from inbred lines of subtropical blue, white, and yellow maize. The aim of this study was to characterize the nutraceutical and physical properties of 30 Vitamaiz hybrids in two subtropical locations. Kernel physical traits, nutrient composition, and nutraceutical components (free phenolic acids, FPA; cell wall-bound phenolic acids, BPA; total monomeric anthocyanin content, TAC; antioxidant capacity, AOX by oxygen radical absorbance capacity assay, and total carotenoid content, TCC) were evaluated. The biophysical traits of the hybrids were suitable for nixtamalized and flour maize industries. High levels of FPA (228 mg GAE/100 g), BPA (635 mg GAE/100 g), and AOX (2.0 and 8.1 mM Trolox equivalent/100 g for FPA and BPA, respectively) were also detected with elevated TAC levels (274 mg C3G/kg dw) and AOX activity (3.1 mM Trolox equivalent/100 g). This is the first study to characterize Blue × Yellow maize hybrids that adapt to subtropical environments.","author":[{"dropping-particle":"","family":"Tiessen-Favier","given":"Axel","non-dropping-particle":"","parse-names":false,"suffix":""},{"dropping-particle":"","family":"Escalante-Aburto","given":"Anayansi","non-dropping-particle":"","parse-names":false,"suffix":""},{"dropping-particle":"","family":"Espinosa-Leal","given":"Claudia","non-dropping-particle":"","parse-names":false,"suffix":""},{"dropping-particle":"","family":"García-Lara","given":"Silverio","non-dropping-particle":"","parse-names":false,"suffix":""}],"container-title":"Plants","id":"ITEM-1","issue":"23","issued":{"date-parts":[["2022"]]},"title":"Novel Combination of the Biophysical, Nutritional, and Nutraceutical Properties in Subtropical Pigmented Maize Hybrids","type":"article-journal","volume":"11"},"uris":["http://www.mendeley.com/documents/?uuid=be0ce85f-ca40-4951-9fe7-f52696a5fa3c"]}],"mendeley":{"formattedCitation":"[1]","plainTextFormattedCitation":"[1]","previouslyFormattedCitation":"[9]"},"properties":{"noteIndex":0},"schema":"https://github.com/citation-style-language/schema/raw/master/csl-citation.json"}</w:instrText>
      </w:r>
      <w:r>
        <w:rPr>
          <w:rFonts w:cs="Calibri" w:ascii="FreeSerif" w:hAnsi="FreeSerif" w:cstheme="minorHAnsi"/>
          <w:sz w:val="24"/>
          <w:szCs w:val="24"/>
          <w:lang w:eastAsia="es-ES"/>
        </w:rPr>
      </w:r>
      <w:r>
        <w:rPr>
          <w:sz w:val="24"/>
          <w:szCs w:val="24"/>
          <w:rFonts w:cs="Calibri" w:ascii="FreeSerif" w:hAnsi="FreeSerif"/>
          <w:lang w:eastAsia="es-ES"/>
        </w:rPr>
        <w:fldChar w:fldCharType="separate"/>
      </w:r>
      <w:r>
        <w:rPr>
          <w:rFonts w:cs="Calibri" w:ascii="FreeSerif" w:hAnsi="FreeSerif" w:cstheme="minorHAnsi"/>
          <w:sz w:val="24"/>
          <w:szCs w:val="24"/>
          <w:lang w:eastAsia="es-ES"/>
        </w:rPr>
        <w:t>[1]</w:t>
      </w:r>
      <w:r>
        <w:rPr>
          <w:rFonts w:cs="Calibri" w:ascii="FreeSerif" w:hAnsi="FreeSerif" w:cstheme="minorHAnsi"/>
          <w:sz w:val="24"/>
          <w:szCs w:val="24"/>
          <w:lang w:eastAsia="es-ES"/>
        </w:rPr>
      </w:r>
      <w:r>
        <w:rPr>
          <w:sz w:val="24"/>
          <w:szCs w:val="24"/>
          <w:rFonts w:cs="Calibri" w:ascii="FreeSerif" w:hAnsi="FreeSerif"/>
          <w:lang w:eastAsia="es-ES"/>
        </w:rPr>
        <w:fldChar w:fldCharType="end"/>
      </w:r>
      <w:r>
        <w:rPr>
          <w:rFonts w:cs="Calibri" w:ascii="FreeSerif" w:hAnsi="FreeSerif" w:cstheme="minorHAnsi"/>
          <w:sz w:val="24"/>
          <w:szCs w:val="24"/>
          <w:lang w:eastAsia="es-ES"/>
        </w:rPr>
        <w:t>. They were cultivated and maintained in optimal greenhouse conditions from March to August 2018 in Irapuato, Mexico (N 20.71933, W-101.33088; 1720 meters above mean sea level, MAMSL). We harvested four ears from each maize line. The maize line selection included the same amount of CMLs with white endosperm (CML 321, CML 490, CML 491, CML 492, and CML 494) and with yellow endosperm (CML 027, CML 305, CML 327, CML 451 and CML 496), and their respective counterpart VMLs.</w:t>
      </w:r>
    </w:p>
    <w:p>
      <w:pPr>
        <w:pStyle w:val="Ttulo21"/>
        <w:numPr>
          <w:ilvl w:val="0"/>
          <w:numId w:val="0"/>
        </w:numPr>
        <w:spacing w:lineRule="auto" w:line="480"/>
        <w:ind w:hanging="0" w:left="0"/>
        <w:rPr>
          <w:rFonts w:ascii="FreeSerif" w:hAnsi="FreeSerif"/>
          <w:szCs w:val="24"/>
          <w:lang w:val="en-US"/>
        </w:rPr>
      </w:pPr>
      <w:r>
        <w:rPr>
          <w:rFonts w:eastAsia="Times New Roman" w:cs="Calibri" w:ascii="FreeSerif" w:hAnsi="FreeSerif" w:cstheme="minorHAnsi"/>
          <w:szCs w:val="24"/>
          <w:lang w:val="en-US" w:eastAsia="es-ES"/>
        </w:rPr>
        <w:t>Sample preparation</w:t>
      </w:r>
    </w:p>
    <w:p>
      <w:pPr>
        <w:pStyle w:val="Normal"/>
        <w:spacing w:lineRule="auto" w:line="480" w:before="120" w:after="120"/>
        <w:jc w:val="both"/>
        <w:rPr>
          <w:rFonts w:ascii="FreeSerif" w:hAnsi="FreeSerif"/>
          <w:sz w:val="24"/>
          <w:szCs w:val="24"/>
        </w:rPr>
      </w:pPr>
      <w:r>
        <w:rPr>
          <w:rFonts w:eastAsia="Times New Roman" w:cs="Calibri" w:ascii="FreeSerif" w:hAnsi="FreeSerif" w:cstheme="minorHAnsi"/>
          <w:sz w:val="24"/>
          <w:szCs w:val="24"/>
          <w:lang w:eastAsia="es-ES"/>
        </w:rPr>
        <w:t>We selected ten random seeds in the R6 development stage and ground them in a ball milling using a Retsch Mill MM 340 (Retsch, Haan, Germany). Subsequently, we weighed 10 mg in a two mL microtube for each extraction (</w:t>
      </w:r>
      <w:r>
        <w:rPr>
          <w:rFonts w:cs="Calibri" w:ascii="FreeSerif" w:hAnsi="FreeSerif" w:cstheme="minorHAnsi"/>
          <w:sz w:val="24"/>
          <w:szCs w:val="24"/>
        </w:rPr>
        <w:t>water, MeOH with 0.1% FA, and MeOH with 1% TFA)</w:t>
      </w:r>
      <w:r>
        <w:rPr>
          <w:rFonts w:eastAsia="Times New Roman" w:cs="Calibri" w:ascii="FreeSerif" w:hAnsi="FreeSerif" w:cstheme="minorHAnsi"/>
          <w:sz w:val="24"/>
          <w:szCs w:val="24"/>
          <w:lang w:eastAsia="es-ES"/>
        </w:rPr>
        <w:t>. The water and methanol were LC-MS grades water (TEDIA, Fairfield, USA). Formic acid (FA) and Trifluoroacetic acid (TFA) were Optima™ LC-MS grade (Fisher Chemical, Leicestershire, UK).</w:t>
      </w:r>
    </w:p>
    <w:p>
      <w:pPr>
        <w:pStyle w:val="Normal"/>
        <w:spacing w:lineRule="auto" w:line="480" w:before="120" w:after="120"/>
        <w:jc w:val="both"/>
        <w:rPr>
          <w:rFonts w:ascii="FreeSerif" w:hAnsi="FreeSerif"/>
          <w:sz w:val="24"/>
          <w:szCs w:val="24"/>
        </w:rPr>
      </w:pPr>
      <w:r>
        <w:rPr>
          <w:rFonts w:eastAsia="Times New Roman" w:cs="Calibri" w:ascii="FreeSerif" w:hAnsi="FreeSerif" w:cstheme="minorHAnsi"/>
          <w:sz w:val="24"/>
          <w:szCs w:val="24"/>
          <w:lang w:eastAsia="es-ES"/>
        </w:rPr>
        <w:t xml:space="preserve">All samples were extracted in an ultrasound bath for 10 minutes at room temperature (T ≈ 25 °C). Finally, the samples were centrifuged at 12,000 g in a 5415R centrifuge (Eppendorf, Hamburg, Germany) and filtered with Target® PTFE filters (pore size 0.2 </w:t>
      </w:r>
      <w:r>
        <w:rPr>
          <w:rFonts w:eastAsia="Times New Roman" w:cs="Calibri" w:ascii="FreeSerif" w:hAnsi="FreeSerif" w:cstheme="minorHAnsi"/>
          <w:sz w:val="24"/>
          <w:szCs w:val="24"/>
          <w:lang w:val="es-MX" w:eastAsia="es-ES"/>
        </w:rPr>
        <w:t>μ</w:t>
      </w:r>
      <w:r>
        <w:rPr>
          <w:rFonts w:eastAsia="Times New Roman" w:cs="Calibri" w:ascii="FreeSerif" w:hAnsi="FreeSerif" w:cstheme="minorHAnsi"/>
          <w:sz w:val="24"/>
          <w:szCs w:val="24"/>
          <w:lang w:eastAsia="es-ES"/>
        </w:rPr>
        <w:t>m, 30 mm). The injection flow was adjusted to 10 µl/min with a Fisherbrand ™ infusion pump (Waltham, MA, USA).</w:t>
      </w:r>
    </w:p>
    <w:p>
      <w:pPr>
        <w:pStyle w:val="Ttulo21"/>
        <w:numPr>
          <w:ilvl w:val="0"/>
          <w:numId w:val="0"/>
        </w:numPr>
        <w:spacing w:lineRule="auto" w:line="480"/>
        <w:ind w:hanging="0" w:left="0"/>
        <w:rPr>
          <w:rFonts w:ascii="FreeSerif" w:hAnsi="FreeSerif"/>
          <w:szCs w:val="24"/>
          <w:lang w:val="en-US"/>
        </w:rPr>
      </w:pPr>
      <w:r>
        <w:rPr>
          <w:rFonts w:eastAsia="Times New Roman" w:cs="Calibri" w:ascii="FreeSerif" w:hAnsi="FreeSerif" w:cstheme="minorHAnsi"/>
          <w:szCs w:val="24"/>
          <w:lang w:val="en-US" w:eastAsia="es-ES"/>
        </w:rPr>
        <w:t xml:space="preserve">Direct infusion mass spectrometry (DIMS) </w:t>
      </w:r>
    </w:p>
    <w:p>
      <w:pPr>
        <w:pStyle w:val="Normal"/>
        <w:spacing w:lineRule="auto" w:line="480" w:before="120" w:after="120"/>
        <w:jc w:val="both"/>
        <w:rPr>
          <w:rFonts w:ascii="FreeSerif" w:hAnsi="FreeSerif"/>
          <w:sz w:val="24"/>
          <w:szCs w:val="24"/>
        </w:rPr>
      </w:pPr>
      <w:r>
        <w:rPr>
          <w:rFonts w:eastAsia="Times New Roman" w:cs="Calibri" w:ascii="FreeSerif" w:hAnsi="FreeSerif" w:cstheme="minorHAnsi"/>
          <w:sz w:val="24"/>
          <w:szCs w:val="24"/>
          <w:lang w:eastAsia="es-ES"/>
        </w:rPr>
        <w:t xml:space="preserve">The equipment used for all mass spectrometry experiments, including fragmentation, was Waters' TQD (Milford, MA, USA). The parameters were capillary voltage at 3 kV, 30 V for the cone, the source temperature at 150 °C, and the desolvation gas at 250 °C. The desolvation gas flow was 250 l/h, and the flow in the cone was 50 l/h. The acquisition mode was in MCA from -20 to -600 </w:t>
      </w:r>
      <w:r>
        <w:rPr>
          <w:rFonts w:eastAsia="Times New Roman" w:cs="Calibri" w:ascii="FreeSerif" w:hAnsi="FreeSerif" w:cstheme="minorHAnsi"/>
          <w:i/>
          <w:sz w:val="24"/>
          <w:szCs w:val="24"/>
          <w:lang w:eastAsia="es-ES"/>
        </w:rPr>
        <w:t xml:space="preserve">m/z </w:t>
      </w:r>
      <w:r>
        <w:rPr>
          <w:rFonts w:eastAsia="Times New Roman" w:cs="Calibri" w:ascii="FreeSerif" w:hAnsi="FreeSerif" w:cstheme="minorHAnsi"/>
          <w:sz w:val="24"/>
          <w:szCs w:val="24"/>
          <w:lang w:eastAsia="es-ES"/>
        </w:rPr>
        <w:t xml:space="preserve">for negative and 20 to 1500 </w:t>
      </w:r>
      <w:r>
        <w:rPr>
          <w:rFonts w:eastAsia="Times New Roman" w:cs="Calibri" w:ascii="FreeSerif" w:hAnsi="FreeSerif" w:cstheme="minorHAnsi"/>
          <w:i/>
          <w:iCs/>
          <w:sz w:val="24"/>
          <w:szCs w:val="24"/>
          <w:lang w:eastAsia="es-ES"/>
        </w:rPr>
        <w:t>m/z</w:t>
      </w:r>
      <w:r>
        <w:rPr>
          <w:rFonts w:eastAsia="Times New Roman" w:cs="Calibri" w:ascii="FreeSerif" w:hAnsi="FreeSerif" w:cstheme="minorHAnsi"/>
          <w:sz w:val="24"/>
          <w:szCs w:val="24"/>
          <w:lang w:eastAsia="es-ES"/>
        </w:rPr>
        <w:t xml:space="preserve"> for positive ion modes. Each sample reading lasted ≈5 min and included six technical replicas (0.3 minutes for each scan) in both ionization modes. We measured four biological replicates for each maize line.</w:t>
      </w:r>
    </w:p>
    <w:p>
      <w:pPr>
        <w:pStyle w:val="Normal"/>
        <w:spacing w:lineRule="auto" w:line="480" w:before="120" w:after="120"/>
        <w:jc w:val="both"/>
        <w:rPr>
          <w:rFonts w:ascii="FreeSerif" w:hAnsi="FreeSerif"/>
          <w:sz w:val="24"/>
          <w:szCs w:val="24"/>
        </w:rPr>
      </w:pPr>
      <w:r>
        <w:rPr>
          <w:rFonts w:eastAsia="Times New Roman" w:cs="Calibri" w:ascii="FreeSerif" w:hAnsi="FreeSerif" w:cstheme="minorHAnsi"/>
          <w:sz w:val="24"/>
          <w:szCs w:val="24"/>
          <w:lang w:eastAsia="es-ES"/>
        </w:rPr>
        <w:t xml:space="preserve">We used the MassLynx™ 4.1 software (Waters, Milford, MA, USA) for all DIMS experiments. The Hierarchical Clustering Analysis (HCA) used ions (variables) with the lowest p-value or the highest mean decrease accuracy. In the fragmentation method, we selected three voltages for the CID: 10 V, 20 V, and 30 V. The MS/MS protocol to compare the relative acylated maize anthocyanins content is described in </w:t>
      </w:r>
      <w:r>
        <w:fldChar w:fldCharType="begin"/>
      </w:r>
      <w:r>
        <w:rPr>
          <w:sz w:val="24"/>
          <w:szCs w:val="24"/>
          <w:rFonts w:eastAsia="Times New Roman" w:cs="Calibri" w:ascii="FreeSerif" w:hAnsi="FreeSerif"/>
          <w:lang w:eastAsia="es-ES"/>
        </w:rPr>
        <w:instrText xml:space="preserve">ADDIN CSL_CITATION {"citationItems":[{"id":"ITEM-1","itemData":{"DOI":"10.1016/j.jff.2020.104075","ISSN":"17564646","author":[{"dropping-particle":"","family":"Magaña-Cerino","given":"Jesús Miguel","non-dropping-particle":"","parse-names":false,"suffix":""},{"dropping-particle":"","family":"Tiessen","given":"Axel","non-dropping-particle":"","parse-names":false,"suffix":""},{"dropping-particle":"","family":"Soto-Luna","given":"Irma Catalina","non-dropping-particle":"","parse-names":false,"suffix":""},{"dropping-particle":"","family":"Peniche-Pavía","given":"Héctor Arturo","non-dropping-particle":"","parse-names":false,"suffix":""},{"dropping-particle":"","family":"Vargas-Guerrero","given":"Belinda","non-dropping-particle":"","parse-names":false,"suffix":""},{"dropping-particle":"","family":"Domínguez-Rosales","given":"José Alfredo","non-dropping-particle":"","parse-names":false,"suffix":""},{"dropping-particle":"","family":"García-López","given":"Pedro Macedonio","non-dropping-particle":"","parse-names":false,"suffix":""},{"dropping-particle":"","family":"Gurrola-Díaz","given":"Carmen Magdalena","non-dropping-particle":"","parse-names":false,"suffix":""}],"container-title":"Journal of Functional Foods","id":"ITEM-1","issued":{"date-parts":[["2020","9"]]},"page":"104075","title":"Consumption of nixtamal from a new variety of hybrid blue maize ameliorates liver oxidative stress and inflammation in a high-fat diet rat model","type":"article-journal","volume":"72"},"uris":["http://www.mendeley.com/documents/?uuid=b878fa64-d942-4c33-a969-a56ee21b073f"]}],"mendeley":{"formattedCitation":"[2]","manualFormatting":"Magaña-Cerino et al. (2020)","plainTextFormattedCitation":"[2]","previouslyFormattedCitation":"[12]"},"properties":{"noteIndex":0},"schema":"https://github.com/citation-style-language/schema/raw/master/csl-citation.json"}</w:instrTex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separate"/>
      </w:r>
      <w:r>
        <w:rPr>
          <w:rFonts w:eastAsia="Times New Roman" w:cs="Calibri" w:ascii="FreeSerif" w:hAnsi="FreeSerif" w:cstheme="minorHAnsi"/>
          <w:sz w:val="24"/>
          <w:szCs w:val="24"/>
          <w:lang w:eastAsia="es-ES"/>
        </w:rPr>
        <w:t>Magaña-Cerino et al. (2020)</w: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end"/>
      </w:r>
      <w:r>
        <w:rPr>
          <w:rFonts w:eastAsia="Times New Roman" w:cs="Calibri" w:ascii="FreeSerif" w:hAnsi="FreeSerif" w:cstheme="minorHAnsi"/>
          <w:sz w:val="24"/>
          <w:szCs w:val="24"/>
          <w:lang w:eastAsia="es-ES"/>
        </w:rPr>
        <w:t xml:space="preserve">. </w:t>
      </w:r>
    </w:p>
    <w:p>
      <w:pPr>
        <w:pStyle w:val="Ttulo21"/>
        <w:numPr>
          <w:ilvl w:val="0"/>
          <w:numId w:val="0"/>
        </w:numPr>
        <w:spacing w:lineRule="auto" w:line="480"/>
        <w:ind w:hanging="0" w:left="0"/>
        <w:rPr>
          <w:rFonts w:ascii="FreeSerif" w:hAnsi="FreeSerif"/>
          <w:szCs w:val="24"/>
          <w:lang w:val="en-US"/>
        </w:rPr>
      </w:pPr>
      <w:r>
        <w:rPr>
          <w:rFonts w:eastAsia="Times New Roman" w:cs="Calibri" w:ascii="FreeSerif" w:hAnsi="FreeSerif" w:cstheme="minorHAnsi"/>
          <w:szCs w:val="24"/>
          <w:lang w:val="en-US" w:eastAsia="es-ES"/>
        </w:rPr>
        <w:t>Statistical analysis and mass spectrometry data processing</w:t>
      </w:r>
    </w:p>
    <w:p>
      <w:pPr>
        <w:pStyle w:val="Normal"/>
        <w:spacing w:lineRule="auto" w:line="480" w:before="120" w:after="120"/>
        <w:jc w:val="both"/>
        <w:rPr>
          <w:rFonts w:ascii="FreeSerif" w:hAnsi="FreeSerif"/>
          <w:sz w:val="24"/>
          <w:szCs w:val="24"/>
        </w:rPr>
      </w:pPr>
      <w:r>
        <w:rPr>
          <w:rFonts w:eastAsia="Times New Roman" w:cs="Calibri" w:ascii="FreeSerif" w:hAnsi="FreeSerif" w:cstheme="minorHAnsi"/>
          <w:sz w:val="24"/>
          <w:szCs w:val="24"/>
          <w:lang w:eastAsia="es-ES"/>
        </w:rPr>
        <w:t xml:space="preserve">All MS data were preprocessed and analyzed in the R environment </w:t>
      </w:r>
      <w:r>
        <w:fldChar w:fldCharType="begin"/>
      </w:r>
      <w:r>
        <w:rPr>
          <w:sz w:val="24"/>
          <w:szCs w:val="24"/>
          <w:rFonts w:eastAsia="Times New Roman" w:cs="Calibri" w:ascii="FreeSerif" w:hAnsi="FreeSerif"/>
          <w:lang w:eastAsia="es-ES"/>
        </w:rPr>
        <w:instrText xml:space="preserve">ADDIN CSL_CITATION {"citationItems":[{"id":"ITEM-1","itemData":{"author":[{"dropping-particle":"","family":"R Core Team","given":"","non-dropping-particle":"","parse-names":false,"suffix":""}],"id":"ITEM-1","issued":{"date-parts":[["2022"]]},"publisher":"R Foundation for Statistical Computing","publisher-place":"Vienna, Austria","title":"R: A Language and Environment for Statistical Computing","type":"article"},"uris":["http://www.mendeley.com/documents/?uuid=5a41fdf0-2f17-4abf-a306-f7acdeefb8d0"]}],"mendeley":{"formattedCitation":"[3]","plainTextFormattedCitation":"[3]","previouslyFormattedCitation":"[19]"},"properties":{"noteIndex":0},"schema":"https://github.com/citation-style-language/schema/raw/master/csl-citation.json"}</w:instrTex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separate"/>
      </w:r>
      <w:r>
        <w:rPr>
          <w:rFonts w:eastAsia="Times New Roman" w:cs="Calibri" w:ascii="FreeSerif" w:hAnsi="FreeSerif" w:cstheme="minorHAnsi"/>
          <w:sz w:val="24"/>
          <w:szCs w:val="24"/>
          <w:lang w:eastAsia="es-ES"/>
        </w:rPr>
        <w:t>[3]</w: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end"/>
      </w:r>
      <w:r>
        <w:rPr>
          <w:rFonts w:eastAsia="Times New Roman" w:cs="Calibri" w:ascii="FreeSerif" w:hAnsi="FreeSerif" w:cstheme="minorHAnsi"/>
          <w:sz w:val="24"/>
          <w:szCs w:val="24"/>
          <w:lang w:eastAsia="es-ES"/>
        </w:rPr>
        <w:t xml:space="preserve">. For the preprocessing and its analysis, we used the packages "ChemometricsWithR" </w:t>
      </w:r>
      <w:r>
        <w:fldChar w:fldCharType="begin"/>
      </w:r>
      <w:r>
        <w:rPr>
          <w:sz w:val="24"/>
          <w:szCs w:val="24"/>
          <w:rFonts w:eastAsia="Times New Roman" w:cs="Calibri" w:ascii="FreeSerif" w:hAnsi="FreeSerif"/>
          <w:lang w:eastAsia="es-ES"/>
        </w:rPr>
        <w:instrText xml:space="preserve">ADDIN CSL_CITATION {"citationItems":[{"id":"ITEM-1","itemData":{"DOI":"10.1007/978-3-642-17841-2","ISBN":"978-3-642-17840-5","author":[{"dropping-particle":"","family":"Wehrens","given":"Ron","non-dropping-particle":"","parse-names":false,"suffix":""}],"id":"ITEM-1","issued":{"date-parts":[["2011"]]},"publisher":"Springer Berlin Heidelberg","publisher-place":"Berlin, Heidelberg","title":"Chemometrics With R: Multivariate Data Analysis in the Natural Sciences and Life Sciences","type":"book"},"uris":["http://www.mendeley.com/documents/?uuid=33a36741-a84c-41a9-bc96-7af4788ea8b4"]}],"mendeley":{"formattedCitation":"[4]","plainTextFormattedCitation":"[4]","previouslyFormattedCitation":"[20]"},"properties":{"noteIndex":0},"schema":"https://github.com/citation-style-language/schema/raw/master/csl-citation.json"}</w:instrTex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separate"/>
      </w:r>
      <w:r>
        <w:rPr>
          <w:rFonts w:eastAsia="Times New Roman" w:cs="Calibri" w:ascii="FreeSerif" w:hAnsi="FreeSerif" w:cstheme="minorHAnsi"/>
          <w:sz w:val="24"/>
          <w:szCs w:val="24"/>
          <w:lang w:eastAsia="es-ES"/>
        </w:rPr>
        <w:t>[4]</w: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end"/>
      </w:r>
      <w:r>
        <w:rPr>
          <w:rFonts w:eastAsia="Times New Roman" w:cs="Calibri" w:ascii="FreeSerif" w:hAnsi="FreeSerif" w:cstheme="minorHAnsi"/>
          <w:sz w:val="24"/>
          <w:szCs w:val="24"/>
          <w:lang w:eastAsia="es-ES"/>
        </w:rPr>
        <w:t xml:space="preserve"> and "Agricolae" </w:t>
      </w:r>
      <w:r>
        <w:fldChar w:fldCharType="begin"/>
      </w:r>
      <w:r>
        <w:rPr>
          <w:sz w:val="24"/>
          <w:szCs w:val="24"/>
          <w:rFonts w:eastAsia="Times New Roman" w:cs="Calibri" w:ascii="FreeSerif" w:hAnsi="FreeSerif"/>
          <w:lang w:eastAsia="es-ES"/>
        </w:rPr>
        <w:instrText xml:space="preserve">ADDIN CSL_CITATION {"citationItems":[{"id":"ITEM-1","itemData":{"URL":"https://cran.r-project.org/package=agricolae","accessed":{"date-parts":[["2020","3","20"]]},"author":[{"dropping-particle":"","family":"Mendiburu","given":"Felipe","non-dropping-particle":"de","parse-names":false,"suffix":""}],"container-title":"R package version 1.3-1","id":"ITEM-1","issued":{"date-parts":[["2019"]]},"title":"Agricolae: Statistical Procedures for Agricultural Research","type":"webpage"},"uris":["http://www.mendeley.com/documents/?uuid=c3aae001-e5ec-42fa-8326-2258052f7d9d"]}],"mendeley":{"formattedCitation":"[5]","plainTextFormattedCitation":"[5]","previouslyFormattedCitation":"[21]"},"properties":{"noteIndex":0},"schema":"https://github.com/citation-style-language/schema/raw/master/csl-citation.json"}</w:instrTex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separate"/>
      </w:r>
      <w:r>
        <w:rPr>
          <w:rFonts w:eastAsia="Times New Roman" w:cs="Calibri" w:ascii="FreeSerif" w:hAnsi="FreeSerif" w:cstheme="minorHAnsi"/>
          <w:sz w:val="24"/>
          <w:szCs w:val="24"/>
          <w:lang w:eastAsia="es-ES"/>
        </w:rPr>
        <w:t>[5]</w: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end"/>
      </w:r>
      <w:r>
        <w:rPr>
          <w:rFonts w:eastAsia="Times New Roman" w:cs="Calibri" w:ascii="FreeSerif" w:hAnsi="FreeSerif" w:cstheme="minorHAnsi"/>
          <w:sz w:val="24"/>
          <w:szCs w:val="24"/>
          <w:lang w:eastAsia="es-ES"/>
        </w:rPr>
        <w:t xml:space="preserve">, as described in </w:t>
      </w:r>
      <w:r>
        <w:fldChar w:fldCharType="begin"/>
      </w:r>
      <w:r>
        <w:rPr>
          <w:sz w:val="24"/>
          <w:szCs w:val="24"/>
          <w:rFonts w:eastAsia="Times New Roman" w:cs="Calibri" w:ascii="FreeSerif" w:hAnsi="FreeSerif"/>
          <w:lang w:eastAsia="es-ES"/>
        </w:rPr>
        <w:instrText xml:space="preserve">ADDIN CSL_CITATION {"citationItems":[{"id":"ITEM-1","itemData":{"DOI":"10.1021/acs.jafc.9b06336","ISSN":"0021-8561","abstract":"Corn seeds contain natural pigments and antioxidants, such as the molecular variants of flavonoids and carotenoids. The aleurone and pericarp tissues from pigmented genotypes were extracted for metabolic fingerprinting and evaluated using UV–vis and mass spectrometry (MS). MS ionomic fingerprints classified samples according to genetic background and kernel color. The MS/MS fragmentation pattern (Daughter and Neutral Loss methods) allowed the tentative identification of 18 anthocyanins with glycosyl, malonyl, and succinyl moieties, including 535 m/z for cyanidin-3-O-(6″-malonyl-glucoside) and 621 m/z for cyanidin-3-O-(3″,6″-dimalonyl-glucoside). We also detected 663 m/z for pelargonidin-3-O-(disuccinyl-glucoside) and 633 m/z for peonidin-3-O-(disuccinyl-glucoside). Cyanidin-based anthocyanins were the most abundant in dark purple colored kernels, while pelargonidins predominated in the red-pink kernels of the “Elote occidental” landrace. Grains of “Conico negro” had a simultaneous pigmentation of aleurone and pericarp, while Vitamaize had purple pigmentation only in the aleurone layer. Most landraces had a white endosperm, while Vitamaize had a yellow endosperm and a dark seed coat. We conclude that Vitamaize grains contain both carotenes and anthocyanins, and therefore it is proposed as a nontransgenic agronomically improved variety of tropical purple maize, a good source for organic superfoods.","author":[{"dropping-particle":"","family":"Peniche-Pavía","given":"Héctor Arturo","non-dropping-particle":"","parse-names":false,"suffix":""},{"dropping-particle":"","family":"Tiessen","given":"Axel","non-dropping-particle":"","parse-names":false,"suffix":""}],"container-title":"Journal of Agricultural and Food Chemistry","id":"ITEM-1","issue":"21","issued":{"date-parts":[["2020","5","27"]]},"page":"5980-5994","title":"Anthocyanin Profiling of Maize Grains Using DIESI-MSQD Reveals That Cyanidin-Based Derivatives Predominate in Purple Corn, whereas Pelargonidin-Based Molecules Occur in Red-Pink Varieties from Mexico","type":"article-journal","volume":"68"},"uris":["http://www.mendeley.com/documents/?uuid=18ef760b-9137-486f-8b51-96f8b3d155eb"]}],"mendeley":{"formattedCitation":"[6]","plainTextFormattedCitation":"[6]","previouslyFormattedCitation":"[5]"},"properties":{"noteIndex":0},"schema":"https://github.com/citation-style-language/schema/raw/master/csl-citation.json"}</w:instrTex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separate"/>
      </w:r>
      <w:r>
        <w:rPr>
          <w:rFonts w:eastAsia="Times New Roman" w:cs="Calibri" w:ascii="FreeSerif" w:hAnsi="FreeSerif" w:cstheme="minorHAnsi"/>
          <w:sz w:val="24"/>
          <w:szCs w:val="24"/>
          <w:lang w:eastAsia="es-ES"/>
        </w:rPr>
        <w:t>[6]</w: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end"/>
      </w:r>
      <w:r>
        <w:rPr>
          <w:rFonts w:eastAsia="Times New Roman" w:cs="Calibri" w:ascii="FreeSerif" w:hAnsi="FreeSerif" w:cstheme="minorHAnsi"/>
          <w:sz w:val="24"/>
          <w:szCs w:val="24"/>
          <w:lang w:eastAsia="es-ES"/>
        </w:rPr>
        <w:t xml:space="preserve">. We included a supervised classification algorithm, Random forest (RF), to evaluate which ions (variables) were necessary to classify the samples as CML or VML. We implemented the algorithm within the R package "randomForest" </w:t>
      </w:r>
      <w:r>
        <w:fldChar w:fldCharType="begin"/>
      </w:r>
      <w:r>
        <w:rPr>
          <w:sz w:val="24"/>
          <w:szCs w:val="24"/>
          <w:rFonts w:eastAsia="Times New Roman" w:cs="Calibri" w:ascii="FreeSerif" w:hAnsi="FreeSerif"/>
          <w:lang w:eastAsia="es-ES"/>
        </w:rPr>
        <w:instrText xml:space="preserve">ADDIN CSL_CITATION {"citationItems":[{"id":"ITEM-1","itemData":{"abstract":"Breiman (2001) proposed random forests, which add an additional layer of randomness to bagging. In addition to constructing each tree using a different bootstrap sample of the data, random forests change how the classification or regression trees are constructed. In standard trees, each node is split using the best split among all variables. In a random forest, each node is split using the best among a subset of predictors randomly chosen at that node. This somewhat counterintuitive strategy turns out to perform very well compared to many other classifiers, including discriminant analysis, support vector machines and neural networks, and is robust against overfitting (Breiman, 2001). In addition, it is very user-friendly in the sense that it has only two parameters (the number of variables in the random subset at each node and the number of trees in the forest), and is usually not very sensitive to their values.","author":[{"dropping-particle":"","family":"Liaw","given":"Andy","non-dropping-particle":"","parse-names":false,"suffix":""},{"dropping-particle":"","family":"Wiener","given":"Matthew","non-dropping-particle":"","parse-names":false,"suffix":""}],"container-title":"R news","id":"ITEM-1","issue":"3","issued":{"date-parts":[["2002"]]},"page":"18-22","title":"Classification and Regression by randomForest","type":"article-journal","volume":"2"},"uris":["http://www.mendeley.com/documents/?uuid=5768c7fc-b9b6-4736-bfc5-11da7de8ea02"]}],"mendeley":{"formattedCitation":"[7]","plainTextFormattedCitation":"[7]","previouslyFormattedCitation":"[22]"},"properties":{"noteIndex":0},"schema":"https://github.com/citation-style-language/schema/raw/master/csl-citation.json"}</w:instrTex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separate"/>
      </w:r>
      <w:r>
        <w:rPr>
          <w:rFonts w:eastAsia="Times New Roman" w:cs="Calibri" w:ascii="FreeSerif" w:hAnsi="FreeSerif" w:cstheme="minorHAnsi"/>
          <w:sz w:val="24"/>
          <w:szCs w:val="24"/>
          <w:lang w:eastAsia="es-ES"/>
        </w:rPr>
        <w:t>[7]</w: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end"/>
      </w:r>
      <w:r>
        <w:rPr>
          <w:rFonts w:eastAsia="Times New Roman" w:cs="Calibri" w:ascii="FreeSerif" w:hAnsi="FreeSerif" w:cstheme="minorHAnsi"/>
          <w:sz w:val="24"/>
          <w:szCs w:val="24"/>
          <w:lang w:eastAsia="es-ES"/>
        </w:rPr>
        <w:t xml:space="preserve">. The RF classifies the samples according to a sample label and ranks the importance of the variables (ions) through the mean decrease accuracy value for the classification between CML and VML. Then, we plotted the HCA's 50 top ions with the highest mean decrease accuracy value. </w:t>
      </w:r>
    </w:p>
    <w:p>
      <w:pPr>
        <w:pStyle w:val="Ttulo21"/>
        <w:numPr>
          <w:ilvl w:val="0"/>
          <w:numId w:val="0"/>
        </w:numPr>
        <w:spacing w:lineRule="auto" w:line="480"/>
        <w:ind w:hanging="0" w:left="0"/>
        <w:rPr>
          <w:rFonts w:ascii="FreeSerif" w:hAnsi="FreeSerif"/>
          <w:szCs w:val="24"/>
          <w:lang w:val="en-US"/>
        </w:rPr>
      </w:pPr>
      <w:r>
        <w:rPr>
          <w:rFonts w:eastAsia="Times New Roman" w:cs="Calibri" w:ascii="FreeSerif" w:hAnsi="FreeSerif" w:cstheme="minorHAnsi"/>
          <w:szCs w:val="24"/>
          <w:lang w:val="en-US" w:eastAsia="es-ES"/>
        </w:rPr>
        <w:t>The total content of monomeric anthocyanins by spectrophotometry</w:t>
      </w:r>
    </w:p>
    <w:p>
      <w:pPr>
        <w:pStyle w:val="Normal"/>
        <w:spacing w:lineRule="auto" w:line="480" w:before="120" w:after="120"/>
        <w:jc w:val="both"/>
        <w:rPr>
          <w:rFonts w:ascii="FreeSerif" w:hAnsi="FreeSerif"/>
          <w:sz w:val="24"/>
          <w:szCs w:val="24"/>
        </w:rPr>
      </w:pPr>
      <w:r>
        <w:rPr>
          <w:rFonts w:eastAsia="Times New Roman" w:cs="Calibri" w:ascii="FreeSerif" w:hAnsi="FreeSerif" w:cstheme="minorHAnsi"/>
          <w:sz w:val="24"/>
          <w:szCs w:val="24"/>
          <w:lang w:eastAsia="es-ES"/>
        </w:rPr>
        <w:t xml:space="preserve">The differential pH method in a spectrophotometer was employed as described by </w:t>
      </w:r>
      <w:r>
        <w:fldChar w:fldCharType="begin"/>
      </w:r>
      <w:r>
        <w:rPr>
          <w:sz w:val="24"/>
          <w:szCs w:val="24"/>
          <w:rFonts w:eastAsia="Times New Roman" w:cs="Calibri" w:ascii="FreeSerif" w:hAnsi="FreeSerif"/>
          <w:lang w:eastAsia="es-ES"/>
        </w:rPr>
        <w:instrText xml:space="preserve">ADDIN CSL_CITATION {"citationItems":[{"id":"ITEM-1","itemData":{"DOI":"10.1093/jaoac/88.5.1269","ISSN":"10603271","PMID":"16385975","abstract":"This collaborative study was conducted to determine the total monomeric anthocyanin concentration by the pH differential method, which is a rapid and simple spectrophotometric method based on the anthocyanin structural transformation that occurs with a change in pH (colored at pH 1.0 and colorless at pH 4.5). Eleven collaborators representing commercial laboratories, academic institutions, and government laboratories participated. Seven Youden pair materials representing fruit juices, beverages, natural colorants, and wines were tested. The repeatability relative standard deviation (RSDr) varied from 1.06 to 4.16%. The reproducibility relative standard deviation (RSDR) ranged from 2.69 to 10.12%. The HorRat values were ≤1.33 for all materials. The Study Director recommends that the method be adopted Official First Action.","author":[{"dropping-particle":"","family":"Lee","given":"Jungmin","non-dropping-particle":"","parse-names":false,"suffix":""},{"dropping-particle":"","family":"Durst","given":"Robert W.","non-dropping-particle":"","parse-names":false,"suffix":""},{"dropping-particle":"","family":"Wrolstad","given":"Ronald E.","non-dropping-particle":"","parse-names":false,"suffix":""}],"container-title":"Journal of AOAC International","id":"ITEM-1","issue":"5","issued":{"date-parts":[["2005"]]},"page":"1269-1278","title":"Determination of total monomeric anthocyanin pigment content of fruit juices, beverages, natural colorants, and wines by the pH differential method: Collaborative study","type":"article-journal","volume":"88"},"uris":["http://www.mendeley.com/documents/?uuid=d332ff69-1d04-475d-ab2c-867b6dd020f4"]}],"mendeley":{"formattedCitation":"[8]","manualFormatting":"Lee et al. (2005)","plainTextFormattedCitation":"[8]","previouslyFormattedCitation":"[23]"},"properties":{"noteIndex":0},"schema":"https://github.com/citation-style-language/schema/raw/master/csl-citation.json"}</w:instrTex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separate"/>
      </w:r>
      <w:r>
        <w:rPr>
          <w:rFonts w:eastAsia="Times New Roman" w:cs="Calibri" w:ascii="FreeSerif" w:hAnsi="FreeSerif" w:cstheme="minorHAnsi"/>
          <w:sz w:val="24"/>
          <w:szCs w:val="24"/>
          <w:lang w:eastAsia="es-ES"/>
        </w:rPr>
      </w:r>
      <w:r>
        <w:rPr>
          <w:rFonts w:cs="Calibri" w:ascii="FreeSerif" w:hAnsi="FreeSerif" w:cstheme="minorHAnsi"/>
          <w:sz w:val="24"/>
          <w:szCs w:val="24"/>
        </w:rPr>
        <w:t>Lee et al. (2005)</w:t>
      </w:r>
      <w:r>
        <w:rPr>
          <w:rFonts w:eastAsia="Times New Roman" w:cs="Calibri" w:ascii="FreeSerif" w:hAnsi="FreeSerif" w:cstheme="minorHAnsi"/>
          <w:sz w:val="24"/>
          <w:szCs w:val="24"/>
          <w:lang w:eastAsia="es-ES"/>
        </w:rPr>
      </w:r>
      <w:r>
        <w:rPr>
          <w:sz w:val="24"/>
          <w:szCs w:val="24"/>
          <w:rFonts w:eastAsia="Times New Roman" w:cs="Calibri" w:ascii="FreeSerif" w:hAnsi="FreeSerif"/>
          <w:lang w:eastAsia="es-ES"/>
        </w:rPr>
        <w:fldChar w:fldCharType="end"/>
      </w:r>
      <w:r>
        <w:rPr>
          <w:rFonts w:cs="Calibri" w:ascii="FreeSerif" w:hAnsi="FreeSerif" w:cstheme="minorHAnsi"/>
          <w:sz w:val="24"/>
          <w:szCs w:val="24"/>
        </w:rPr>
        <w:t xml:space="preserve"> </w:t>
      </w:r>
      <w:r>
        <w:rPr>
          <w:rFonts w:eastAsia="Times New Roman" w:cs="Calibri" w:ascii="FreeSerif" w:hAnsi="FreeSerif" w:cstheme="minorHAnsi"/>
          <w:sz w:val="24"/>
          <w:szCs w:val="24"/>
          <w:lang w:eastAsia="es-ES"/>
        </w:rPr>
        <w:t>with a minor modification. The protocol measured an extract of the sample in two solutions: a buffer at pH = 1 (25 mM NaCl, adjusted with HCl) and a pH = 4.5 (0.4 M sodium acetate, adjusted with HCl). 20 mg of maize powder was weighed in two microtubes and then extracted twice to obtain the total anthocyanin content. After adding the solvent, it was mixed in a vortex mixer and left for 90 min under constant stirring in a ThermoMixer® at four °C. After incubation, extracts were centrifuged for ten minutes at 12,000 g. Then, the supernatant was recovered to measure at two lengths of 520 and 700 nm. Each sample had biological triplicates. The calculation for the anthocyanin concentration was as follows:</w:t>
      </w:r>
    </w:p>
    <w:p>
      <w:pPr>
        <w:pStyle w:val="Normal"/>
        <w:spacing w:lineRule="auto" w:line="480" w:before="120" w:after="120"/>
        <w:ind w:left="144" w:right="144"/>
        <w:jc w:val="center"/>
        <w:rPr>
          <w:rFonts w:ascii="FreeSerif" w:hAnsi="FreeSerif"/>
          <w:sz w:val="24"/>
          <w:szCs w:val="24"/>
        </w:rPr>
      </w:pPr>
      <w:r>
        <w:rPr>
          <w:rFonts w:cs="Calibri" w:ascii="FreeSerif" w:hAnsi="FreeSerif" w:cstheme="minorHAnsi"/>
          <w:b/>
          <w:bCs/>
          <w:sz w:val="24"/>
          <w:szCs w:val="24"/>
        </w:rPr>
        <w:t xml:space="preserve">Anthocyanin total content </w:t>
      </w:r>
      <w:bookmarkStart w:id="0" w:name="_Hlk73984694"/>
      <w:r>
        <w:rPr>
          <w:rFonts w:cs="Calibri" w:ascii="FreeSerif" w:hAnsi="FreeSerif" w:cstheme="minorHAnsi"/>
          <w:sz w:val="24"/>
          <w:szCs w:val="24"/>
        </w:rPr>
        <w:t>(the equivalent of cyanidin 3-</w:t>
      </w:r>
      <w:r>
        <w:rPr>
          <w:rFonts w:cs="Calibri" w:ascii="FreeSerif" w:hAnsi="FreeSerif" w:cstheme="minorHAnsi"/>
          <w:i/>
          <w:iCs/>
          <w:sz w:val="24"/>
          <w:szCs w:val="24"/>
        </w:rPr>
        <w:t>O</w:t>
      </w:r>
      <w:r>
        <w:rPr>
          <w:rFonts w:cs="Calibri" w:ascii="FreeSerif" w:hAnsi="FreeSerif" w:cstheme="minorHAnsi"/>
          <w:sz w:val="24"/>
          <w:szCs w:val="24"/>
        </w:rPr>
        <w:t>-glucoside in μg/g):</w:t>
      </w:r>
      <w:bookmarkEnd w:id="0"/>
    </w:p>
    <w:p>
      <w:pPr>
        <w:pStyle w:val="Normal"/>
        <w:spacing w:lineRule="auto" w:line="480" w:before="120" w:after="120"/>
        <w:ind w:left="144" w:right="144"/>
        <w:jc w:val="center"/>
        <w:rPr>
          <w:rFonts w:ascii="FreeSerif" w:hAnsi="FreeSerif"/>
          <w:sz w:val="24"/>
          <w:szCs w:val="24"/>
        </w:rPr>
      </w:pPr>
      <w:r>
        <w:rPr/>
      </w:r>
      <m:oMathPara xmlns:m="http://schemas.openxmlformats.org/officeDocument/2006/math">
        <m:oMathParaPr>
          <m:jc m:val="center"/>
        </m:oMathParaPr>
        <m:oMath>
          <m:f>
            <m:num>
              <m:r>
                <w:rPr>
                  <w:rFonts w:ascii="Cambria Math" w:hAnsi="Cambria Math"/>
                </w:rPr>
                <m:t xml:space="preserve">ΔAxMWxV</m:t>
              </m:r>
            </m:num>
            <m:den>
              <m:r>
                <w:rPr>
                  <w:rFonts w:ascii="Cambria Math" w:hAnsi="Cambria Math"/>
                </w:rPr>
                <m:t xml:space="preserve">εxlxW</m:t>
              </m:r>
            </m:den>
          </m:f>
        </m:oMath>
      </m:oMathPara>
    </w:p>
    <w:p>
      <w:pPr>
        <w:pStyle w:val="Normal"/>
        <w:spacing w:lineRule="auto" w:line="480" w:before="120" w:after="120"/>
        <w:ind w:left="144" w:right="144"/>
        <w:jc w:val="both"/>
        <w:rPr>
          <w:rFonts w:ascii="FreeSerif" w:hAnsi="FreeSerif"/>
          <w:sz w:val="24"/>
          <w:szCs w:val="24"/>
        </w:rPr>
      </w:pPr>
      <w:r>
        <w:rPr>
          <w:rFonts w:cs="Calibri" w:ascii="FreeSerif" w:hAnsi="FreeSerif" w:cstheme="minorHAnsi"/>
          <w:sz w:val="24"/>
          <w:szCs w:val="24"/>
        </w:rPr>
        <w:t xml:space="preserve">Where </w:t>
      </w:r>
      <w:r>
        <w:rPr>
          <w:rFonts w:cs="Calibri" w:ascii="FreeSerif" w:hAnsi="FreeSerif" w:cstheme="minorHAnsi"/>
          <w:i/>
          <w:iCs/>
          <w:sz w:val="24"/>
          <w:szCs w:val="24"/>
          <w:lang w:val="es-ES"/>
        </w:rPr>
        <w:t>Δ</w:t>
      </w:r>
      <w:r>
        <w:rPr>
          <w:rFonts w:cs="Calibri" w:ascii="FreeSerif" w:hAnsi="FreeSerif" w:cstheme="minorHAnsi"/>
          <w:i/>
          <w:iCs/>
          <w:sz w:val="24"/>
          <w:szCs w:val="24"/>
        </w:rPr>
        <w:t>A</w:t>
      </w:r>
      <w:r>
        <w:rPr>
          <w:rFonts w:cs="Calibri" w:ascii="FreeSerif" w:hAnsi="FreeSerif" w:cstheme="minorHAnsi"/>
          <w:sz w:val="24"/>
          <w:szCs w:val="24"/>
        </w:rPr>
        <w:t xml:space="preserve"> = (A</w:t>
      </w:r>
      <w:r>
        <w:rPr>
          <w:rFonts w:cs="Calibri" w:ascii="FreeSerif" w:hAnsi="FreeSerif" w:cstheme="minorHAnsi"/>
          <w:sz w:val="24"/>
          <w:szCs w:val="24"/>
          <w:vertAlign w:val="subscript"/>
        </w:rPr>
        <w:t>520nm</w:t>
      </w:r>
      <w:r>
        <w:rPr>
          <w:rFonts w:cs="Calibri" w:ascii="FreeSerif" w:hAnsi="FreeSerif" w:cstheme="minorHAnsi"/>
          <w:sz w:val="24"/>
          <w:szCs w:val="24"/>
        </w:rPr>
        <w:t>-A</w:t>
      </w:r>
      <w:r>
        <w:rPr>
          <w:rFonts w:cs="Calibri" w:ascii="FreeSerif" w:hAnsi="FreeSerif" w:cstheme="minorHAnsi"/>
          <w:sz w:val="24"/>
          <w:szCs w:val="24"/>
          <w:vertAlign w:val="subscript"/>
        </w:rPr>
        <w:t>700nm</w:t>
      </w:r>
      <w:r>
        <w:rPr>
          <w:rFonts w:cs="Calibri" w:ascii="FreeSerif" w:hAnsi="FreeSerif" w:cstheme="minorHAnsi"/>
          <w:sz w:val="24"/>
          <w:szCs w:val="24"/>
        </w:rPr>
        <w:t xml:space="preserve">) </w:t>
      </w:r>
      <w:r>
        <w:rPr>
          <w:rFonts w:cs="Calibri" w:ascii="FreeSerif" w:hAnsi="FreeSerif" w:cstheme="minorHAnsi"/>
          <w:sz w:val="24"/>
          <w:szCs w:val="24"/>
          <w:vertAlign w:val="subscript"/>
        </w:rPr>
        <w:t>pH1</w:t>
      </w:r>
      <w:r>
        <w:rPr>
          <w:rFonts w:cs="Calibri" w:ascii="FreeSerif" w:hAnsi="FreeSerif" w:cstheme="minorHAnsi"/>
          <w:sz w:val="24"/>
          <w:szCs w:val="24"/>
        </w:rPr>
        <w:t>- (A</w:t>
      </w:r>
      <w:r>
        <w:rPr>
          <w:rFonts w:cs="Calibri" w:ascii="FreeSerif" w:hAnsi="FreeSerif" w:cstheme="minorHAnsi"/>
          <w:sz w:val="24"/>
          <w:szCs w:val="24"/>
          <w:vertAlign w:val="subscript"/>
        </w:rPr>
        <w:t>520nm</w:t>
      </w:r>
      <w:r>
        <w:rPr>
          <w:rFonts w:cs="Calibri" w:ascii="FreeSerif" w:hAnsi="FreeSerif" w:cstheme="minorHAnsi"/>
          <w:sz w:val="24"/>
          <w:szCs w:val="24"/>
        </w:rPr>
        <w:t>-A</w:t>
      </w:r>
      <w:r>
        <w:rPr>
          <w:rFonts w:cs="Calibri" w:ascii="FreeSerif" w:hAnsi="FreeSerif" w:cstheme="minorHAnsi"/>
          <w:sz w:val="24"/>
          <w:szCs w:val="24"/>
          <w:vertAlign w:val="subscript"/>
        </w:rPr>
        <w:t>700nm</w:t>
      </w:r>
      <w:r>
        <w:rPr>
          <w:rFonts w:cs="Calibri" w:ascii="FreeSerif" w:hAnsi="FreeSerif" w:cstheme="minorHAnsi"/>
          <w:sz w:val="24"/>
          <w:szCs w:val="24"/>
        </w:rPr>
        <w:t xml:space="preserve">) </w:t>
      </w:r>
      <w:r>
        <w:rPr>
          <w:rFonts w:cs="Calibri" w:ascii="FreeSerif" w:hAnsi="FreeSerif" w:cstheme="minorHAnsi"/>
          <w:sz w:val="24"/>
          <w:szCs w:val="24"/>
          <w:vertAlign w:val="subscript"/>
        </w:rPr>
        <w:t>pH 4.5</w:t>
      </w:r>
      <w:r>
        <w:rPr>
          <w:rFonts w:cs="Calibri" w:ascii="FreeSerif" w:hAnsi="FreeSerif" w:cstheme="minorHAnsi"/>
          <w:sz w:val="24"/>
          <w:szCs w:val="24"/>
        </w:rPr>
        <w:t xml:space="preserve">; </w:t>
      </w:r>
      <w:r>
        <w:rPr>
          <w:rFonts w:cs="Calibri" w:ascii="FreeSerif" w:hAnsi="FreeSerif" w:cstheme="minorHAnsi"/>
          <w:i/>
          <w:iCs/>
          <w:sz w:val="24"/>
          <w:szCs w:val="24"/>
        </w:rPr>
        <w:t>MW</w:t>
      </w:r>
      <w:r>
        <w:rPr>
          <w:rFonts w:cs="Calibri" w:ascii="FreeSerif" w:hAnsi="FreeSerif" w:cstheme="minorHAnsi"/>
          <w:sz w:val="24"/>
          <w:szCs w:val="24"/>
        </w:rPr>
        <w:t xml:space="preserve"> (Molecular Weight) = 449.2 g/mol for cya-3-</w:t>
      </w:r>
      <w:r>
        <w:rPr>
          <w:rFonts w:cs="Calibri" w:ascii="FreeSerif" w:hAnsi="FreeSerif" w:cstheme="minorHAnsi"/>
          <w:i/>
          <w:iCs/>
          <w:sz w:val="24"/>
          <w:szCs w:val="24"/>
        </w:rPr>
        <w:t>O</w:t>
      </w:r>
      <w:r>
        <w:rPr>
          <w:rFonts w:cs="Calibri" w:ascii="FreeSerif" w:hAnsi="FreeSerif" w:cstheme="minorHAnsi"/>
          <w:sz w:val="24"/>
          <w:szCs w:val="24"/>
        </w:rPr>
        <w:t xml:space="preserve">-glc; </w:t>
      </w:r>
      <w:r>
        <w:rPr>
          <w:rFonts w:cs="Calibri" w:ascii="FreeSerif" w:hAnsi="FreeSerif" w:cstheme="minorHAnsi"/>
          <w:i/>
          <w:iCs/>
          <w:sz w:val="24"/>
          <w:szCs w:val="24"/>
        </w:rPr>
        <w:t>V</w:t>
      </w:r>
      <w:r>
        <w:rPr>
          <w:rFonts w:cs="Calibri" w:ascii="FreeSerif" w:hAnsi="FreeSerif" w:cstheme="minorHAnsi"/>
          <w:sz w:val="24"/>
          <w:szCs w:val="24"/>
        </w:rPr>
        <w:t xml:space="preserve"> is for volume = 0.0013 l; </w:t>
      </w:r>
      <w:r>
        <w:rPr>
          <w:rFonts w:cs="Calibri" w:ascii="FreeSerif" w:hAnsi="FreeSerif" w:cstheme="minorHAnsi"/>
          <w:i/>
          <w:iCs/>
          <w:sz w:val="24"/>
          <w:szCs w:val="24"/>
        </w:rPr>
        <w:t>l</w:t>
      </w:r>
      <w:r>
        <w:rPr>
          <w:rFonts w:cs="Calibri" w:ascii="FreeSerif" w:hAnsi="FreeSerif" w:cstheme="minorHAnsi"/>
          <w:sz w:val="24"/>
          <w:szCs w:val="24"/>
        </w:rPr>
        <w:t xml:space="preserve"> is distance, in cm; </w:t>
      </w:r>
      <w:r>
        <w:rPr>
          <w:rFonts w:cs="Calibri" w:ascii="FreeSerif" w:hAnsi="FreeSerif" w:cstheme="minorHAnsi"/>
          <w:i/>
          <w:iCs/>
          <w:sz w:val="24"/>
          <w:szCs w:val="24"/>
          <w:lang w:val="es-ES"/>
        </w:rPr>
        <w:t>ε</w:t>
      </w:r>
      <w:r>
        <w:rPr>
          <w:rFonts w:cs="Calibri" w:ascii="FreeSerif" w:hAnsi="FreeSerif" w:cstheme="minorHAnsi"/>
          <w:sz w:val="24"/>
          <w:szCs w:val="24"/>
        </w:rPr>
        <w:t xml:space="preserve"> (molar attenuation coefficient) = 26 900 l x mol</w:t>
      </w:r>
      <w:r>
        <w:rPr>
          <w:rFonts w:cs="Calibri" w:ascii="FreeSerif" w:hAnsi="FreeSerif" w:cstheme="minorHAnsi"/>
          <w:sz w:val="24"/>
          <w:szCs w:val="24"/>
          <w:vertAlign w:val="superscript"/>
        </w:rPr>
        <w:t>–1</w:t>
      </w:r>
      <w:r>
        <w:rPr>
          <w:rFonts w:cs="Calibri" w:ascii="FreeSerif" w:hAnsi="FreeSerif" w:cstheme="minorHAnsi"/>
          <w:sz w:val="24"/>
          <w:szCs w:val="24"/>
        </w:rPr>
        <w:t xml:space="preserve"> x cm</w:t>
      </w:r>
      <w:r>
        <w:rPr>
          <w:rFonts w:cs="Calibri" w:ascii="FreeSerif" w:hAnsi="FreeSerif" w:cstheme="minorHAnsi"/>
          <w:sz w:val="24"/>
          <w:szCs w:val="24"/>
          <w:vertAlign w:val="superscript"/>
        </w:rPr>
        <w:t>–1</w:t>
      </w:r>
      <w:r>
        <w:rPr>
          <w:rFonts w:cs="Calibri" w:ascii="FreeSerif" w:hAnsi="FreeSerif" w:cstheme="minorHAnsi"/>
          <w:sz w:val="24"/>
          <w:szCs w:val="24"/>
        </w:rPr>
        <w:t xml:space="preserve">; </w:t>
      </w:r>
      <w:r>
        <w:rPr>
          <w:rFonts w:cs="Calibri" w:ascii="FreeSerif" w:hAnsi="FreeSerif" w:cstheme="minorHAnsi"/>
          <w:i/>
          <w:iCs/>
          <w:sz w:val="24"/>
          <w:szCs w:val="24"/>
        </w:rPr>
        <w:t>W</w:t>
      </w:r>
      <w:r>
        <w:rPr>
          <w:rFonts w:cs="Calibri" w:ascii="FreeSerif" w:hAnsi="FreeSerif" w:cstheme="minorHAnsi"/>
          <w:sz w:val="24"/>
          <w:szCs w:val="24"/>
        </w:rPr>
        <w:t xml:space="preserve"> is for the sample dried weight (0.02 g). </w:t>
      </w:r>
    </w:p>
    <w:p>
      <w:pPr>
        <w:pStyle w:val="Ttulo21"/>
        <w:numPr>
          <w:ilvl w:val="0"/>
          <w:numId w:val="0"/>
        </w:numPr>
        <w:spacing w:lineRule="auto" w:line="480"/>
        <w:ind w:hanging="0" w:left="0"/>
        <w:rPr>
          <w:rFonts w:ascii="FreeSerif" w:hAnsi="FreeSerif"/>
          <w:szCs w:val="24"/>
          <w:lang w:val="en-US"/>
        </w:rPr>
      </w:pPr>
      <w:r>
        <w:rPr>
          <w:rFonts w:eastAsia="Times New Roman" w:cs="Calibri" w:ascii="FreeSerif" w:hAnsi="FreeSerif" w:cstheme="minorHAnsi"/>
          <w:szCs w:val="24"/>
          <w:lang w:val="en-US" w:eastAsia="es-ES"/>
        </w:rPr>
        <w:t>Carotenoid Profiling by HPLC</w:t>
      </w:r>
    </w:p>
    <w:p>
      <w:pPr>
        <w:pStyle w:val="Normal"/>
        <w:spacing w:lineRule="auto" w:line="480" w:before="120" w:after="120"/>
        <w:jc w:val="both"/>
        <w:rPr>
          <w:rFonts w:ascii="FreeSerif" w:hAnsi="FreeSerif"/>
          <w:sz w:val="24"/>
          <w:szCs w:val="24"/>
        </w:rPr>
      </w:pPr>
      <w:r>
        <w:rPr>
          <w:rFonts w:ascii="FreeSerif" w:hAnsi="FreeSerif"/>
          <w:sz w:val="24"/>
          <w:szCs w:val="24"/>
        </w:rPr>
        <w:t xml:space="preserve">This analysis followed the CIMMYT protocol </w:t>
      </w:r>
      <w:r>
        <w:fldChar w:fldCharType="begin"/>
      </w:r>
      <w:r>
        <w:rPr>
          <w:sz w:val="24"/>
          <w:szCs w:val="24"/>
          <w:rFonts w:ascii="FreeSerif" w:hAnsi="FreeSerif"/>
        </w:rPr>
        <w:instrText xml:space="preserve">ADDIN CSL_CITATION {"citationItems":[{"id":"ITEM-1","itemData":{"ISBN":"9789706481696","author":[{"dropping-particle":"","family":"Galicia","given":"L","non-dropping-particle":"","parse-names":false,"suffix":""},{"dropping-particle":"","family":"Nurit","given":"E","non-dropping-particle":"","parse-names":false,"suffix":""},{"dropping-particle":"","family":"Rosales","given":"Aldo","non-dropping-particle":"","parse-names":false,"suffix":""},{"dropping-particle":"","family":"Palacios–Rojas","given":"Natalia","non-dropping-particle":"","parse-names":false,"suffix":""}],"container-title":"Laboratory Protocols","id":"ITEM-1","issued":{"date-parts":[["2009"]]},"number-of-pages":"1-42","publisher":"CIMMYT","publisher-place":"Mexico City","title":"Laboratory protocols 2009: Maize nutrition quality and Plant tissue analysis laboratory","type":"book"},"uris":["http://www.mendeley.com/documents/?uuid=52e84349-5ac3-4986-81c0-07b1cebe8897"]}],"mendeley":{"formattedCitation":"[9]","plainTextFormattedCitation":"[9]","previouslyFormattedCitation":"[24]"},"properties":{"noteIndex":0},"schema":"https://github.com/citation-style-language/schema/raw/master/csl-citation.json"}</w:instrText>
      </w:r>
      <w:r>
        <w:rPr>
          <w:rFonts w:ascii="FreeSerif" w:hAnsi="FreeSerif"/>
          <w:sz w:val="24"/>
          <w:szCs w:val="24"/>
        </w:rPr>
      </w:r>
      <w:r>
        <w:rPr>
          <w:sz w:val="24"/>
          <w:szCs w:val="24"/>
          <w:rFonts w:ascii="FreeSerif" w:hAnsi="FreeSerif"/>
        </w:rPr>
        <w:fldChar w:fldCharType="separate"/>
      </w:r>
      <w:r>
        <w:rPr>
          <w:rFonts w:ascii="FreeSerif" w:hAnsi="FreeSerif"/>
          <w:sz w:val="24"/>
          <w:szCs w:val="24"/>
        </w:rPr>
        <w:t>[9]</w:t>
      </w:r>
      <w:r>
        <w:rPr>
          <w:rFonts w:ascii="FreeSerif" w:hAnsi="FreeSerif"/>
          <w:sz w:val="24"/>
          <w:szCs w:val="24"/>
        </w:rPr>
      </w:r>
      <w:r>
        <w:rPr>
          <w:sz w:val="24"/>
          <w:szCs w:val="24"/>
          <w:rFonts w:ascii="FreeSerif" w:hAnsi="FreeSerif"/>
        </w:rPr>
        <w:fldChar w:fldCharType="end"/>
      </w:r>
      <w:r>
        <w:rPr>
          <w:rFonts w:ascii="FreeSerif" w:hAnsi="FreeSerif"/>
          <w:sz w:val="24"/>
          <w:szCs w:val="24"/>
        </w:rPr>
        <w:t xml:space="preserve"> and was conducted at their facilities (Texcoco, Mexico). The process involved extracting and hydrolyzing esterified maize carotenoids and evaluating the free carotenoids using HPLC.</w:t>
      </w:r>
    </w:p>
    <w:p>
      <w:pPr>
        <w:pStyle w:val="Ttulo21"/>
        <w:numPr>
          <w:ilvl w:val="0"/>
          <w:numId w:val="0"/>
        </w:numPr>
        <w:spacing w:lineRule="auto" w:line="480"/>
        <w:ind w:hanging="0" w:left="0"/>
        <w:rPr>
          <w:rFonts w:ascii="FreeSerif" w:hAnsi="FreeSerif"/>
          <w:szCs w:val="24"/>
          <w:lang w:val="en-US"/>
        </w:rPr>
      </w:pPr>
      <w:r>
        <w:rPr>
          <w:rFonts w:cs="Calibri" w:ascii="FreeSerif" w:hAnsi="FreeSerif" w:cstheme="minorHAnsi"/>
          <w:szCs w:val="24"/>
          <w:lang w:val="en-US"/>
        </w:rPr>
        <w:t>Quantification of tryptophan and lysine by spectrophotometry</w:t>
      </w:r>
    </w:p>
    <w:p>
      <w:pPr>
        <w:pStyle w:val="Normal"/>
        <w:spacing w:lineRule="auto" w:line="480" w:before="120" w:after="120"/>
        <w:ind w:right="144"/>
        <w:jc w:val="both"/>
        <w:rPr>
          <w:rFonts w:ascii="FreeSerif" w:hAnsi="FreeSerif"/>
          <w:sz w:val="24"/>
          <w:szCs w:val="24"/>
        </w:rPr>
      </w:pPr>
      <w:r>
        <w:rPr>
          <w:rFonts w:cs="Calibri" w:ascii="FreeSerif" w:hAnsi="FreeSerif" w:cstheme="minorHAnsi"/>
          <w:sz w:val="24"/>
          <w:szCs w:val="24"/>
        </w:rPr>
        <w:t xml:space="preserve">Both quantifications were performed at CIMMYT using the methodology described by Galicia et al. </w:t>
      </w:r>
      <w:r>
        <w:fldChar w:fldCharType="begin"/>
      </w:r>
      <w:r>
        <w:rPr>
          <w:sz w:val="24"/>
          <w:szCs w:val="24"/>
          <w:rFonts w:cs="Calibri" w:ascii="FreeSerif" w:hAnsi="FreeSerif"/>
        </w:rPr>
        <w:instrText xml:space="preserve">ADDIN CSL_CITATION {"citationItems":[{"id":"ITEM-1","itemData":{"ISBN":"9789706481696","author":[{"dropping-particle":"","family":"Galicia","given":"L","non-dropping-particle":"","parse-names":false,"suffix":""},{"dropping-particle":"","family":"Nurit","given":"E","non-dropping-particle":"","parse-names":false,"suffix":""},{"dropping-particle":"","family":"Rosales","given":"Aldo","non-dropping-particle":"","parse-names":false,"suffix":""},{"dropping-particle":"","family":"Palacios–Rojas","given":"Natalia","non-dropping-particle":"","parse-names":false,"suffix":""}],"container-title":"Laboratory Protocols","id":"ITEM-1","issued":{"date-parts":[["2009"]]},"number-of-pages":"1-42","publisher":"CIMMYT","publisher-place":"Mexico City","title":"Laboratory protocols 2009: Maize nutrition quality and Plant tissue analysis laboratory","type":"book"},"uris":["http://www.mendeley.com/documents/?uuid=52e84349-5ac3-4986-81c0-07b1cebe8897"]}],"mendeley":{"formattedCitation":"[9]","manualFormatting":"(2009)","plainTextFormattedCitation":"[9]","previouslyFormattedCitation":"[24]"},"properties":{"noteIndex":0},"schema":"https://github.com/citation-style-language/schema/raw/master/csl-citation.json"}</w:instrText>
      </w:r>
      <w:r>
        <w:rPr>
          <w:rFonts w:cs="Calibri" w:ascii="FreeSerif" w:hAnsi="FreeSerif" w:cstheme="minorHAnsi"/>
          <w:sz w:val="24"/>
          <w:szCs w:val="24"/>
        </w:rPr>
      </w:r>
      <w:r>
        <w:rPr>
          <w:sz w:val="24"/>
          <w:szCs w:val="24"/>
          <w:rFonts w:cs="Calibri" w:ascii="FreeSerif" w:hAnsi="FreeSerif"/>
        </w:rPr>
        <w:fldChar w:fldCharType="separate"/>
      </w:r>
      <w:r>
        <w:rPr>
          <w:rFonts w:cs="Calibri" w:ascii="FreeSerif" w:hAnsi="FreeSerif" w:cstheme="minorHAnsi"/>
          <w:sz w:val="24"/>
          <w:szCs w:val="24"/>
        </w:rPr>
        <w:t>(2009)</w:t>
      </w:r>
      <w:r>
        <w:rPr>
          <w:rFonts w:cs="Calibri" w:ascii="FreeSerif" w:hAnsi="FreeSerif" w:cstheme="minorHAnsi"/>
          <w:sz w:val="24"/>
          <w:szCs w:val="24"/>
        </w:rPr>
      </w:r>
      <w:r>
        <w:rPr>
          <w:sz w:val="24"/>
          <w:szCs w:val="24"/>
          <w:rFonts w:cs="Calibri" w:ascii="FreeSerif" w:hAnsi="FreeSerif"/>
        </w:rPr>
        <w:fldChar w:fldCharType="end"/>
      </w:r>
      <w:r>
        <w:rPr>
          <w:rFonts w:cs="Calibri" w:ascii="FreeSerif" w:hAnsi="FreeSerif" w:cstheme="minorHAnsi"/>
          <w:sz w:val="24"/>
          <w:szCs w:val="24"/>
        </w:rPr>
        <w:t>. The protocols include a protein hydrolysis process before the amino acid quantification. The targeted amino acids undergo specific reactions: lysine reacts with 2-chloro-3,5-dinitropyridine, and tryptophan reacts with glyoxylic acid under acidic conditions.</w:t>
      </w:r>
    </w:p>
    <w:p>
      <w:pPr>
        <w:pStyle w:val="Ttulo21"/>
        <w:numPr>
          <w:ilvl w:val="0"/>
          <w:numId w:val="0"/>
        </w:numPr>
        <w:spacing w:lineRule="auto" w:line="480"/>
        <w:ind w:hanging="0" w:left="0"/>
        <w:rPr>
          <w:rFonts w:ascii="FreeSerif" w:hAnsi="FreeSerif"/>
          <w:szCs w:val="24"/>
          <w:lang w:val="en-US"/>
        </w:rPr>
      </w:pPr>
      <w:r>
        <w:rPr>
          <w:rFonts w:cs="Calibri" w:ascii="FreeSerif" w:hAnsi="FreeSerif" w:cstheme="minorHAnsi"/>
          <w:szCs w:val="24"/>
          <w:lang w:val="en-US"/>
        </w:rPr>
        <w:t>Primers design</w:t>
      </w:r>
    </w:p>
    <w:p>
      <w:pPr>
        <w:pStyle w:val="Normal"/>
        <w:spacing w:lineRule="auto" w:line="480" w:before="120" w:after="120"/>
        <w:ind w:right="144"/>
        <w:jc w:val="both"/>
        <w:rPr>
          <w:rFonts w:ascii="FreeSerif" w:hAnsi="FreeSerif"/>
          <w:sz w:val="24"/>
          <w:szCs w:val="24"/>
        </w:rPr>
      </w:pPr>
      <w:r>
        <w:rPr>
          <w:rFonts w:cs="Calibri" w:ascii="FreeSerif" w:hAnsi="FreeSerif" w:cstheme="minorHAnsi"/>
          <w:sz w:val="24"/>
          <w:szCs w:val="24"/>
        </w:rPr>
        <w:t>We employed the Primer-BLAST software (NCBI-NIH) for the primer design for the genes ZmMYB1 (</w:t>
      </w:r>
      <w:r>
        <w:rPr>
          <w:rFonts w:cs="Calibri" w:ascii="FreeSerif" w:hAnsi="FreeSerif" w:cstheme="minorHAnsi"/>
          <w:i/>
          <w:iCs/>
          <w:sz w:val="24"/>
          <w:szCs w:val="24"/>
        </w:rPr>
        <w:t>c1</w:t>
      </w:r>
      <w:r>
        <w:rPr>
          <w:rFonts w:cs="Calibri" w:ascii="FreeSerif" w:hAnsi="FreeSerif" w:cstheme="minorHAnsi"/>
          <w:sz w:val="24"/>
          <w:szCs w:val="24"/>
        </w:rPr>
        <w:t>, GRMZM2G005066) and ZmbHLH1 (</w:t>
      </w:r>
      <w:r>
        <w:rPr>
          <w:rFonts w:cs="Calibri" w:ascii="FreeSerif" w:hAnsi="FreeSerif" w:cstheme="minorHAnsi"/>
          <w:i/>
          <w:iCs/>
          <w:sz w:val="24"/>
          <w:szCs w:val="24"/>
        </w:rPr>
        <w:t>r1</w:t>
      </w:r>
      <w:r>
        <w:rPr>
          <w:rFonts w:cs="Calibri" w:ascii="FreeSerif" w:hAnsi="FreeSerif" w:cstheme="minorHAnsi"/>
          <w:sz w:val="24"/>
          <w:szCs w:val="24"/>
        </w:rPr>
        <w:t xml:space="preserve">, GRMZM5G822829). The parameters for the oligonucleotide design were amplicon length (800-1200), Tm of 56 to 64 ° C, and a Tm difference of 3. The accessions used for the multiple sequence alignment include the </w:t>
      </w:r>
      <w:r>
        <w:rPr>
          <w:rFonts w:cs="Calibri" w:ascii="FreeSerif" w:hAnsi="FreeSerif" w:cstheme="minorHAnsi"/>
          <w:i/>
          <w:iCs/>
          <w:sz w:val="24"/>
          <w:szCs w:val="24"/>
        </w:rPr>
        <w:t>C1</w:t>
      </w:r>
      <w:r>
        <w:rPr>
          <w:rFonts w:cs="Calibri" w:ascii="FreeSerif" w:hAnsi="FreeSerif" w:cstheme="minorHAnsi"/>
          <w:sz w:val="24"/>
          <w:szCs w:val="24"/>
        </w:rPr>
        <w:t xml:space="preserve">, </w:t>
      </w:r>
      <w:r>
        <w:rPr>
          <w:rFonts w:cs="Calibri" w:ascii="FreeSerif" w:hAnsi="FreeSerif" w:cstheme="minorHAnsi"/>
          <w:i/>
          <w:iCs/>
          <w:sz w:val="24"/>
          <w:szCs w:val="24"/>
        </w:rPr>
        <w:t>C1-I</w:t>
      </w:r>
      <w:r>
        <w:rPr>
          <w:rFonts w:cs="Calibri" w:ascii="FreeSerif" w:hAnsi="FreeSerif" w:cstheme="minorHAnsi"/>
          <w:sz w:val="24"/>
          <w:szCs w:val="24"/>
        </w:rPr>
        <w:t xml:space="preserve">, and </w:t>
      </w:r>
      <w:r>
        <w:rPr>
          <w:rFonts w:cs="Calibri" w:ascii="FreeSerif" w:hAnsi="FreeSerif" w:cstheme="minorHAnsi"/>
          <w:i/>
          <w:iCs/>
          <w:sz w:val="24"/>
          <w:szCs w:val="24"/>
        </w:rPr>
        <w:t>c1-B73</w:t>
      </w:r>
      <w:r>
        <w:rPr>
          <w:rFonts w:cs="Calibri" w:ascii="FreeSerif" w:hAnsi="FreeSerif" w:cstheme="minorHAnsi"/>
          <w:sz w:val="24"/>
          <w:szCs w:val="24"/>
        </w:rPr>
        <w:t xml:space="preserve"> alleles available from the NCBI database. The design of primers for the </w:t>
      </w:r>
      <w:r>
        <w:rPr>
          <w:rFonts w:cs="Calibri" w:ascii="FreeSerif" w:hAnsi="FreeSerif" w:cstheme="minorHAnsi"/>
          <w:i/>
          <w:iCs/>
          <w:sz w:val="24"/>
          <w:szCs w:val="24"/>
        </w:rPr>
        <w:t>c1</w:t>
      </w:r>
      <w:r>
        <w:rPr>
          <w:rFonts w:cs="Calibri" w:ascii="FreeSerif" w:hAnsi="FreeSerif" w:cstheme="minorHAnsi"/>
          <w:sz w:val="24"/>
          <w:szCs w:val="24"/>
        </w:rPr>
        <w:t xml:space="preserve"> gene included exon 1 to exon 3. The accessions for the </w:t>
      </w:r>
      <w:r>
        <w:rPr>
          <w:rFonts w:cs="Calibri" w:ascii="FreeSerif" w:hAnsi="FreeSerif" w:cstheme="minorHAnsi"/>
          <w:i/>
          <w:iCs/>
          <w:sz w:val="24"/>
          <w:szCs w:val="24"/>
        </w:rPr>
        <w:t>C1</w:t>
      </w:r>
      <w:r>
        <w:rPr>
          <w:rFonts w:cs="Calibri" w:ascii="FreeSerif" w:hAnsi="FreeSerif" w:cstheme="minorHAnsi"/>
          <w:sz w:val="24"/>
          <w:szCs w:val="24"/>
        </w:rPr>
        <w:t xml:space="preserve"> allele were M37153.1, X06333.1, AF320614.3, and AF320613.3; for the </w:t>
      </w:r>
      <w:r>
        <w:rPr>
          <w:rFonts w:cs="Calibri" w:ascii="FreeSerif" w:hAnsi="FreeSerif" w:cstheme="minorHAnsi"/>
          <w:i/>
          <w:iCs/>
          <w:sz w:val="24"/>
          <w:szCs w:val="24"/>
        </w:rPr>
        <w:t>C1-I</w:t>
      </w:r>
      <w:r>
        <w:rPr>
          <w:rFonts w:cs="Calibri" w:ascii="FreeSerif" w:hAnsi="FreeSerif" w:cstheme="minorHAnsi"/>
          <w:sz w:val="24"/>
          <w:szCs w:val="24"/>
        </w:rPr>
        <w:t xml:space="preserve">, we included the accession X52201. 1, and </w:t>
      </w:r>
      <w:r>
        <w:rPr>
          <w:rFonts w:cs="Calibri" w:ascii="FreeSerif" w:hAnsi="FreeSerif" w:cstheme="minorHAnsi"/>
          <w:i/>
          <w:iCs/>
          <w:sz w:val="24"/>
          <w:szCs w:val="24"/>
        </w:rPr>
        <w:t>c1-B73</w:t>
      </w:r>
      <w:r>
        <w:rPr>
          <w:rFonts w:cs="Calibri" w:ascii="FreeSerif" w:hAnsi="FreeSerif" w:cstheme="minorHAnsi"/>
          <w:sz w:val="24"/>
          <w:szCs w:val="24"/>
        </w:rPr>
        <w:t xml:space="preserve"> (NC_050104.1: c11118364-11117170). </w:t>
      </w:r>
    </w:p>
    <w:p>
      <w:pPr>
        <w:pStyle w:val="Normal"/>
        <w:spacing w:lineRule="auto" w:line="480" w:before="120" w:after="120"/>
        <w:ind w:right="144"/>
        <w:jc w:val="both"/>
        <w:rPr>
          <w:rFonts w:ascii="FreeSerif" w:hAnsi="FreeSerif"/>
          <w:sz w:val="24"/>
          <w:szCs w:val="24"/>
        </w:rPr>
      </w:pPr>
      <w:r>
        <w:rPr>
          <w:rFonts w:cs="Calibri" w:ascii="FreeSerif" w:hAnsi="FreeSerif" w:cstheme="minorHAnsi"/>
          <w:sz w:val="24"/>
          <w:szCs w:val="24"/>
        </w:rPr>
        <w:t xml:space="preserve">For the primers of the </w:t>
      </w:r>
      <w:r>
        <w:rPr>
          <w:rFonts w:cs="Calibri" w:ascii="FreeSerif" w:hAnsi="FreeSerif" w:cstheme="minorHAnsi"/>
          <w:i/>
          <w:iCs/>
          <w:sz w:val="24"/>
          <w:szCs w:val="24"/>
        </w:rPr>
        <w:t>r1</w:t>
      </w:r>
      <w:r>
        <w:rPr>
          <w:rFonts w:cs="Calibri" w:ascii="FreeSerif" w:hAnsi="FreeSerif" w:cstheme="minorHAnsi"/>
          <w:sz w:val="24"/>
          <w:szCs w:val="24"/>
        </w:rPr>
        <w:t xml:space="preserve"> gene, all the available alleles include at least the first exon, which is present in the transcript expressed in the aleurone </w:t>
      </w:r>
      <w:r>
        <w:fldChar w:fldCharType="begin"/>
      </w:r>
      <w:r>
        <w:rPr>
          <w:sz w:val="24"/>
          <w:szCs w:val="24"/>
          <w:rFonts w:cs="Calibri" w:ascii="FreeSerif" w:hAnsi="FreeSerif"/>
        </w:rPr>
        <w:instrText xml:space="preserve">ADDIN CSL_CITATION {"citationItems":[{"id":"ITEM-1","itemData":{"DOI":"10.1023/A:1014959230492","ISBN":"0167-4412","ISSN":"01674412","PMID":"11999378","abstract":"Anthocyanin biosynthesis in Zea mays is controlled by regulatory genes of the r1/b1 family that encode bHLH transcription factors. Analysis of the 381 nucleotide leader sequence of a member of this family, Sn, discloses the presence of five ATG triplets upstream of the coding region and three upstream open reading frames (uORFs) of 38, 15 and 13 amino acids respectively. RT-PCR studies revealed that a splicing event occurs in the leader region in the different tissues tested. Splicing deletes 146 nucleotides which include uORF2 and uORF3. By trans-activation experiments in maize protoplasts we find that the spliced leader, compared to the non-spliced one, reduces the number of pigmented protoplasts by four-fold. We suggest a multilevel regulation of the Sn transcription factor acting not only at the transcriptional but also at the post-transcriptional level.","author":[{"dropping-particle":"","family":"Procissi","given":"A.","non-dropping-particle":"","parse-names":false,"suffix":""},{"dropping-particle":"","family":"Piazza","given":"P.","non-dropping-particle":"","parse-names":false,"suffix":""},{"dropping-particle":"","family":"Tonelli","given":"C.","non-dropping-particle":"","parse-names":false,"suffix":""}],"container-title":"Plant Molecular Biology","id":"ITEM-1","issue":"2","issued":{"date-parts":[["2002"]]},"page":"239-248","title":"A maize r1 gene is regulated post-transcriptionally by differential splicing of its leader","type":"article-journal","volume":"49"},"uris":["http://www.mendeley.com/documents/?uuid=51527da5-5c53-431e-a69b-6a8b49315315"]}],"mendeley":{"formattedCitation":"[10]","plainTextFormattedCitation":"[10]","previouslyFormattedCitation":"[25]"},"properties":{"noteIndex":0},"schema":"https://github.com/citation-style-language/schema/raw/master/csl-citation.json"}</w:instrText>
      </w:r>
      <w:r>
        <w:rPr>
          <w:rFonts w:cs="Calibri" w:ascii="FreeSerif" w:hAnsi="FreeSerif" w:cstheme="minorHAnsi"/>
          <w:sz w:val="24"/>
          <w:szCs w:val="24"/>
        </w:rPr>
      </w:r>
      <w:r>
        <w:rPr>
          <w:sz w:val="24"/>
          <w:szCs w:val="24"/>
          <w:rFonts w:cs="Calibri" w:ascii="FreeSerif" w:hAnsi="FreeSerif"/>
        </w:rPr>
        <w:fldChar w:fldCharType="separate"/>
      </w:r>
      <w:r>
        <w:rPr>
          <w:rFonts w:cs="Calibri" w:ascii="FreeSerif" w:hAnsi="FreeSerif" w:cstheme="minorHAnsi"/>
          <w:sz w:val="24"/>
          <w:szCs w:val="24"/>
        </w:rPr>
        <w:t>[10]</w:t>
      </w:r>
      <w:r>
        <w:rPr>
          <w:rFonts w:cs="Calibri" w:ascii="FreeSerif" w:hAnsi="FreeSerif" w:cstheme="minorHAnsi"/>
          <w:sz w:val="24"/>
          <w:szCs w:val="24"/>
        </w:rPr>
      </w:r>
      <w:r>
        <w:rPr>
          <w:sz w:val="24"/>
          <w:szCs w:val="24"/>
          <w:rFonts w:cs="Calibri" w:ascii="FreeSerif" w:hAnsi="FreeSerif"/>
        </w:rPr>
        <w:fldChar w:fldCharType="end"/>
      </w:r>
      <w:r>
        <w:rPr>
          <w:rFonts w:cs="Calibri" w:ascii="FreeSerif" w:hAnsi="FreeSerif" w:cstheme="minorHAnsi"/>
          <w:sz w:val="24"/>
          <w:szCs w:val="24"/>
        </w:rPr>
        <w:t xml:space="preserve">. These alleles are R-d: Catspaw (U93178.1), alc1 (DQ414252.1), r-st (AF380388.1), and r1-Lcm1 (AF135456) and r1-B73 (NC_050105.1: 141187431-141196825). We used the Beacon Designer program (Primer Biosoft) to confirm the calculated Tm, absence of the dimerizations, and secondary structures. The sequence of the primers for the </w:t>
      </w:r>
      <w:r>
        <w:rPr>
          <w:rFonts w:cs="Calibri" w:ascii="FreeSerif" w:hAnsi="FreeSerif" w:cstheme="minorHAnsi"/>
          <w:i/>
          <w:iCs/>
          <w:sz w:val="24"/>
          <w:szCs w:val="24"/>
        </w:rPr>
        <w:t>c1</w:t>
      </w:r>
      <w:r>
        <w:rPr>
          <w:rFonts w:cs="Calibri" w:ascii="FreeSerif" w:hAnsi="FreeSerif" w:cstheme="minorHAnsi"/>
          <w:sz w:val="24"/>
          <w:szCs w:val="24"/>
        </w:rPr>
        <w:t xml:space="preserve"> gene are C1_E13A_Fw (upstream primer 5′-</w:t>
      </w:r>
      <w:r>
        <w:rPr>
          <w:rFonts w:ascii="FreeSerif" w:hAnsi="FreeSerif"/>
          <w:sz w:val="24"/>
          <w:szCs w:val="24"/>
        </w:rPr>
        <w:t xml:space="preserve"> </w:t>
      </w:r>
      <w:r>
        <w:rPr>
          <w:rFonts w:cs="Calibri" w:ascii="FreeSerif" w:hAnsi="FreeSerif" w:cstheme="minorHAnsi"/>
          <w:sz w:val="24"/>
          <w:szCs w:val="24"/>
        </w:rPr>
        <w:t xml:space="preserve">GTGGACGAGCAAGGAGGAC-3′) and C1_E13A_Rv (downstream primer 5′- CTGACA-GCGGAGCCAGTC-3′); for the </w:t>
      </w:r>
      <w:r>
        <w:rPr>
          <w:rFonts w:cs="Calibri" w:ascii="FreeSerif" w:hAnsi="FreeSerif" w:cstheme="minorHAnsi"/>
          <w:i/>
          <w:iCs/>
          <w:sz w:val="24"/>
          <w:szCs w:val="24"/>
        </w:rPr>
        <w:t>r1</w:t>
      </w:r>
      <w:r>
        <w:rPr>
          <w:rFonts w:cs="Calibri" w:ascii="FreeSerif" w:hAnsi="FreeSerif" w:cstheme="minorHAnsi"/>
          <w:sz w:val="24"/>
          <w:szCs w:val="24"/>
        </w:rPr>
        <w:t xml:space="preserve"> gene: R1_PIEA_Fw (upstream primer 5′- CGCCCT-CTTCTGGTCCATTT-3′) and R1_PIEB_Rv (downstream primer 5′- GACCGTACCGATGTTCTCGT-3 ′). The size of the amplified products was 989 bp for the C1_E13A pair and 1086 bp for the R1_PIEA pair. The synthesis of the primers was carried out in the company T4Oligo® (Irapuato, Mexico).</w:t>
      </w:r>
    </w:p>
    <w:p>
      <w:pPr>
        <w:pStyle w:val="Ttulo21"/>
        <w:numPr>
          <w:ilvl w:val="0"/>
          <w:numId w:val="0"/>
        </w:numPr>
        <w:spacing w:lineRule="auto" w:line="480"/>
        <w:ind w:hanging="0" w:left="0"/>
        <w:rPr>
          <w:rFonts w:ascii="FreeSerif" w:hAnsi="FreeSerif"/>
          <w:szCs w:val="24"/>
          <w:lang w:val="en-US"/>
        </w:rPr>
      </w:pPr>
      <w:r>
        <w:rPr>
          <w:rFonts w:cs="Calibri" w:ascii="FreeSerif" w:hAnsi="FreeSerif" w:cstheme="minorHAnsi"/>
          <w:szCs w:val="24"/>
          <w:lang w:val="en-US"/>
        </w:rPr>
        <w:t>Plant material for DNA extraction</w:t>
      </w:r>
    </w:p>
    <w:p>
      <w:pPr>
        <w:pStyle w:val="Normal"/>
        <w:spacing w:lineRule="auto" w:line="480" w:before="120" w:after="120"/>
        <w:ind w:right="144"/>
        <w:jc w:val="both"/>
        <w:rPr>
          <w:rFonts w:ascii="FreeSerif" w:hAnsi="FreeSerif"/>
          <w:sz w:val="24"/>
          <w:szCs w:val="24"/>
        </w:rPr>
      </w:pPr>
      <w:r>
        <w:rPr>
          <w:rFonts w:cs="Calibri" w:ascii="FreeSerif" w:hAnsi="FreeSerif" w:cstheme="minorHAnsi"/>
          <w:sz w:val="24"/>
          <w:szCs w:val="24"/>
        </w:rPr>
        <w:t>The maize leaves were harvested in the V3 development stage, collected directly into liquid nitrogen, and kept at -80 ° C until processing. The collected tissues were ground in a mortar with a pestle and liquid nitrogen. Then, 200 to 400 mg of frozen tissue was weighed into a 2 mL microtube.</w:t>
      </w:r>
    </w:p>
    <w:p>
      <w:pPr>
        <w:pStyle w:val="Ttulo21"/>
        <w:numPr>
          <w:ilvl w:val="0"/>
          <w:numId w:val="0"/>
        </w:numPr>
        <w:spacing w:lineRule="auto" w:line="480"/>
        <w:ind w:hanging="0" w:left="0"/>
        <w:rPr>
          <w:rFonts w:ascii="FreeSerif" w:hAnsi="FreeSerif"/>
          <w:szCs w:val="24"/>
          <w:lang w:val="en-US"/>
        </w:rPr>
      </w:pPr>
      <w:r>
        <w:rPr>
          <w:rFonts w:cs="Calibri" w:ascii="FreeSerif" w:hAnsi="FreeSerif" w:cstheme="minorHAnsi"/>
          <w:szCs w:val="24"/>
          <w:lang w:val="en-US"/>
        </w:rPr>
        <w:t>DNA extraction protocol</w:t>
      </w:r>
    </w:p>
    <w:p>
      <w:pPr>
        <w:pStyle w:val="Normal"/>
        <w:spacing w:lineRule="auto" w:line="480" w:before="120" w:after="120"/>
        <w:ind w:right="144"/>
        <w:jc w:val="both"/>
        <w:rPr>
          <w:rFonts w:ascii="FreeSerif" w:hAnsi="FreeSerif"/>
          <w:sz w:val="24"/>
          <w:szCs w:val="24"/>
        </w:rPr>
      </w:pPr>
      <w:r>
        <w:rPr>
          <w:rFonts w:cs="Calibri" w:ascii="FreeSerif" w:hAnsi="FreeSerif" w:cstheme="minorHAnsi"/>
          <w:sz w:val="24"/>
          <w:szCs w:val="24"/>
        </w:rPr>
        <w:t xml:space="preserve">A CTAB buffer extraction was used </w:t>
      </w:r>
      <w:r>
        <w:fldChar w:fldCharType="begin"/>
      </w:r>
      <w:r>
        <w:rPr>
          <w:sz w:val="24"/>
          <w:szCs w:val="24"/>
          <w:rFonts w:cs="Calibri" w:ascii="FreeSerif" w:hAnsi="FreeSerif"/>
        </w:rPr>
        <w:instrText xml:space="preserve">ADDIN CSL_CITATION {"citationItems":[{"id":"ITEM-1","itemData":{"abstract":"The primary motive for compiling and publishing this manual was to provide scientists, researchers, and students from national agricultural research systems, universities, and small private companies in developing countries, as well as advanced research institutions in the developed world, with a useful guide on the protocols currently in use in the Applied Molecular Genetics (AMG) Laboratory of CIMMYT’s Applied Biotechnology Center (a part of CIMMYT’s Genetics Resources Program). Now in its third edition, this manual incorporates the feedback and suggestions sent in by people who have used it in the past. Since the first edition of this manual was published, more than 1000 copies (of both the English and Spanish versions) have been distributed.","author":[{"dropping-particle":"","family":"CIMMYT","given":"","non-dropping-particle":"","parse-names":false,"suffix":""}],"edition":"Third","id":"ITEM-1","issued":{"date-parts":[["2005"]]},"number-of-pages":"102","publisher":"CIMMYT","publisher-place":"Mexico City","title":"Laboratory Protocols: CIMMYT Applied Molecular Genetics Laboratory","type":"book"},"uris":["http://www.mendeley.com/documents/?uuid=67f7de75-cc54-4a49-ab5e-2491a4158f3f"]}],"mendeley":{"formattedCitation":"[11]","plainTextFormattedCitation":"[11]","previouslyFormattedCitation":"[26]"},"properties":{"noteIndex":0},"schema":"https://github.com/citation-style-language/schema/raw/master/csl-citation.json"}</w:instrText>
      </w:r>
      <w:r>
        <w:rPr>
          <w:rFonts w:cs="Calibri" w:ascii="FreeSerif" w:hAnsi="FreeSerif" w:cstheme="minorHAnsi"/>
          <w:sz w:val="24"/>
          <w:szCs w:val="24"/>
        </w:rPr>
      </w:r>
      <w:r>
        <w:rPr>
          <w:sz w:val="24"/>
          <w:szCs w:val="24"/>
          <w:rFonts w:cs="Calibri" w:ascii="FreeSerif" w:hAnsi="FreeSerif"/>
        </w:rPr>
        <w:fldChar w:fldCharType="separate"/>
      </w:r>
      <w:r>
        <w:rPr>
          <w:rFonts w:cs="Calibri" w:ascii="FreeSerif" w:hAnsi="FreeSerif" w:cstheme="minorHAnsi"/>
          <w:sz w:val="24"/>
          <w:szCs w:val="24"/>
        </w:rPr>
        <w:t>[11]</w:t>
      </w:r>
      <w:r>
        <w:rPr>
          <w:rFonts w:cs="Calibri" w:ascii="FreeSerif" w:hAnsi="FreeSerif" w:cstheme="minorHAnsi"/>
          <w:sz w:val="24"/>
          <w:szCs w:val="24"/>
        </w:rPr>
      </w:r>
      <w:r>
        <w:rPr>
          <w:sz w:val="24"/>
          <w:szCs w:val="24"/>
          <w:rFonts w:cs="Calibri" w:ascii="FreeSerif" w:hAnsi="FreeSerif"/>
        </w:rPr>
        <w:fldChar w:fldCharType="end"/>
      </w:r>
      <w:r>
        <w:rPr>
          <w:rFonts w:cs="Calibri" w:ascii="FreeSerif" w:hAnsi="FreeSerif" w:cstheme="minorHAnsi"/>
          <w:sz w:val="24"/>
          <w:szCs w:val="24"/>
        </w:rPr>
        <w:t>. In this protocol, 1 mL of CTAB buffer (1% CTAB, 100 mM Tris-7.5, 700 mM NaCl, 50 mM EDTA) was added to each 2 ml microtube with plant tissue and incubated for 90 min at 65 °C in a ThermoMixer® (Eppendorf), with a constant movement at 400 rpm. Subsequently, the samples were mixed for 10 min with 1 mL of CHCl</w:t>
      </w:r>
      <w:r>
        <w:rPr>
          <w:rFonts w:cs="Calibri" w:ascii="FreeSerif" w:hAnsi="FreeSerif" w:cstheme="minorHAnsi"/>
          <w:sz w:val="24"/>
          <w:szCs w:val="24"/>
          <w:vertAlign w:val="subscript"/>
        </w:rPr>
        <w:t>3</w:t>
      </w:r>
      <w:r>
        <w:rPr>
          <w:rFonts w:cs="Calibri" w:ascii="FreeSerif" w:hAnsi="FreeSerif" w:cstheme="minorHAnsi"/>
          <w:sz w:val="24"/>
          <w:szCs w:val="24"/>
        </w:rPr>
        <w:t>/octanol (24: 1) and centrifuged. Then, the 700 µl of the aqueous phase was removed and incubated with 10 µl RNase for 30 min; the DNA was precipitated with isopropanol and washed with ethanol. It ends by drying at room temperature. A spectrometric analysis determined the DNA quality and quantity, followed by an agarose gel electrophoresis to check the DNA integrity.</w:t>
      </w:r>
    </w:p>
    <w:p>
      <w:pPr>
        <w:pStyle w:val="Ttulo21"/>
        <w:numPr>
          <w:ilvl w:val="0"/>
          <w:numId w:val="0"/>
        </w:numPr>
        <w:spacing w:lineRule="auto" w:line="480"/>
        <w:ind w:hanging="0" w:left="0"/>
        <w:rPr>
          <w:rFonts w:ascii="FreeSerif" w:hAnsi="FreeSerif"/>
          <w:szCs w:val="24"/>
          <w:lang w:val="en-US"/>
        </w:rPr>
      </w:pPr>
      <w:r>
        <w:rPr>
          <w:rFonts w:cs="Calibri" w:ascii="FreeSerif" w:hAnsi="FreeSerif" w:cstheme="minorHAnsi"/>
          <w:szCs w:val="24"/>
          <w:lang w:val="en-US"/>
        </w:rPr>
        <w:t>Polymerase chain reaction</w:t>
      </w:r>
    </w:p>
    <w:p>
      <w:pPr>
        <w:pStyle w:val="Normal"/>
        <w:spacing w:lineRule="auto" w:line="480" w:before="120" w:after="120"/>
        <w:ind w:right="144"/>
        <w:jc w:val="both"/>
        <w:rPr>
          <w:rFonts w:ascii="FreeSerif" w:hAnsi="FreeSerif"/>
          <w:sz w:val="24"/>
          <w:szCs w:val="24"/>
        </w:rPr>
      </w:pPr>
      <w:r>
        <w:rPr>
          <w:rFonts w:cs="Calibri" w:ascii="FreeSerif" w:hAnsi="FreeSerif" w:cstheme="minorHAnsi"/>
          <w:sz w:val="24"/>
          <w:szCs w:val="24"/>
        </w:rPr>
        <w:t>The amplification conditions consisted of an initial denaturation cycle at 98 °C for 3 min, followed by 30 cycles of 95 °C for 30 s, 60 °C for 30 s, 72 °C for 30 s, as well as the final elongation step of 72 °C for 5 min. The PCR products were purified using the commercial PureLink ™ Quick PCR package (Invitrogen; Vilna, LT). The amplicons were sequenced in the National Laboratory of Genomics for Biodiversity (LANGEBIO), CINVESTAV- Advanced Genomics Unit.</w:t>
      </w:r>
    </w:p>
    <w:p>
      <w:pPr>
        <w:pStyle w:val="Ttulo21"/>
        <w:numPr>
          <w:ilvl w:val="0"/>
          <w:numId w:val="0"/>
        </w:numPr>
        <w:spacing w:lineRule="auto" w:line="480"/>
        <w:ind w:hanging="0" w:left="0"/>
        <w:rPr>
          <w:rFonts w:ascii="FreeSerif" w:hAnsi="FreeSerif"/>
          <w:szCs w:val="24"/>
          <w:lang w:val="en-US"/>
        </w:rPr>
      </w:pPr>
      <w:r>
        <w:rPr>
          <w:rFonts w:cs="Calibri" w:ascii="FreeSerif" w:hAnsi="FreeSerif" w:cstheme="minorHAnsi"/>
          <w:szCs w:val="24"/>
          <w:lang w:val="en-US"/>
        </w:rPr>
        <w:t>Phylogenetic analysis</w:t>
      </w:r>
    </w:p>
    <w:p>
      <w:pPr>
        <w:pStyle w:val="Normal"/>
        <w:spacing w:lineRule="auto" w:line="480" w:before="120" w:after="120"/>
        <w:ind w:right="144"/>
        <w:jc w:val="both"/>
        <w:rPr>
          <w:rFonts w:ascii="FreeSerif" w:hAnsi="FreeSerif"/>
          <w:sz w:val="24"/>
          <w:szCs w:val="24"/>
        </w:rPr>
      </w:pPr>
      <w:r>
        <w:rPr>
          <w:rFonts w:cs="Calibri" w:ascii="FreeSerif" w:hAnsi="FreeSerif" w:cstheme="minorHAnsi"/>
          <w:sz w:val="24"/>
          <w:szCs w:val="24"/>
        </w:rPr>
        <w:t xml:space="preserve">The phylogenetic trees were performed using the Maximum likelihood method of MEGA version 11 </w:t>
      </w:r>
      <w:r>
        <w:fldChar w:fldCharType="begin"/>
      </w:r>
      <w:r>
        <w:rPr>
          <w:sz w:val="24"/>
          <w:szCs w:val="24"/>
          <w:rFonts w:cs="Calibri" w:ascii="FreeSerif" w:hAnsi="FreeSerif"/>
        </w:rPr>
        <w:instrText xml:space="preserve">ADDIN CSL_CITATION {"citationItems":[{"id":"ITEM-1","itemData":{"DOI":"10.1093/molbev/msab120","ISSN":"1537-1719","abstract":"The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author":[{"dropping-particle":"","family":"Tamura","given":"Koichiro","non-dropping-particle":"","parse-names":false,"suffix":""},{"dropping-particle":"","family":"Stecher","given":"Glen","non-dropping-particle":"","parse-names":false,"suffix":""},{"dropping-particle":"","family":"Kumar","given":"Sudhir","non-dropping-particle":"","parse-names":false,"suffix":""}],"container-title":"Molecular Biology and Evolution","editor":[{"dropping-particle":"","family":"Battistuzzi","given":"Fabia Ursula","non-dropping-particle":"","parse-names":false,"suffix":""}],"id":"ITEM-1","issue":"7","issued":{"date-parts":[["2021","6","25"]]},"page":"3022-3027","title":"MEGA11: Molecular Evolutionary Genetics Analysis Version 11","type":"article-journal","volume":"38"},"uris":["http://www.mendeley.com/documents/?uuid=b7231fab-b819-4a06-a314-d70b533063f7"]}],"mendeley":{"formattedCitation":"[12]","plainTextFormattedCitation":"[12]","previouslyFormattedCitation":"[27]"},"properties":{"noteIndex":0},"schema":"https://github.com/citation-style-language/schema/raw/master/csl-citation.json"}</w:instrText>
      </w:r>
      <w:r>
        <w:rPr>
          <w:rFonts w:cs="Calibri" w:ascii="FreeSerif" w:hAnsi="FreeSerif" w:cstheme="minorHAnsi"/>
          <w:sz w:val="24"/>
          <w:szCs w:val="24"/>
        </w:rPr>
      </w:r>
      <w:r>
        <w:rPr>
          <w:sz w:val="24"/>
          <w:szCs w:val="24"/>
          <w:rFonts w:cs="Calibri" w:ascii="FreeSerif" w:hAnsi="FreeSerif"/>
        </w:rPr>
        <w:fldChar w:fldCharType="separate"/>
      </w:r>
      <w:r>
        <w:rPr>
          <w:rFonts w:cs="Calibri" w:ascii="FreeSerif" w:hAnsi="FreeSerif" w:cstheme="minorHAnsi"/>
          <w:sz w:val="24"/>
          <w:szCs w:val="24"/>
        </w:rPr>
        <w:t>[12]</w:t>
      </w:r>
      <w:r>
        <w:rPr>
          <w:rFonts w:cs="Calibri" w:ascii="FreeSerif" w:hAnsi="FreeSerif" w:cstheme="minorHAnsi"/>
          <w:sz w:val="24"/>
          <w:szCs w:val="24"/>
        </w:rPr>
      </w:r>
      <w:r>
        <w:rPr>
          <w:sz w:val="24"/>
          <w:szCs w:val="24"/>
          <w:rFonts w:cs="Calibri" w:ascii="FreeSerif" w:hAnsi="FreeSerif"/>
        </w:rPr>
        <w:fldChar w:fldCharType="end"/>
      </w:r>
      <w:r>
        <w:rPr>
          <w:rFonts w:cs="Calibri" w:ascii="FreeSerif" w:hAnsi="FreeSerif" w:cstheme="minorHAnsi"/>
          <w:sz w:val="24"/>
          <w:szCs w:val="24"/>
        </w:rPr>
        <w:t>, according to the nucleotide sequence with 500 Bootstrap replicas.</w:t>
      </w:r>
      <w:bookmarkStart w:id="1" w:name="_Toc55773191"/>
      <w:bookmarkEnd w:id="1"/>
      <w:r>
        <w:rPr>
          <w:rFonts w:cs="Calibri" w:ascii="FreeSerif" w:hAnsi="FreeSerif" w:cstheme="minorHAnsi"/>
          <w:sz w:val="24"/>
          <w:szCs w:val="24"/>
        </w:rPr>
        <w:t xml:space="preserve"> The phylogenetic trees from MEGA were exported to the software FigTree v1.4.4. </w:t>
      </w:r>
      <w:r>
        <w:fldChar w:fldCharType="begin"/>
      </w:r>
      <w:r>
        <w:rPr>
          <w:sz w:val="24"/>
          <w:szCs w:val="24"/>
          <w:rFonts w:cs="Calibri" w:ascii="FreeSerif" w:hAnsi="FreeSerif"/>
        </w:rPr>
        <w:instrText xml:space="preserve">ADDIN CSL_CITATION {"citationItems":[{"id":"ITEM-1","itemData":{"author":[{"dropping-particle":"","family":"Rambaut","given":"A.","non-dropping-particle":"","parse-names":false,"suffix":""}],"id":"ITEM-1","issued":{"date-parts":[["2014"]]},"title":"FigTree software v. 1.4.4","type":"article"},"uris":["http://www.mendeley.com/documents/?uuid=e848fc2d-4025-43a3-91e7-8b0d81a3fdd4"]}],"mendeley":{"formattedCitation":"[13]","plainTextFormattedCitation":"[13]","previouslyFormattedCitation":"[28]"},"properties":{"noteIndex":0},"schema":"https://github.com/citation-style-language/schema/raw/master/csl-citation.json"}</w:instrText>
      </w:r>
      <w:r>
        <w:rPr>
          <w:rFonts w:cs="Calibri" w:ascii="FreeSerif" w:hAnsi="FreeSerif" w:cstheme="minorHAnsi"/>
          <w:sz w:val="24"/>
          <w:szCs w:val="24"/>
        </w:rPr>
      </w:r>
      <w:r>
        <w:rPr>
          <w:sz w:val="24"/>
          <w:szCs w:val="24"/>
          <w:rFonts w:cs="Calibri" w:ascii="FreeSerif" w:hAnsi="FreeSerif"/>
        </w:rPr>
        <w:fldChar w:fldCharType="separate"/>
      </w:r>
      <w:r>
        <w:rPr>
          <w:rFonts w:cs="Calibri" w:ascii="FreeSerif" w:hAnsi="FreeSerif" w:cstheme="minorHAnsi"/>
          <w:sz w:val="24"/>
          <w:szCs w:val="24"/>
        </w:rPr>
        <w:t>[13]</w:t>
      </w:r>
      <w:r>
        <w:rPr>
          <w:rFonts w:cs="Calibri" w:ascii="FreeSerif" w:hAnsi="FreeSerif" w:cstheme="minorHAnsi"/>
          <w:sz w:val="24"/>
          <w:szCs w:val="24"/>
        </w:rPr>
      </w:r>
      <w:r>
        <w:rPr>
          <w:sz w:val="24"/>
          <w:szCs w:val="24"/>
          <w:rFonts w:cs="Calibri" w:ascii="FreeSerif" w:hAnsi="FreeSerif"/>
        </w:rPr>
        <w:fldChar w:fldCharType="end"/>
      </w:r>
      <w:r>
        <w:rPr>
          <w:rFonts w:cs="Calibri" w:ascii="FreeSerif" w:hAnsi="FreeSerif" w:cstheme="minorHAnsi"/>
          <w:sz w:val="24"/>
          <w:szCs w:val="24"/>
        </w:rPr>
        <w:t xml:space="preserve"> to optimize their visualization of them.</w:t>
      </w:r>
    </w:p>
    <w:p>
      <w:pPr>
        <w:pStyle w:val="Heading1"/>
        <w:rPr>
          <w:rFonts w:ascii="FreeSerif" w:hAnsi="FreeSerif" w:cs="Calibri" w:cstheme="minorHAnsi"/>
          <w:b/>
          <w:bCs/>
          <w:color w:val="auto"/>
          <w:sz w:val="24"/>
          <w:szCs w:val="24"/>
        </w:rPr>
      </w:pPr>
      <w:r>
        <w:rPr>
          <w:rFonts w:cs="Calibri" w:ascii="FreeSerif" w:hAnsi="FreeSerif" w:cstheme="minorHAnsi"/>
          <w:b/>
          <w:bCs/>
          <w:color w:val="auto"/>
          <w:sz w:val="24"/>
          <w:szCs w:val="24"/>
        </w:rPr>
        <w:t>References</w:t>
      </w:r>
    </w:p>
    <w:p>
      <w:pPr>
        <w:pStyle w:val="Normal"/>
        <w:rPr/>
      </w:pPr>
      <w:r>
        <w:rPr/>
      </w:r>
    </w:p>
    <w:p>
      <w:pPr>
        <w:pStyle w:val="Normal"/>
        <w:widowControl w:val="false"/>
        <w:spacing w:lineRule="auto" w:line="480" w:before="0" w:after="0"/>
        <w:ind w:hanging="640" w:left="640"/>
        <w:rPr>
          <w:rFonts w:ascii="FreeSerif" w:hAnsi="FreeSerif" w:cs="Times New Roman"/>
          <w:sz w:val="24"/>
          <w:szCs w:val="24"/>
        </w:rPr>
      </w:pPr>
      <w:r>
        <w:fldChar w:fldCharType="begin"/>
      </w:r>
      <w:r>
        <w:rPr>
          <w:sz w:val="24"/>
          <w:szCs w:val="24"/>
          <w:rFonts w:ascii="FreeSerif" w:hAnsi="FreeSerif"/>
        </w:rPr>
        <w:instrText xml:space="preserve">ADDIN Mendeley Bibliography CSL_BIBLIOGRAPHY</w:instrText>
      </w:r>
      <w:r>
        <w:rPr>
          <w:rFonts w:ascii="FreeSerif" w:hAnsi="FreeSerif"/>
          <w:sz w:val="24"/>
          <w:szCs w:val="24"/>
        </w:rPr>
      </w:r>
      <w:r>
        <w:rPr>
          <w:sz w:val="24"/>
          <w:szCs w:val="24"/>
          <w:rFonts w:ascii="FreeSerif" w:hAnsi="FreeSerif"/>
        </w:rPr>
        <w:fldChar w:fldCharType="separate"/>
      </w:r>
      <w:r>
        <w:rPr>
          <w:rFonts w:ascii="FreeSerif" w:hAnsi="FreeSerif"/>
          <w:sz w:val="24"/>
          <w:szCs w:val="24"/>
        </w:rPr>
      </w:r>
      <w:r>
        <w:rPr>
          <w:rFonts w:cs="Times New Roman" w:ascii="FreeSerif" w:hAnsi="FreeSerif"/>
          <w:sz w:val="24"/>
          <w:szCs w:val="24"/>
        </w:rPr>
        <w:t xml:space="preserve">1. </w:t>
        <w:tab/>
        <w:t>Tiessen-Favier A, Escalante-Aburto A, Espinosa-Leal C, García-Lara S (2022) Novel Combination of the Biophysical, Nutritional, and Nutraceutical Properties in Subtropical Pigmented Maize Hybrids. Plants 11:. https://doi.org/10.3390/plants11233221</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2. </w:t>
        <w:tab/>
        <w:t>Magaña-Cerino JM, Tiessen A, Soto-Luna IC, et al (2020) Consumption of nixtamal from a new variety of hybrid blue maize ameliorates liver oxidative stress and inflammation in a high-fat diet rat model. J Funct Foods 72:104075. https://doi.org/10.1016/j.jff.2020.104075</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3. </w:t>
        <w:tab/>
        <w:t>R Core Team (2022) R: A Language and Environment for Statistical Computing</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4. </w:t>
        <w:tab/>
        <w:t>Wehrens R (2011) Chemometrics With R: Multivariate Data Analysis in the Natural Sciences and Life Sciences. Springer Berlin Heidelberg, Berlin, Heidelberg</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5. </w:t>
        <w:tab/>
        <w:t>de Mendiburu F (2019) Agricolae: Statistical Procedures for Agricultural Research. In: R Packag. version 1.3-1. https://cran.r-project.org/package=agricolae. Accessed 20 Mar 2020</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6. </w:t>
        <w:tab/>
        <w:t>Peniche-Pavía HA, Tiessen A (2020) Anthocyanin Profiling of Maize Grains Using DIESI-MSQD Reveals That Cyanidin-Based Derivatives Predominate in Purple Corn, whereas Pelargonidin-Based Molecules Occur in Red-Pink Varieties from Mexico. J Agric Food Chem 68:5980–5994. https://doi.org/10.1021/acs.jafc.9b06336</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7. </w:t>
        <w:tab/>
        <w:t>Liaw A, Wiener M (2002) Classification and Regression by randomForest. R news 2:18–22</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8. </w:t>
        <w:tab/>
        <w:t>Lee J, Durst RW, Wrolstad RE (2005) Determination of total monomeric anthocyanin pigment content of fruit juices, beverages, natural colorants, and wines by the pH differential method: Collaborative study. J AOAC Int 88:1269–1278. https://doi.org/10.1093/jaoac/88.5.1269</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9. </w:t>
        <w:tab/>
        <w:t>Galicia L, Nurit E, Rosales A, Palacios–Rojas N (2009) Laboratory protocols 2009: Maize nutrition quality and Plant tissue analysis laboratory. CIMMYT, Mexico City</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10. </w:t>
        <w:tab/>
        <w:t>Procissi A, Piazza P, Tonelli C (2002) A maize r1 gene is regulated post-transcriptionally by differential splicing of its leader. Plant Mol Biol 49:239–248. https://doi.org/10.1023/A:1014959230492</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11. </w:t>
        <w:tab/>
        <w:t>CIMMYT (2005) Laboratory Protocols: CIMMYT Applied Molecular Genetics Laboratory, Third. CIMMYT, Mexico City</w:t>
      </w:r>
    </w:p>
    <w:p>
      <w:pPr>
        <w:pStyle w:val="Normal"/>
        <w:widowControl w:val="false"/>
        <w:spacing w:lineRule="auto" w:line="480" w:before="0" w:after="0"/>
        <w:ind w:hanging="640" w:left="640"/>
        <w:rPr>
          <w:rFonts w:ascii="FreeSerif" w:hAnsi="FreeSerif" w:cs="Times New Roman"/>
          <w:sz w:val="24"/>
          <w:szCs w:val="24"/>
        </w:rPr>
      </w:pPr>
      <w:r>
        <w:rPr>
          <w:rFonts w:cs="Times New Roman" w:ascii="FreeSerif" w:hAnsi="FreeSerif"/>
          <w:sz w:val="24"/>
          <w:szCs w:val="24"/>
        </w:rPr>
        <w:t xml:space="preserve">12. </w:t>
        <w:tab/>
        <w:t>Tamura K, Stecher G, Kumar S (2021) MEGA11: Molecular Evolutionary Genetics Analysis Version 11. Mol Biol Evol 38:3022–3027. https://doi.org/10.1093/molbev/msab120</w:t>
      </w:r>
    </w:p>
    <w:p>
      <w:pPr>
        <w:pStyle w:val="Normal"/>
        <w:widowControl w:val="false"/>
        <w:spacing w:lineRule="auto" w:line="480" w:before="0" w:after="0"/>
        <w:ind w:hanging="640" w:left="640"/>
        <w:rPr>
          <w:rFonts w:ascii="FreeSerif" w:hAnsi="FreeSerif"/>
          <w:sz w:val="24"/>
        </w:rPr>
      </w:pPr>
      <w:r>
        <w:rPr>
          <w:rFonts w:cs="Times New Roman" w:ascii="FreeSerif" w:hAnsi="FreeSerif"/>
          <w:sz w:val="24"/>
          <w:szCs w:val="24"/>
        </w:rPr>
        <w:t xml:space="preserve">13. </w:t>
        <w:tab/>
        <w:t>Rambaut A (2014) FigTree software v. 1.4.4</w:t>
      </w:r>
    </w:p>
    <w:p>
      <w:pPr>
        <w:pStyle w:val="Normal"/>
        <w:spacing w:lineRule="auto" w:line="480" w:before="0" w:after="0"/>
        <w:jc w:val="both"/>
        <w:rPr>
          <w:rFonts w:ascii="FreeSerif" w:hAnsi="FreeSerif"/>
          <w:sz w:val="24"/>
          <w:szCs w:val="24"/>
        </w:rPr>
      </w:pPr>
      <w:r/>
      <w:r>
        <w:rPr>
          <w:sz w:val="24"/>
          <w:szCs w:val="24"/>
          <w:rFonts w:ascii="FreeSerif" w:hAnsi="FreeSerif"/>
        </w:rPr>
        <w:fldChar w:fldCharType="end"/>
      </w:r>
      <w:r>
        <w:rPr>
          <w:rFonts w:ascii="FreeSerif" w:hAnsi="FreeSerif"/>
          <w:sz w:val="24"/>
          <w:szCs w:val="24"/>
        </w:rPr>
      </w:r>
    </w:p>
    <w:sectPr>
      <w:footerReference w:type="default" r:id="rId3"/>
      <w:type w:val="nextPage"/>
      <w:pgSz w:w="12240" w:h="15840"/>
      <w:pgMar w:left="1440" w:right="1440" w:gutter="0" w:header="0" w:top="1440" w:footer="0" w:bottom="1440"/>
      <w:lnNumType w:countBy="1" w:restart="continuous" w:distance="283"/>
      <w:pgNumType w:fmt="decimal"/>
      <w:formProt w:val="false"/>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 w:name="Times New Roman">
    <w:charset w:val="01"/>
    <w:family w:val="roman"/>
    <w:pitch w:val="variable"/>
  </w:font>
  <w:font w:name="Free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83785650"/>
    </w:sdtPr>
    <w:sdtContent>
      <w:p>
        <w:pPr>
          <w:pStyle w:val="Footer"/>
          <w:jc w:val="right"/>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tulo11"/>
      <w:numFmt w:val="decimal"/>
      <w:lvlText w:val="%1."/>
      <w:lvlJc w:val="left"/>
      <w:pPr>
        <w:tabs>
          <w:tab w:val="num" w:pos="360"/>
        </w:tabs>
        <w:ind w:left="360" w:hanging="0"/>
      </w:pPr>
      <w:rPr/>
    </w:lvl>
    <w:lvl w:ilvl="1">
      <w:start w:val="1"/>
      <w:pStyle w:val="Ttulo21"/>
      <w:numFmt w:val="decimal"/>
      <w:lvlText w:val="%1.%2"/>
      <w:lvlJc w:val="left"/>
      <w:pPr>
        <w:tabs>
          <w:tab w:val="num" w:pos="0"/>
        </w:tabs>
        <w:ind w:left="540" w:hanging="0"/>
      </w:pPr>
      <w:rPr>
        <w:sz w:val="24"/>
      </w:rPr>
    </w:lvl>
    <w:lvl w:ilvl="2">
      <w:start w:val="1"/>
      <w:pStyle w:val="Ttulo31"/>
      <w:numFmt w:val="decimal"/>
      <w:lvlText w:val="%1.%2.%3"/>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70"/>
  <w:defaultTabStop w:val="720"/>
  <w:autoHyphenation w:val="true"/>
  <w:hyphenationZone w:val="425"/>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MX"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1"/>
    <w:uiPriority w:val="9"/>
    <w:qFormat/>
    <w:rsid w:val="00a8290d"/>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1"/>
    <w:uiPriority w:val="9"/>
    <w:semiHidden/>
    <w:unhideWhenUsed/>
    <w:qFormat/>
    <w:rsid w:val="00a8290d"/>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Ttulo11"/>
    <w:uiPriority w:val="9"/>
    <w:qFormat/>
    <w:rsid w:val="00613742"/>
    <w:rPr>
      <w:rFonts w:ascii="Arial" w:hAnsi="Arial" w:eastAsia="" w:cs="" w:cstheme="majorBidi" w:eastAsiaTheme="majorEastAsia"/>
      <w:b/>
      <w:bCs/>
      <w:sz w:val="24"/>
      <w:szCs w:val="28"/>
      <w:lang w:val="es-MX"/>
    </w:rPr>
  </w:style>
  <w:style w:type="character" w:styleId="Heading2Char" w:customStyle="1">
    <w:name w:val="Heading 2 Char"/>
    <w:basedOn w:val="DefaultParagraphFont"/>
    <w:link w:val="Ttulo21"/>
    <w:uiPriority w:val="9"/>
    <w:qFormat/>
    <w:rsid w:val="00613742"/>
    <w:rPr>
      <w:rFonts w:ascii="Arial" w:hAnsi="Arial" w:eastAsia="" w:cs="" w:cstheme="majorBidi" w:eastAsiaTheme="majorEastAsia"/>
      <w:b/>
      <w:bCs/>
      <w:sz w:val="24"/>
      <w:szCs w:val="26"/>
      <w:lang w:val="es-MX"/>
    </w:rPr>
  </w:style>
  <w:style w:type="character" w:styleId="Heading3Char" w:customStyle="1">
    <w:name w:val="Heading 3 Char"/>
    <w:basedOn w:val="DefaultParagraphFont"/>
    <w:link w:val="Ttulo31"/>
    <w:uiPriority w:val="9"/>
    <w:qFormat/>
    <w:rsid w:val="00613742"/>
    <w:rPr>
      <w:rFonts w:ascii="Arial" w:hAnsi="Arial" w:eastAsia="" w:cs="" w:cstheme="majorBidi" w:eastAsiaTheme="majorEastAsia"/>
      <w:b/>
      <w:bCs/>
      <w:sz w:val="24"/>
      <w:lang w:val="es-MX"/>
    </w:rPr>
  </w:style>
  <w:style w:type="character" w:styleId="BalloonTextChar" w:customStyle="1">
    <w:name w:val="Balloon Text Char"/>
    <w:basedOn w:val="DefaultParagraphFont"/>
    <w:link w:val="BalloonText"/>
    <w:uiPriority w:val="99"/>
    <w:semiHidden/>
    <w:qFormat/>
    <w:rsid w:val="00ab42e0"/>
    <w:rPr>
      <w:rFonts w:ascii="Segoe UI" w:hAnsi="Segoe UI" w:cs="Segoe UI"/>
      <w:sz w:val="18"/>
      <w:szCs w:val="18"/>
    </w:rPr>
  </w:style>
  <w:style w:type="character" w:styleId="HeaderChar" w:customStyle="1">
    <w:name w:val="Header Char"/>
    <w:basedOn w:val="DefaultParagraphFont"/>
    <w:link w:val="Encabezado1"/>
    <w:uiPriority w:val="99"/>
    <w:qFormat/>
    <w:rsid w:val="003e5794"/>
    <w:rPr/>
  </w:style>
  <w:style w:type="character" w:styleId="FooterChar" w:customStyle="1">
    <w:name w:val="Footer Char"/>
    <w:basedOn w:val="DefaultParagraphFont"/>
    <w:link w:val="Piedepgina1"/>
    <w:uiPriority w:val="99"/>
    <w:qFormat/>
    <w:rsid w:val="003e5794"/>
    <w:rPr/>
  </w:style>
  <w:style w:type="character" w:styleId="Destacado" w:customStyle="1">
    <w:name w:val="Destacado"/>
    <w:basedOn w:val="DefaultParagraphFont"/>
    <w:uiPriority w:val="20"/>
    <w:qFormat/>
    <w:rsid w:val="00fa1b5d"/>
    <w:rPr>
      <w:i/>
      <w:iCs/>
    </w:rPr>
  </w:style>
  <w:style w:type="character" w:styleId="Strong">
    <w:name w:val="Strong"/>
    <w:basedOn w:val="DefaultParagraphFont"/>
    <w:uiPriority w:val="22"/>
    <w:qFormat/>
    <w:rsid w:val="00c97a47"/>
    <w:rPr>
      <w:b/>
      <w:bCs/>
    </w:rPr>
  </w:style>
  <w:style w:type="character" w:styleId="EnlacedeInternet" w:customStyle="1">
    <w:name w:val="Enlace de Internet"/>
    <w:basedOn w:val="DefaultParagraphFont"/>
    <w:uiPriority w:val="99"/>
    <w:unhideWhenUsed/>
    <w:qFormat/>
    <w:rsid w:val="00484cd7"/>
    <w:rPr>
      <w:color w:val="0000FF"/>
      <w:u w:val="single"/>
    </w:rPr>
  </w:style>
  <w:style w:type="character" w:styleId="UnresolvedMention">
    <w:name w:val="Unresolved Mention"/>
    <w:basedOn w:val="DefaultParagraphFont"/>
    <w:uiPriority w:val="99"/>
    <w:qFormat/>
    <w:rsid w:val="002c32e3"/>
    <w:rPr>
      <w:color w:val="605E5C"/>
      <w:shd w:fill="E1DFDD" w:val="clear"/>
    </w:rPr>
  </w:style>
  <w:style w:type="character" w:styleId="Annotationreference">
    <w:name w:val="annotation reference"/>
    <w:basedOn w:val="DefaultParagraphFont"/>
    <w:uiPriority w:val="99"/>
    <w:semiHidden/>
    <w:unhideWhenUsed/>
    <w:qFormat/>
    <w:rsid w:val="00ab2be2"/>
    <w:rPr>
      <w:sz w:val="16"/>
      <w:szCs w:val="16"/>
    </w:rPr>
  </w:style>
  <w:style w:type="character" w:styleId="CommentTextChar" w:customStyle="1">
    <w:name w:val="Comment Text Char"/>
    <w:basedOn w:val="DefaultParagraphFont"/>
    <w:link w:val="Annotationtext"/>
    <w:uiPriority w:val="99"/>
    <w:qFormat/>
    <w:rsid w:val="00ab2be2"/>
    <w:rPr>
      <w:sz w:val="20"/>
      <w:szCs w:val="20"/>
    </w:rPr>
  </w:style>
  <w:style w:type="character" w:styleId="CommentSubjectChar" w:customStyle="1">
    <w:name w:val="Comment Subject Char"/>
    <w:basedOn w:val="CommentTextChar"/>
    <w:link w:val="Annotationsubject"/>
    <w:uiPriority w:val="99"/>
    <w:semiHidden/>
    <w:qFormat/>
    <w:rsid w:val="00ab2be2"/>
    <w:rPr>
      <w:b/>
      <w:bCs/>
      <w:sz w:val="20"/>
      <w:szCs w:val="20"/>
    </w:rPr>
  </w:style>
  <w:style w:type="character" w:styleId="Hyperlink">
    <w:name w:val="Hyperlink"/>
    <w:basedOn w:val="DefaultParagraphFont"/>
    <w:uiPriority w:val="99"/>
    <w:unhideWhenUsed/>
    <w:rsid w:val="000d5fb0"/>
    <w:rPr>
      <w:color w:themeColor="hyperlink" w:val="0563C1"/>
      <w:u w:val="single"/>
    </w:rPr>
  </w:style>
  <w:style w:type="character" w:styleId="Emphasis">
    <w:name w:val="Emphasis"/>
    <w:basedOn w:val="DefaultParagraphFont"/>
    <w:uiPriority w:val="20"/>
    <w:qFormat/>
    <w:rsid w:val="009c7c78"/>
    <w:rPr>
      <w:i/>
      <w:iCs/>
    </w:rPr>
  </w:style>
  <w:style w:type="character" w:styleId="Linenumber1">
    <w:name w:val="line number1"/>
    <w:qFormat/>
    <w:rPr/>
  </w:style>
  <w:style w:type="character" w:styleId="LineNumber0" w:customStyle="1">
    <w:name w:val="Line Number_0"/>
    <w:qFormat/>
    <w:rPr/>
  </w:style>
  <w:style w:type="character" w:styleId="Heading2Char1" w:customStyle="1">
    <w:name w:val="Heading 2 Char1"/>
    <w:basedOn w:val="DefaultParagraphFont"/>
    <w:link w:val="Heading2"/>
    <w:uiPriority w:val="9"/>
    <w:semiHidden/>
    <w:qFormat/>
    <w:rsid w:val="00a8290d"/>
    <w:rPr>
      <w:rFonts w:ascii="Calibri Light" w:hAnsi="Calibri Light" w:eastAsia="" w:cs="" w:asciiTheme="majorHAnsi" w:cstheme="majorBidi" w:eastAsiaTheme="majorEastAsia" w:hAnsiTheme="majorHAnsi"/>
      <w:color w:themeColor="accent1" w:themeShade="bf" w:val="2F5496"/>
      <w:sz w:val="26"/>
      <w:szCs w:val="26"/>
    </w:rPr>
  </w:style>
  <w:style w:type="character" w:styleId="Heading1Char1" w:customStyle="1">
    <w:name w:val="Heading 1 Char1"/>
    <w:basedOn w:val="DefaultParagraphFont"/>
    <w:link w:val="Heading1"/>
    <w:uiPriority w:val="9"/>
    <w:qFormat/>
    <w:rsid w:val="00a8290d"/>
    <w:rPr>
      <w:rFonts w:ascii="Calibri Light" w:hAnsi="Calibri Light" w:eastAsia="" w:cs="" w:asciiTheme="majorHAnsi" w:cstheme="majorBidi" w:eastAsiaTheme="majorEastAsia" w:hAnsiTheme="majorHAnsi"/>
      <w:color w:themeColor="accent1" w:themeShade="bf" w:val="2F5496"/>
      <w:sz w:val="32"/>
      <w:szCs w:val="32"/>
    </w:rPr>
  </w:style>
  <w:style w:type="character" w:styleId="HeaderChar1" w:customStyle="1">
    <w:name w:val="Header Char1"/>
    <w:basedOn w:val="DefaultParagraphFont"/>
    <w:link w:val="Header"/>
    <w:uiPriority w:val="99"/>
    <w:qFormat/>
    <w:rsid w:val="00ac022a"/>
    <w:rPr/>
  </w:style>
  <w:style w:type="character" w:styleId="FooterChar1" w:customStyle="1">
    <w:name w:val="Footer Char1"/>
    <w:basedOn w:val="DefaultParagraphFont"/>
    <w:link w:val="Footer"/>
    <w:uiPriority w:val="99"/>
    <w:qFormat/>
    <w:rsid w:val="00ac022a"/>
    <w:rPr/>
  </w:style>
  <w:style w:type="character" w:styleId="LineNumber">
    <w:name w:val="Line Number"/>
    <w:rPr/>
  </w:style>
  <w:style w:type="paragraph" w:styleId="Heading" w:customStyle="1">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Lohit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Lohit Devanagari"/>
    </w:rPr>
  </w:style>
  <w:style w:type="paragraph" w:styleId="Ttulo11" w:customStyle="1">
    <w:name w:val="Título 11"/>
    <w:basedOn w:val="Normal"/>
    <w:next w:val="Normal"/>
    <w:link w:val="Heading1Char"/>
    <w:uiPriority w:val="9"/>
    <w:qFormat/>
    <w:rsid w:val="00613742"/>
    <w:pPr>
      <w:keepNext w:val="true"/>
      <w:keepLines/>
      <w:numPr>
        <w:ilvl w:val="0"/>
        <w:numId w:val="1"/>
      </w:numPr>
      <w:spacing w:lineRule="auto" w:line="360" w:before="120" w:after="120"/>
      <w:jc w:val="both"/>
      <w:outlineLvl w:val="0"/>
    </w:pPr>
    <w:rPr>
      <w:rFonts w:ascii="Arial" w:hAnsi="Arial" w:eastAsia="" w:cs="" w:cstheme="majorBidi" w:eastAsiaTheme="majorEastAsia"/>
      <w:b/>
      <w:bCs/>
      <w:sz w:val="24"/>
      <w:szCs w:val="28"/>
      <w:lang w:val="es-MX"/>
    </w:rPr>
  </w:style>
  <w:style w:type="paragraph" w:styleId="Ttulo21" w:customStyle="1">
    <w:name w:val="Título 21"/>
    <w:basedOn w:val="Normal"/>
    <w:next w:val="Normal"/>
    <w:link w:val="Heading2Char"/>
    <w:uiPriority w:val="9"/>
    <w:unhideWhenUsed/>
    <w:qFormat/>
    <w:rsid w:val="00613742"/>
    <w:pPr>
      <w:keepNext w:val="true"/>
      <w:keepLines/>
      <w:numPr>
        <w:ilvl w:val="1"/>
        <w:numId w:val="1"/>
      </w:numPr>
      <w:spacing w:lineRule="auto" w:line="360" w:before="200" w:after="0"/>
      <w:ind w:left="0"/>
      <w:jc w:val="both"/>
      <w:outlineLvl w:val="1"/>
    </w:pPr>
    <w:rPr>
      <w:rFonts w:ascii="Arial" w:hAnsi="Arial" w:eastAsia="" w:cs="" w:cstheme="majorBidi" w:eastAsiaTheme="majorEastAsia"/>
      <w:b/>
      <w:bCs/>
      <w:sz w:val="24"/>
      <w:szCs w:val="26"/>
      <w:lang w:val="es-MX"/>
    </w:rPr>
  </w:style>
  <w:style w:type="paragraph" w:styleId="Ttulo31" w:customStyle="1">
    <w:name w:val="Título 31"/>
    <w:basedOn w:val="Normal"/>
    <w:next w:val="Normal"/>
    <w:link w:val="Heading3Char"/>
    <w:uiPriority w:val="9"/>
    <w:unhideWhenUsed/>
    <w:qFormat/>
    <w:rsid w:val="00613742"/>
    <w:pPr>
      <w:keepNext w:val="true"/>
      <w:keepLines/>
      <w:numPr>
        <w:ilvl w:val="2"/>
        <w:numId w:val="1"/>
      </w:numPr>
      <w:spacing w:lineRule="auto" w:line="360" w:before="200" w:after="0"/>
      <w:jc w:val="both"/>
      <w:outlineLvl w:val="2"/>
    </w:pPr>
    <w:rPr>
      <w:rFonts w:ascii="Arial" w:hAnsi="Arial" w:eastAsia="" w:cs="" w:cstheme="majorBidi" w:eastAsiaTheme="majorEastAsia"/>
      <w:b/>
      <w:bCs/>
      <w:sz w:val="24"/>
      <w:lang w:val="es-MX"/>
    </w:rPr>
  </w:style>
  <w:style w:type="paragraph" w:styleId="Descripcin1" w:customStyle="1">
    <w:name w:val="Descripción1"/>
    <w:basedOn w:val="Normal"/>
    <w:qFormat/>
    <w:pPr>
      <w:suppressLineNumbers/>
      <w:spacing w:before="120" w:after="120"/>
    </w:pPr>
    <w:rPr>
      <w:rFonts w:cs="Lohit Devanagari"/>
      <w:i/>
      <w:iCs/>
      <w:sz w:val="24"/>
      <w:szCs w:val="24"/>
    </w:rPr>
  </w:style>
  <w:style w:type="paragraph" w:styleId="Caption1">
    <w:name w:val="caption1"/>
    <w:basedOn w:val="Normal"/>
    <w:next w:val="Normal"/>
    <w:uiPriority w:val="35"/>
    <w:unhideWhenUsed/>
    <w:qFormat/>
    <w:rsid w:val="00613742"/>
    <w:pPr>
      <w:spacing w:lineRule="auto" w:line="360" w:before="120" w:after="120"/>
      <w:jc w:val="both"/>
    </w:pPr>
    <w:rPr>
      <w:rFonts w:ascii="Arial" w:hAnsi="Arial"/>
      <w:b/>
      <w:i/>
      <w:iCs/>
      <w:sz w:val="20"/>
      <w:szCs w:val="18"/>
    </w:rPr>
  </w:style>
  <w:style w:type="paragraph" w:styleId="Ttulo1" w:customStyle="1">
    <w:name w:val="Títu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Ndice" w:customStyle="1">
    <w:name w:val="Índice"/>
    <w:basedOn w:val="Normal"/>
    <w:qFormat/>
    <w:pPr>
      <w:suppressLineNumbers/>
    </w:pPr>
    <w:rPr>
      <w:rFonts w:ascii="Calibri" w:hAnsi="Calibri" w:cs="Lohit Devanagari"/>
    </w:rPr>
  </w:style>
  <w:style w:type="paragraph" w:styleId="NormalWeb">
    <w:name w:val="Normal (Web)"/>
    <w:basedOn w:val="Normal"/>
    <w:uiPriority w:val="99"/>
    <w:semiHidden/>
    <w:unhideWhenUsed/>
    <w:qFormat/>
    <w:rsid w:val="00613742"/>
    <w:pPr>
      <w:spacing w:lineRule="auto" w:line="240" w:beforeAutospacing="1" w:afterAutospacing="1"/>
      <w:jc w:val="both"/>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ab42e0"/>
    <w:pPr>
      <w:spacing w:lineRule="auto" w:line="240" w:before="0" w:after="0"/>
    </w:pPr>
    <w:rPr>
      <w:rFonts w:ascii="Segoe UI" w:hAnsi="Segoe UI" w:cs="Segoe UI"/>
      <w:sz w:val="18"/>
      <w:szCs w:val="18"/>
    </w:rPr>
  </w:style>
  <w:style w:type="paragraph" w:styleId="Cabeceraypie" w:customStyle="1">
    <w:name w:val="Cabecera y pie"/>
    <w:basedOn w:val="Normal"/>
    <w:qFormat/>
    <w:pPr/>
    <w:rPr/>
  </w:style>
  <w:style w:type="paragraph" w:styleId="HeaderandFooter" w:customStyle="1">
    <w:name w:val="Header and Footer"/>
    <w:basedOn w:val="Normal"/>
    <w:qFormat/>
    <w:pPr/>
    <w:rPr/>
  </w:style>
  <w:style w:type="paragraph" w:styleId="Encabezado1" w:customStyle="1">
    <w:name w:val="Encabezado1"/>
    <w:basedOn w:val="Normal"/>
    <w:link w:val="HeaderChar"/>
    <w:uiPriority w:val="99"/>
    <w:unhideWhenUsed/>
    <w:qFormat/>
    <w:rsid w:val="003e5794"/>
    <w:pPr>
      <w:tabs>
        <w:tab w:val="clear" w:pos="720"/>
        <w:tab w:val="center" w:pos="4680" w:leader="none"/>
        <w:tab w:val="right" w:pos="9360" w:leader="none"/>
      </w:tabs>
      <w:spacing w:lineRule="auto" w:line="240" w:before="0" w:after="0"/>
    </w:pPr>
    <w:rPr/>
  </w:style>
  <w:style w:type="paragraph" w:styleId="Piedepgina1" w:customStyle="1">
    <w:name w:val="Pie de página1"/>
    <w:basedOn w:val="Normal"/>
    <w:link w:val="FooterChar"/>
    <w:uiPriority w:val="99"/>
    <w:unhideWhenUsed/>
    <w:qFormat/>
    <w:rsid w:val="003e5794"/>
    <w:pPr>
      <w:tabs>
        <w:tab w:val="clear" w:pos="720"/>
        <w:tab w:val="center" w:pos="4680" w:leader="none"/>
        <w:tab w:val="right" w:pos="9360" w:leader="none"/>
      </w:tabs>
      <w:spacing w:lineRule="auto" w:line="240" w:before="0" w:after="0"/>
    </w:pPr>
    <w:rPr/>
  </w:style>
  <w:style w:type="paragraph" w:styleId="ListParagraph">
    <w:name w:val="List Paragraph"/>
    <w:basedOn w:val="Normal"/>
    <w:uiPriority w:val="34"/>
    <w:qFormat/>
    <w:rsid w:val="009a2a56"/>
    <w:pPr>
      <w:spacing w:before="0" w:after="160"/>
      <w:ind w:left="720"/>
      <w:contextualSpacing/>
    </w:pPr>
    <w:rPr/>
  </w:style>
  <w:style w:type="paragraph" w:styleId="Annotationtext">
    <w:name w:val="annotation text"/>
    <w:basedOn w:val="Normal"/>
    <w:link w:val="CommentTextChar"/>
    <w:uiPriority w:val="99"/>
    <w:unhideWhenUsed/>
    <w:qFormat/>
    <w:rsid w:val="00ab2be2"/>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ab2be2"/>
    <w:pPr/>
    <w:rPr>
      <w:b/>
      <w:bCs/>
    </w:rPr>
  </w:style>
  <w:style w:type="paragraph" w:styleId="Revision">
    <w:name w:val="Revision"/>
    <w:uiPriority w:val="99"/>
    <w:semiHidden/>
    <w:qFormat/>
    <w:rsid w:val="00795b8e"/>
    <w:pPr>
      <w:widowControl/>
      <w:suppressAutoHyphens w:val="fals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er">
    <w:name w:val="Header"/>
    <w:basedOn w:val="Normal"/>
    <w:link w:val="HeaderChar1"/>
    <w:uiPriority w:val="99"/>
    <w:unhideWhenUsed/>
    <w:rsid w:val="00ac022a"/>
    <w:pPr>
      <w:suppressLineNumbers/>
      <w:tabs>
        <w:tab w:val="clear" w:pos="720"/>
        <w:tab w:val="center" w:pos="4419" w:leader="none"/>
        <w:tab w:val="right" w:pos="8838" w:leader="none"/>
      </w:tabs>
      <w:spacing w:lineRule="auto" w:line="240" w:before="0" w:after="0"/>
    </w:pPr>
    <w:rPr/>
  </w:style>
  <w:style w:type="paragraph" w:styleId="Footer">
    <w:name w:val="Footer"/>
    <w:basedOn w:val="Normal"/>
    <w:link w:val="FooterChar1"/>
    <w:uiPriority w:val="99"/>
    <w:unhideWhenUsed/>
    <w:rsid w:val="00ac022a"/>
    <w:pPr>
      <w:suppressLineNumbers/>
      <w:tabs>
        <w:tab w:val="clear" w:pos="720"/>
        <w:tab w:val="center" w:pos="4419" w:leader="none"/>
        <w:tab w:val="right" w:pos="8838"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61374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4">
    <w:name w:val="Plain Table 4"/>
    <w:basedOn w:val="TableNormal"/>
    <w:uiPriority w:val="44"/>
    <w:rsid w:val="009c2ccd"/>
    <w:tblPr>
      <w:tblStyleRowBandSize w:val="1"/>
      <w:tblStyleColBandSize w:val="1"/>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obert.winkler@cinvestav.mx"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22132-A9C5-0249-9774-3713E507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3632</TotalTime>
  <Application>LibreOffice/7.6.2.1$Linux_X86_64 LibreOffice_project/60$Build-1</Application>
  <AppVersion>15.0000</AppVersion>
  <Pages>8</Pages>
  <Words>1790</Words>
  <Characters>9964</Characters>
  <CharactersWithSpaces>11713</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2023-08-25T04:28:00Z</dcterms:created>
  <dc:creator>hpenichepavia@gmail.com</dc:creator>
  <dc:description/>
  <dc:language>en-GB</dc:language>
  <cp:lastModifiedBy>Robert Winkler</cp:lastModifiedBy>
  <dcterms:modified xsi:type="dcterms:W3CDTF">2023-11-27T16:36:30Z</dcterms:modified>
  <cp:revision>602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dfc4e00ad3023520a240e0c0f0cb4b184c7128248703016909bd10b425f4563e</vt:lpwstr>
  </property>
  <property fmtid="{D5CDD505-2E9C-101B-9397-08002B2CF9AE}" pid="3" name="HyperlinksChanged">
    <vt:bool>0</vt:bool>
  </property>
  <property fmtid="{D5CDD505-2E9C-101B-9397-08002B2CF9AE}" pid="4" name="LinksUpToDate">
    <vt:bool>0</vt:bool>
  </property>
  <property fmtid="{D5CDD505-2E9C-101B-9397-08002B2CF9AE}" pid="5" name="Mendeley Citation Style_1">
    <vt:lpwstr>http://www.zotero.org/styles/plant-foods-for-human-nutrition</vt:lpwstr>
  </property>
  <property fmtid="{D5CDD505-2E9C-101B-9397-08002B2CF9AE}" pid="6" name="Mendeley Document_1">
    <vt:lpwstr>True</vt:lpwstr>
  </property>
  <property fmtid="{D5CDD505-2E9C-101B-9397-08002B2CF9AE}" pid="7" name="Mendeley Recent Style Id 0_1">
    <vt:lpwstr>http://www.zotero.org/styles/american-political-science-association</vt:lpwstr>
  </property>
  <property fmtid="{D5CDD505-2E9C-101B-9397-08002B2CF9AE}" pid="8" name="Mendeley Recent Style Id 1_1">
    <vt:lpwstr>http://www.zotero.org/styles/apa</vt:lpwstr>
  </property>
  <property fmtid="{D5CDD505-2E9C-101B-9397-08002B2CF9AE}" pid="9" name="Mendeley Recent Style Id 2_1">
    <vt:lpwstr>http://www.zotero.org/styles/american-sociological-association</vt:lpwstr>
  </property>
  <property fmtid="{D5CDD505-2E9C-101B-9397-08002B2CF9AE}" pid="10" name="Mendeley Recent Style Id 3_1">
    <vt:lpwstr>http://www.zotero.org/styles/food-chemistry</vt:lpwstr>
  </property>
  <property fmtid="{D5CDD505-2E9C-101B-9397-08002B2CF9AE}" pid="11" name="Mendeley Recent Style Id 4_1">
    <vt:lpwstr>http://www.zotero.org/styles/journal-of-applied-phycology</vt:lpwstr>
  </property>
  <property fmtid="{D5CDD505-2E9C-101B-9397-08002B2CF9AE}" pid="12" name="Mendeley Recent Style Id 5_1">
    <vt:lpwstr>http://www.zotero.org/styles/nature</vt:lpwstr>
  </property>
  <property fmtid="{D5CDD505-2E9C-101B-9397-08002B2CF9AE}" pid="13" name="Mendeley Recent Style Id 6_1">
    <vt:lpwstr>http://www.zotero.org/styles/plos-one</vt:lpwstr>
  </property>
  <property fmtid="{D5CDD505-2E9C-101B-9397-08002B2CF9AE}" pid="14" name="Mendeley Recent Style Id 7_1">
    <vt:lpwstr>http://www.zotero.org/styles/plant-foods-for-human-nutrition</vt:lpwstr>
  </property>
  <property fmtid="{D5CDD505-2E9C-101B-9397-08002B2CF9AE}" pid="15" name="Mendeley Recent Style Id 8_1">
    <vt:lpwstr>http://www.zotero.org/styles/plant-science</vt:lpwstr>
  </property>
  <property fmtid="{D5CDD505-2E9C-101B-9397-08002B2CF9AE}" pid="16" name="Mendeley Recent Style Id 9_1">
    <vt:lpwstr>http://www.zotero.org/styles/springer-basic-author-date-no-et-al</vt:lpwstr>
  </property>
  <property fmtid="{D5CDD505-2E9C-101B-9397-08002B2CF9AE}" pid="17" name="Mendeley Recent Style Name 0_1">
    <vt:lpwstr>American Political Science Association</vt:lpwstr>
  </property>
  <property fmtid="{D5CDD505-2E9C-101B-9397-08002B2CF9AE}" pid="18" name="Mendeley Recent Style Name 1_1">
    <vt:lpwstr>American Psychological Association 7th edition</vt:lpwstr>
  </property>
  <property fmtid="{D5CDD505-2E9C-101B-9397-08002B2CF9AE}" pid="19" name="Mendeley Recent Style Name 2_1">
    <vt:lpwstr>American Sociological Association 6th edition</vt:lpwstr>
  </property>
  <property fmtid="{D5CDD505-2E9C-101B-9397-08002B2CF9AE}" pid="20" name="Mendeley Recent Style Name 3_1">
    <vt:lpwstr>Food Chemistry</vt:lpwstr>
  </property>
  <property fmtid="{D5CDD505-2E9C-101B-9397-08002B2CF9AE}" pid="21" name="Mendeley Recent Style Name 4_1">
    <vt:lpwstr>Journal of Applied Phycology</vt:lpwstr>
  </property>
  <property fmtid="{D5CDD505-2E9C-101B-9397-08002B2CF9AE}" pid="22" name="Mendeley Recent Style Name 5_1">
    <vt:lpwstr>Nature</vt:lpwstr>
  </property>
  <property fmtid="{D5CDD505-2E9C-101B-9397-08002B2CF9AE}" pid="23" name="Mendeley Recent Style Name 6_1">
    <vt:lpwstr>PLOS ONE</vt:lpwstr>
  </property>
  <property fmtid="{D5CDD505-2E9C-101B-9397-08002B2CF9AE}" pid="24" name="Mendeley Recent Style Name 7_1">
    <vt:lpwstr>Plant Foods for Human Nutrition</vt:lpwstr>
  </property>
  <property fmtid="{D5CDD505-2E9C-101B-9397-08002B2CF9AE}" pid="25" name="Mendeley Recent Style Name 8_1">
    <vt:lpwstr>Plant Science</vt:lpwstr>
  </property>
  <property fmtid="{D5CDD505-2E9C-101B-9397-08002B2CF9AE}" pid="26" name="Mendeley Recent Style Name 9_1">
    <vt:lpwstr>Springer - Basic (author-date, no "et al.")</vt:lpwstr>
  </property>
  <property fmtid="{D5CDD505-2E9C-101B-9397-08002B2CF9AE}" pid="27" name="Mendeley Unique User Id_1">
    <vt:lpwstr>33e7c828-9058-3b18-89d4-420d75298781</vt:lpwstr>
  </property>
  <property fmtid="{D5CDD505-2E9C-101B-9397-08002B2CF9AE}" pid="28" name="ScaleCrop">
    <vt:bool>0</vt:bool>
  </property>
  <property fmtid="{D5CDD505-2E9C-101B-9397-08002B2CF9AE}" pid="29" name="ShareDoc">
    <vt:bool>0</vt:bool>
  </property>
</Properties>
</file>