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7EB" w:rsidRDefault="001713E0" w:rsidP="001713E0">
      <w:pPr>
        <w:spacing w:line="360" w:lineRule="auto"/>
        <w:rPr>
          <w:rFonts w:hint="eastAsia"/>
        </w:rPr>
      </w:pPr>
      <w:r w:rsidRPr="001713E0">
        <w:rPr>
          <w:rFonts w:hint="eastAsia"/>
          <w:b/>
        </w:rPr>
        <w:t>Additional file 1</w:t>
      </w:r>
      <w:r w:rsidRPr="001713E0">
        <w:rPr>
          <w:rFonts w:hint="eastAsia"/>
          <w:b/>
        </w:rPr>
        <w:t>：</w:t>
      </w:r>
    </w:p>
    <w:p w:rsidR="007427EB" w:rsidRDefault="007427EB" w:rsidP="007427EB">
      <w:pPr>
        <w:spacing w:line="360" w:lineRule="auto"/>
      </w:pPr>
      <w:proofErr w:type="gramStart"/>
      <w:r>
        <w:t>Fig</w:t>
      </w:r>
      <w:r>
        <w:rPr>
          <w:rFonts w:hint="eastAsia"/>
        </w:rPr>
        <w:t xml:space="preserve">1  </w:t>
      </w:r>
      <w:r>
        <w:t>A</w:t>
      </w:r>
      <w:proofErr w:type="gramEnd"/>
      <w:r>
        <w:t xml:space="preserve"> fresh compression fracture of the L1/2/3 vertebral body is suggested by the first fracture MRI, together with instability-causing scoliosis and a lateral postoperative X-ray position.</w:t>
      </w:r>
    </w:p>
    <w:p w:rsidR="007427EB" w:rsidRDefault="007427EB" w:rsidP="007427EB">
      <w:pPr>
        <w:spacing w:line="360" w:lineRule="auto"/>
      </w:pPr>
      <w:r>
        <w:t>Fig</w:t>
      </w:r>
      <w:r>
        <w:rPr>
          <w:rFonts w:hint="eastAsia"/>
        </w:rPr>
        <w:t xml:space="preserve">2 </w:t>
      </w:r>
      <w:r>
        <w:t>Postoperative lateral radiographs and a second fracture MRI reveal a T9/10 new proximal compression fracture.</w:t>
      </w:r>
    </w:p>
    <w:p w:rsidR="007427EB" w:rsidRDefault="007427EB" w:rsidP="007427EB">
      <w:pPr>
        <w:spacing w:line="360" w:lineRule="auto"/>
      </w:pPr>
      <w:proofErr w:type="gramStart"/>
      <w:r>
        <w:t>Fig</w:t>
      </w:r>
      <w:r>
        <w:rPr>
          <w:rFonts w:hint="eastAsia"/>
        </w:rPr>
        <w:t xml:space="preserve">3  </w:t>
      </w:r>
      <w:r>
        <w:t>A</w:t>
      </w:r>
      <w:proofErr w:type="gramEnd"/>
      <w:r>
        <w:t xml:space="preserve"> fresh proximal compression fracture of T11/12 is suggested by a third fracture MRI; lateral film during surgery.</w:t>
      </w:r>
    </w:p>
    <w:p w:rsidR="007427EB" w:rsidRDefault="007427EB" w:rsidP="007427EB">
      <w:pPr>
        <w:spacing w:line="360" w:lineRule="auto"/>
      </w:pPr>
      <w:proofErr w:type="gramStart"/>
      <w:r>
        <w:t>Fig</w:t>
      </w:r>
      <w:r>
        <w:rPr>
          <w:rFonts w:hint="eastAsia"/>
        </w:rPr>
        <w:t xml:space="preserve">4  </w:t>
      </w:r>
      <w:r>
        <w:t>There</w:t>
      </w:r>
      <w:proofErr w:type="gramEnd"/>
      <w:r>
        <w:t xml:space="preserve"> had been no prior anti-osteoporosis medication treatment, and the initial QCT bone mineral density test resulted in 36.7 mg/cm3.</w:t>
      </w:r>
    </w:p>
    <w:p w:rsidR="007427EB" w:rsidRDefault="007427EB" w:rsidP="007427EB">
      <w:pPr>
        <w:spacing w:line="360" w:lineRule="auto"/>
      </w:pPr>
      <w:proofErr w:type="gramStart"/>
      <w:r>
        <w:t>Fig</w:t>
      </w:r>
      <w:r>
        <w:rPr>
          <w:rFonts w:hint="eastAsia"/>
        </w:rPr>
        <w:t xml:space="preserve">5  </w:t>
      </w:r>
      <w:r>
        <w:t>Following</w:t>
      </w:r>
      <w:proofErr w:type="gramEnd"/>
      <w:r>
        <w:t xml:space="preserve"> six months of </w:t>
      </w:r>
      <w:proofErr w:type="spellStart"/>
      <w:r>
        <w:t>osteotriol</w:t>
      </w:r>
      <w:proofErr w:type="spellEnd"/>
      <w:r>
        <w:t xml:space="preserve">, salmon calcitonin, and </w:t>
      </w:r>
      <w:proofErr w:type="spellStart"/>
      <w:r>
        <w:t>ibandronate</w:t>
      </w:r>
      <w:proofErr w:type="spellEnd"/>
      <w:r>
        <w:t xml:space="preserve"> therapy, a second fracture QCT bone density test revealed 36.8 mg/cm3.</w:t>
      </w:r>
    </w:p>
    <w:p w:rsidR="007427EB" w:rsidRDefault="007427EB" w:rsidP="007427EB">
      <w:pPr>
        <w:spacing w:line="360" w:lineRule="auto"/>
        <w:rPr>
          <w:rFonts w:hint="eastAsia"/>
        </w:rPr>
      </w:pPr>
      <w:proofErr w:type="gramStart"/>
      <w:r>
        <w:t>Fig</w:t>
      </w:r>
      <w:r>
        <w:rPr>
          <w:rFonts w:hint="eastAsia"/>
        </w:rPr>
        <w:t xml:space="preserve">6  </w:t>
      </w:r>
      <w:r>
        <w:t>Following</w:t>
      </w:r>
      <w:proofErr w:type="gramEnd"/>
      <w:r>
        <w:t xml:space="preserve"> a year of </w:t>
      </w:r>
      <w:proofErr w:type="spellStart"/>
      <w:r>
        <w:t>ibandronate</w:t>
      </w:r>
      <w:proofErr w:type="spellEnd"/>
      <w:r>
        <w:t xml:space="preserve">, </w:t>
      </w:r>
      <w:proofErr w:type="spellStart"/>
      <w:r>
        <w:t>osteotriol</w:t>
      </w:r>
      <w:proofErr w:type="spellEnd"/>
      <w:r>
        <w:t>, and salmon calcitonin therapy, the third fracture QCT BMD test indicated 75.8 mg/cm3.</w:t>
      </w:r>
    </w:p>
    <w:p w:rsidR="00C32FD0" w:rsidRDefault="001713E0" w:rsidP="001713E0">
      <w:pPr>
        <w:spacing w:line="360" w:lineRule="auto"/>
        <w:rPr>
          <w:rFonts w:hint="eastAsia"/>
        </w:rPr>
      </w:pPr>
      <w:proofErr w:type="gramStart"/>
      <w:r w:rsidRPr="001713E0">
        <w:t xml:space="preserve">Fig7 </w:t>
      </w:r>
      <w:r w:rsidR="007427EB">
        <w:rPr>
          <w:rFonts w:hint="eastAsia"/>
        </w:rPr>
        <w:t xml:space="preserve"> </w:t>
      </w:r>
      <w:r w:rsidRPr="001713E0">
        <w:t>ROC</w:t>
      </w:r>
      <w:proofErr w:type="gramEnd"/>
      <w:r w:rsidRPr="001713E0">
        <w:t xml:space="preserve"> curve for diagnostic indicators of re-fracture. </w:t>
      </w:r>
    </w:p>
    <w:p w:rsidR="00906F68" w:rsidRDefault="001713E0" w:rsidP="001713E0">
      <w:pPr>
        <w:spacing w:line="360" w:lineRule="auto"/>
      </w:pPr>
      <w:r w:rsidRPr="00C32FD0">
        <w:rPr>
          <w:b/>
        </w:rPr>
        <w:t xml:space="preserve">Table </w:t>
      </w:r>
      <w:proofErr w:type="gramStart"/>
      <w:r w:rsidRPr="00C32FD0">
        <w:rPr>
          <w:b/>
        </w:rPr>
        <w:t xml:space="preserve">1 </w:t>
      </w:r>
      <w:r w:rsidRPr="001713E0">
        <w:t xml:space="preserve"> </w:t>
      </w:r>
      <w:proofErr w:type="spellStart"/>
      <w:r w:rsidRPr="001713E0">
        <w:t>univariate</w:t>
      </w:r>
      <w:proofErr w:type="spellEnd"/>
      <w:proofErr w:type="gramEnd"/>
      <w:r w:rsidRPr="001713E0">
        <w:t xml:space="preserve"> analysis of the factors influencing re-fracture of compression fractures. </w:t>
      </w:r>
      <w:r w:rsidRPr="00C32FD0">
        <w:rPr>
          <w:b/>
        </w:rPr>
        <w:t xml:space="preserve">Table </w:t>
      </w:r>
      <w:proofErr w:type="gramStart"/>
      <w:r w:rsidRPr="00C32FD0">
        <w:rPr>
          <w:b/>
        </w:rPr>
        <w:t xml:space="preserve">2 </w:t>
      </w:r>
      <w:r w:rsidRPr="001713E0">
        <w:t xml:space="preserve"> Results</w:t>
      </w:r>
      <w:proofErr w:type="gramEnd"/>
      <w:r w:rsidRPr="001713E0">
        <w:t xml:space="preserve"> of binary logistic regression analysis of compression fracture re-fracture. </w:t>
      </w:r>
      <w:r w:rsidRPr="00C32FD0">
        <w:rPr>
          <w:b/>
        </w:rPr>
        <w:t xml:space="preserve">Table </w:t>
      </w:r>
      <w:proofErr w:type="gramStart"/>
      <w:r w:rsidRPr="00C32FD0">
        <w:rPr>
          <w:b/>
        </w:rPr>
        <w:t xml:space="preserve">3 </w:t>
      </w:r>
      <w:r w:rsidRPr="001713E0">
        <w:t xml:space="preserve"> Multiple</w:t>
      </w:r>
      <w:proofErr w:type="gramEnd"/>
      <w:r w:rsidRPr="001713E0">
        <w:t xml:space="preserve"> linear stepwise regression analysis of factors influencing re-fracture. </w:t>
      </w:r>
      <w:bookmarkStart w:id="0" w:name="_GoBack"/>
      <w:r w:rsidRPr="00C32FD0">
        <w:rPr>
          <w:b/>
        </w:rPr>
        <w:t xml:space="preserve">Table </w:t>
      </w:r>
      <w:proofErr w:type="gramStart"/>
      <w:r w:rsidRPr="00C32FD0">
        <w:rPr>
          <w:b/>
        </w:rPr>
        <w:t xml:space="preserve">4 </w:t>
      </w:r>
      <w:bookmarkEnd w:id="0"/>
      <w:r w:rsidRPr="001713E0">
        <w:t xml:space="preserve"> ROC</w:t>
      </w:r>
      <w:proofErr w:type="gramEnd"/>
      <w:r w:rsidRPr="001713E0">
        <w:t xml:space="preserve"> curve for diagnostic indicators of re-fracture.</w:t>
      </w:r>
    </w:p>
    <w:sectPr w:rsidR="00906F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3E0" w:rsidRDefault="001713E0" w:rsidP="001713E0">
      <w:r>
        <w:separator/>
      </w:r>
    </w:p>
  </w:endnote>
  <w:endnote w:type="continuationSeparator" w:id="0">
    <w:p w:rsidR="001713E0" w:rsidRDefault="001713E0" w:rsidP="00171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3E0" w:rsidRDefault="001713E0" w:rsidP="001713E0">
      <w:r>
        <w:separator/>
      </w:r>
    </w:p>
  </w:footnote>
  <w:footnote w:type="continuationSeparator" w:id="0">
    <w:p w:rsidR="001713E0" w:rsidRDefault="001713E0" w:rsidP="001713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E4A"/>
    <w:rsid w:val="001713E0"/>
    <w:rsid w:val="007427EB"/>
    <w:rsid w:val="00906F68"/>
    <w:rsid w:val="00C32FD0"/>
    <w:rsid w:val="00F70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713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713E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713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713E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713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713E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713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713E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徐同亮</dc:creator>
  <cp:keywords/>
  <dc:description/>
  <cp:lastModifiedBy>徐同亮</cp:lastModifiedBy>
  <cp:revision>7</cp:revision>
  <dcterms:created xsi:type="dcterms:W3CDTF">2023-12-01T05:34:00Z</dcterms:created>
  <dcterms:modified xsi:type="dcterms:W3CDTF">2023-12-01T06:38:00Z</dcterms:modified>
</cp:coreProperties>
</file>