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E11" w:rsidRDefault="00D50E11" w:rsidP="00D50E11">
      <w:pPr>
        <w:tabs>
          <w:tab w:val="left" w:pos="426"/>
          <w:tab w:val="left" w:pos="567"/>
        </w:tabs>
        <w:spacing w:line="480" w:lineRule="auto"/>
        <w:rPr>
          <w:rFonts w:ascii="Arial" w:hAnsi="Arial" w:cs="Arial"/>
          <w:b/>
          <w:lang w:val="en-US"/>
        </w:rPr>
      </w:pPr>
      <w:bookmarkStart w:id="0" w:name="_GoBack"/>
      <w:r>
        <w:rPr>
          <w:rFonts w:ascii="Arial" w:hAnsi="Arial" w:cs="Arial"/>
          <w:b/>
          <w:lang w:val="en-US"/>
        </w:rPr>
        <w:t>Additional file 2</w:t>
      </w:r>
      <w:r w:rsidRPr="004A181A">
        <w:rPr>
          <w:rFonts w:ascii="Arial" w:hAnsi="Arial" w:cs="Arial"/>
          <w:b/>
          <w:lang w:val="en-US"/>
        </w:rPr>
        <w:t xml:space="preserve"> Coding tree</w:t>
      </w:r>
    </w:p>
    <w:bookmarkEnd w:id="0"/>
    <w:tbl>
      <w:tblPr>
        <w:tblStyle w:val="Tabelraster"/>
        <w:tblW w:w="3121" w:type="pct"/>
        <w:tblLook w:val="04A0" w:firstRow="1" w:lastRow="0" w:firstColumn="1" w:lastColumn="0" w:noHBand="0" w:noVBand="1"/>
      </w:tblPr>
      <w:tblGrid>
        <w:gridCol w:w="533"/>
        <w:gridCol w:w="5124"/>
      </w:tblGrid>
      <w:tr w:rsidR="00D50E11" w:rsidRPr="000D7C8D" w:rsidTr="00B23EBA">
        <w:tc>
          <w:tcPr>
            <w:tcW w:w="533" w:type="dxa"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b/>
                <w:sz w:val="24"/>
                <w:szCs w:val="24"/>
                <w:lang w:val="en-US"/>
              </w:rPr>
              <w:t>Description and sub-codes</w:t>
            </w:r>
          </w:p>
        </w:tc>
      </w:tr>
      <w:tr w:rsidR="00D50E11" w:rsidRPr="003E1E6C" w:rsidTr="00B23EBA">
        <w:trPr>
          <w:trHeight w:val="1017"/>
        </w:trPr>
        <w:tc>
          <w:tcPr>
            <w:tcW w:w="533" w:type="dxa"/>
            <w:vMerge w:val="restart"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b/>
                <w:sz w:val="24"/>
                <w:szCs w:val="24"/>
                <w:lang w:val="en-US"/>
              </w:rPr>
              <w:t>Use of inflammatory marker POCT</w:t>
            </w: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Urinary tract infections</w:t>
            </w:r>
          </w:p>
          <w:p w:rsidR="00D50E11" w:rsidRPr="000D7C8D" w:rsidRDefault="00D50E11" w:rsidP="00B23EBA">
            <w:pPr>
              <w:pStyle w:val="Geenafstand"/>
              <w:ind w:firstLine="708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Specific urinary symptoms</w:t>
            </w: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ab/>
            </w:r>
          </w:p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ab/>
              <w:t>Non-specific symptoms</w:t>
            </w:r>
          </w:p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ab/>
              <w:t>Systemic symptoms</w:t>
            </w:r>
          </w:p>
        </w:tc>
      </w:tr>
      <w:tr w:rsidR="00D50E11" w:rsidRPr="000D7C8D" w:rsidTr="00B23EBA">
        <w:tc>
          <w:tcPr>
            <w:tcW w:w="533" w:type="dxa"/>
            <w:vMerge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Respiratory tract infections</w:t>
            </w:r>
          </w:p>
        </w:tc>
      </w:tr>
      <w:tr w:rsidR="00D50E11" w:rsidRPr="000D7C8D" w:rsidTr="00B23EBA">
        <w:tc>
          <w:tcPr>
            <w:tcW w:w="533" w:type="dxa"/>
            <w:vMerge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Other infections</w:t>
            </w:r>
          </w:p>
        </w:tc>
      </w:tr>
      <w:tr w:rsidR="00D50E11" w:rsidRPr="000D7C8D" w:rsidTr="00B23EBA">
        <w:tc>
          <w:tcPr>
            <w:tcW w:w="533" w:type="dxa"/>
            <w:vMerge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Role of testing</w:t>
            </w:r>
          </w:p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ab/>
              <w:t>Diagnosis</w:t>
            </w:r>
          </w:p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ab/>
              <w:t>Follow-up</w:t>
            </w:r>
          </w:p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ab/>
              <w:t>Triage</w:t>
            </w:r>
          </w:p>
        </w:tc>
      </w:tr>
      <w:tr w:rsidR="00D50E11" w:rsidRPr="003E1E6C" w:rsidTr="00B23EBA">
        <w:tc>
          <w:tcPr>
            <w:tcW w:w="533" w:type="dxa"/>
            <w:vMerge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Type of patients</w:t>
            </w:r>
          </w:p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ab/>
              <w:t>Psychogeriatric</w:t>
            </w:r>
          </w:p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ab/>
              <w:t>Somatic/rehabilitation</w:t>
            </w:r>
          </w:p>
        </w:tc>
      </w:tr>
      <w:tr w:rsidR="00D50E11" w:rsidRPr="000D7C8D" w:rsidTr="00B23EBA">
        <w:tc>
          <w:tcPr>
            <w:tcW w:w="533" w:type="dxa"/>
            <w:vMerge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Users</w:t>
            </w:r>
          </w:p>
        </w:tc>
      </w:tr>
      <w:tr w:rsidR="00D50E11" w:rsidRPr="000D7C8D" w:rsidTr="00B23EBA">
        <w:tc>
          <w:tcPr>
            <w:tcW w:w="533" w:type="dxa"/>
            <w:vMerge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Maintenance</w:t>
            </w:r>
          </w:p>
        </w:tc>
      </w:tr>
      <w:tr w:rsidR="00D50E11" w:rsidRPr="000D7C8D" w:rsidTr="00B23EBA">
        <w:tc>
          <w:tcPr>
            <w:tcW w:w="533" w:type="dxa"/>
            <w:vMerge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Interpretation</w:t>
            </w:r>
          </w:p>
        </w:tc>
      </w:tr>
      <w:tr w:rsidR="00D50E11" w:rsidRPr="000D7C8D" w:rsidTr="00B23EBA">
        <w:tc>
          <w:tcPr>
            <w:tcW w:w="533" w:type="dxa"/>
            <w:vMerge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Clinical reasoning</w:t>
            </w:r>
          </w:p>
        </w:tc>
      </w:tr>
      <w:tr w:rsidR="00D50E11" w:rsidRPr="003E1E6C" w:rsidTr="00B23EBA">
        <w:tc>
          <w:tcPr>
            <w:tcW w:w="533" w:type="dxa"/>
            <w:vMerge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Moment of use in diagnostic pathway</w:t>
            </w:r>
          </w:p>
        </w:tc>
      </w:tr>
      <w:tr w:rsidR="00D50E11" w:rsidRPr="000D7C8D" w:rsidTr="00B23EBA">
        <w:trPr>
          <w:cantSplit/>
          <w:trHeight w:val="414"/>
        </w:trPr>
        <w:tc>
          <w:tcPr>
            <w:tcW w:w="533" w:type="dxa"/>
            <w:vMerge w:val="restart"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b/>
                <w:sz w:val="24"/>
                <w:szCs w:val="24"/>
                <w:lang w:val="en-US"/>
              </w:rPr>
              <w:t>Intervention</w:t>
            </w: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Perception of advantages</w:t>
            </w:r>
          </w:p>
          <w:p w:rsidR="00D50E11" w:rsidRPr="000D7C8D" w:rsidRDefault="00D50E11" w:rsidP="00B23EBA">
            <w:pPr>
              <w:pStyle w:val="Geenafstand"/>
              <w:ind w:firstLine="708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Reducing diagnostic uncertainty</w:t>
            </w:r>
          </w:p>
          <w:p w:rsidR="00D50E11" w:rsidRPr="000D7C8D" w:rsidRDefault="00D50E11" w:rsidP="00B23EBA">
            <w:pPr>
              <w:pStyle w:val="Geenafstand"/>
              <w:ind w:firstLine="708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Withholding antibiotic therapy</w:t>
            </w:r>
          </w:p>
          <w:p w:rsidR="00D50E11" w:rsidRPr="000D7C8D" w:rsidRDefault="00D50E11" w:rsidP="00B23EBA">
            <w:pPr>
              <w:pStyle w:val="Geenafstand"/>
              <w:ind w:firstLine="708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Justification for starting antibiotic therapy</w:t>
            </w:r>
          </w:p>
          <w:p w:rsidR="00D50E11" w:rsidRPr="000D7C8D" w:rsidRDefault="00D50E11" w:rsidP="00B23EBA">
            <w:pPr>
              <w:pStyle w:val="Geenafstand"/>
              <w:ind w:firstLine="708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Reducing time to start of antibiotic therapy</w:t>
            </w:r>
          </w:p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ab/>
              <w:t>Convincing others</w:t>
            </w:r>
          </w:p>
        </w:tc>
      </w:tr>
      <w:tr w:rsidR="00D50E11" w:rsidRPr="003E1E6C" w:rsidTr="00B23EBA">
        <w:trPr>
          <w:cantSplit/>
          <w:trHeight w:val="407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Risks</w:t>
            </w:r>
          </w:p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ab/>
              <w:t>Improper use (type of disease)</w:t>
            </w:r>
          </w:p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ab/>
              <w:t>Incompetent use</w:t>
            </w:r>
          </w:p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ab/>
              <w:t>Unstandardized decision making</w:t>
            </w: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ab/>
              <w:t>Medicalizing nursing home setting</w:t>
            </w:r>
          </w:p>
        </w:tc>
      </w:tr>
      <w:tr w:rsidR="00D50E11" w:rsidRPr="000D7C8D" w:rsidTr="00B23EBA">
        <w:trPr>
          <w:cantSplit/>
          <w:trHeight w:val="407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Evidence</w:t>
            </w:r>
          </w:p>
        </w:tc>
      </w:tr>
      <w:tr w:rsidR="00D50E11" w:rsidRPr="000D7C8D" w:rsidTr="00B23EBA">
        <w:trPr>
          <w:cantSplit/>
          <w:trHeight w:val="407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Perceptions of diagnostic accuracy</w:t>
            </w:r>
          </w:p>
        </w:tc>
      </w:tr>
      <w:tr w:rsidR="00D50E11" w:rsidRPr="000D7C8D" w:rsidTr="00B23EBA">
        <w:trPr>
          <w:cantSplit/>
          <w:trHeight w:val="407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Perceptions of validity</w:t>
            </w:r>
          </w:p>
        </w:tc>
      </w:tr>
      <w:tr w:rsidR="00D50E11" w:rsidRPr="000D7C8D" w:rsidTr="00B23EBA">
        <w:trPr>
          <w:cantSplit/>
          <w:trHeight w:val="407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Complexity of POCT</w:t>
            </w:r>
          </w:p>
        </w:tc>
      </w:tr>
      <w:tr w:rsidR="00D50E11" w:rsidRPr="000D7C8D" w:rsidTr="00B23EBA">
        <w:trPr>
          <w:cantSplit/>
          <w:trHeight w:val="407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Mobility of POC device</w:t>
            </w:r>
          </w:p>
        </w:tc>
      </w:tr>
      <w:tr w:rsidR="00D50E11" w:rsidRPr="000D7C8D" w:rsidTr="00B23EBA">
        <w:trPr>
          <w:cantSplit/>
          <w:trHeight w:val="407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Vulnerability (error-prone)</w:t>
            </w:r>
          </w:p>
        </w:tc>
      </w:tr>
      <w:tr w:rsidR="00D50E11" w:rsidRPr="000D7C8D" w:rsidTr="00B23EBA">
        <w:trPr>
          <w:cantSplit/>
          <w:trHeight w:val="407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Patient burden</w:t>
            </w:r>
          </w:p>
        </w:tc>
      </w:tr>
      <w:tr w:rsidR="00D50E11" w:rsidRPr="000D7C8D" w:rsidTr="00B23EBA">
        <w:trPr>
          <w:cantSplit/>
          <w:trHeight w:val="407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 xml:space="preserve">Time to test result  </w:t>
            </w:r>
          </w:p>
        </w:tc>
      </w:tr>
      <w:tr w:rsidR="00D50E11" w:rsidRPr="000D7C8D" w:rsidTr="00B23EBA">
        <w:trPr>
          <w:cantSplit/>
          <w:trHeight w:val="407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Workload for users</w:t>
            </w:r>
          </w:p>
        </w:tc>
      </w:tr>
      <w:tr w:rsidR="00D50E11" w:rsidRPr="000D7C8D" w:rsidTr="00B23EBA">
        <w:trPr>
          <w:cantSplit/>
          <w:trHeight w:val="407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Trialability (evaluation)</w:t>
            </w:r>
          </w:p>
        </w:tc>
      </w:tr>
      <w:tr w:rsidR="00D50E11" w:rsidRPr="000D7C8D" w:rsidTr="00B23EBA">
        <w:trPr>
          <w:cantSplit/>
          <w:trHeight w:val="407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Visibility</w:t>
            </w:r>
          </w:p>
        </w:tc>
      </w:tr>
      <w:tr w:rsidR="00D50E11" w:rsidRPr="000D7C8D" w:rsidTr="00B23EBA">
        <w:trPr>
          <w:cantSplit/>
          <w:trHeight w:val="407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Costs</w:t>
            </w:r>
          </w:p>
        </w:tc>
      </w:tr>
      <w:tr w:rsidR="00D50E11" w:rsidRPr="000D7C8D" w:rsidTr="00B23EBA">
        <w:trPr>
          <w:cantSplit/>
          <w:trHeight w:val="352"/>
        </w:trPr>
        <w:tc>
          <w:tcPr>
            <w:tcW w:w="533" w:type="dxa"/>
            <w:vMerge w:val="restart"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b/>
                <w:sz w:val="24"/>
                <w:szCs w:val="24"/>
                <w:lang w:val="en-US"/>
              </w:rPr>
              <w:t>Individuals</w:t>
            </w:r>
          </w:p>
        </w:tc>
        <w:tc>
          <w:tcPr>
            <w:tcW w:w="5124" w:type="dxa"/>
          </w:tcPr>
          <w:p w:rsidR="00D50E11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 xml:space="preserve">Familiarity with POCT </w:t>
            </w:r>
          </w:p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D50E11" w:rsidRPr="000D7C8D" w:rsidTr="00B23EBA">
        <w:trPr>
          <w:cantSplit/>
          <w:trHeight w:val="350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Skills (also expected)</w:t>
            </w:r>
          </w:p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D50E11" w:rsidRPr="000D7C8D" w:rsidTr="00B23EBA">
        <w:trPr>
          <w:cantSplit/>
          <w:trHeight w:val="350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Self-efficacy</w:t>
            </w:r>
          </w:p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D50E11" w:rsidRPr="000D7C8D" w:rsidTr="00B23EBA">
        <w:trPr>
          <w:cantSplit/>
          <w:trHeight w:val="298"/>
        </w:trPr>
        <w:tc>
          <w:tcPr>
            <w:tcW w:w="533" w:type="dxa"/>
            <w:vMerge w:val="restart"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b/>
                <w:sz w:val="24"/>
                <w:szCs w:val="24"/>
                <w:lang w:val="en-US"/>
              </w:rPr>
              <w:t>Organization</w:t>
            </w: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Nursing home structure (locally)</w:t>
            </w:r>
          </w:p>
        </w:tc>
      </w:tr>
      <w:tr w:rsidR="00D50E11" w:rsidRPr="003E1E6C" w:rsidTr="00B23EBA">
        <w:trPr>
          <w:cantSplit/>
          <w:trHeight w:val="296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Nursing home organization / regional health system</w:t>
            </w:r>
          </w:p>
        </w:tc>
      </w:tr>
      <w:tr w:rsidR="00D50E11" w:rsidRPr="000D7C8D" w:rsidTr="00B23EBA">
        <w:trPr>
          <w:cantSplit/>
          <w:trHeight w:val="296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Culture</w:t>
            </w:r>
          </w:p>
        </w:tc>
      </w:tr>
      <w:tr w:rsidR="00D50E11" w:rsidRPr="000D7C8D" w:rsidTr="00B23EBA">
        <w:trPr>
          <w:cantSplit/>
          <w:trHeight w:val="296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Guideline, evidence</w:t>
            </w:r>
          </w:p>
        </w:tc>
      </w:tr>
      <w:tr w:rsidR="00D50E11" w:rsidRPr="000D7C8D" w:rsidTr="00B23EBA">
        <w:trPr>
          <w:cantSplit/>
          <w:trHeight w:val="296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Patients’ needs</w:t>
            </w:r>
          </w:p>
        </w:tc>
      </w:tr>
      <w:tr w:rsidR="00D50E11" w:rsidRPr="000D7C8D" w:rsidTr="00B23EBA">
        <w:trPr>
          <w:cantSplit/>
          <w:trHeight w:val="577"/>
        </w:trPr>
        <w:tc>
          <w:tcPr>
            <w:tcW w:w="533" w:type="dxa"/>
            <w:vMerge w:val="restart"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b/>
                <w:sz w:val="24"/>
                <w:szCs w:val="24"/>
                <w:lang w:val="en-US"/>
              </w:rPr>
              <w:t>Implementation</w:t>
            </w: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Future</w:t>
            </w:r>
          </w:p>
          <w:p w:rsidR="00D50E11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D50E11" w:rsidRPr="000D7C8D" w:rsidTr="00B23EBA">
        <w:trPr>
          <w:cantSplit/>
          <w:trHeight w:val="577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Education</w:t>
            </w:r>
          </w:p>
          <w:p w:rsidR="00D50E11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D50E11" w:rsidRPr="000D7C8D" w:rsidTr="00B23EBA">
        <w:trPr>
          <w:cantSplit/>
          <w:trHeight w:val="577"/>
        </w:trPr>
        <w:tc>
          <w:tcPr>
            <w:tcW w:w="533" w:type="dxa"/>
            <w:vMerge/>
            <w:textDirection w:val="btLr"/>
          </w:tcPr>
          <w:p w:rsidR="00D50E11" w:rsidRPr="000D7C8D" w:rsidRDefault="00D50E11" w:rsidP="00B23EBA">
            <w:pPr>
              <w:pStyle w:val="Geenafstand"/>
              <w:ind w:left="113" w:right="113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5124" w:type="dxa"/>
          </w:tcPr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D7C8D">
              <w:rPr>
                <w:rFonts w:ascii="Arial" w:hAnsi="Arial" w:cs="Arial"/>
                <w:sz w:val="24"/>
                <w:szCs w:val="24"/>
                <w:lang w:val="en-US"/>
              </w:rPr>
              <w:t>Quality assurance</w:t>
            </w:r>
          </w:p>
          <w:p w:rsidR="00D50E11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D50E11" w:rsidRPr="000D7C8D" w:rsidRDefault="00D50E11" w:rsidP="00B23EBA">
            <w:pPr>
              <w:pStyle w:val="Geenafstand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</w:tbl>
    <w:p w:rsidR="00D50E11" w:rsidRPr="000D7C8D" w:rsidRDefault="00D50E11" w:rsidP="00D50E11">
      <w:pPr>
        <w:pStyle w:val="Geenafstand"/>
        <w:rPr>
          <w:rFonts w:ascii="Arial" w:hAnsi="Arial" w:cs="Arial"/>
          <w:sz w:val="24"/>
          <w:szCs w:val="24"/>
          <w:lang w:val="en-US"/>
        </w:rPr>
      </w:pPr>
      <w:r w:rsidRPr="000D7C8D">
        <w:rPr>
          <w:rFonts w:ascii="Arial" w:hAnsi="Arial" w:cs="Arial"/>
          <w:sz w:val="24"/>
          <w:szCs w:val="24"/>
          <w:lang w:val="en-US"/>
        </w:rPr>
        <w:t>POCT: point-of-care testing</w:t>
      </w:r>
    </w:p>
    <w:p w:rsidR="00D50E11" w:rsidRPr="004A181A" w:rsidRDefault="00D50E11" w:rsidP="00D50E11">
      <w:pPr>
        <w:tabs>
          <w:tab w:val="left" w:pos="426"/>
          <w:tab w:val="left" w:pos="567"/>
        </w:tabs>
        <w:spacing w:line="480" w:lineRule="auto"/>
        <w:rPr>
          <w:rFonts w:ascii="Arial" w:hAnsi="Arial" w:cs="Arial"/>
          <w:b/>
          <w:lang w:val="en-US"/>
        </w:rPr>
      </w:pPr>
    </w:p>
    <w:p w:rsidR="00074A44" w:rsidRDefault="00074A44"/>
    <w:sectPr w:rsidR="00074A44" w:rsidSect="00D50E11">
      <w:footerReference w:type="default" r:id="rId6"/>
      <w:pgSz w:w="11906" w:h="16838"/>
      <w:pgMar w:top="1417" w:right="1417" w:bottom="1417" w:left="1417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0E11" w:rsidRDefault="00D50E11" w:rsidP="00D50E11">
      <w:pPr>
        <w:spacing w:line="240" w:lineRule="auto"/>
      </w:pPr>
      <w:r>
        <w:separator/>
      </w:r>
    </w:p>
  </w:endnote>
  <w:endnote w:type="continuationSeparator" w:id="0">
    <w:p w:rsidR="00D50E11" w:rsidRDefault="00D50E11" w:rsidP="00D50E1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80601431"/>
      <w:docPartObj>
        <w:docPartGallery w:val="Page Numbers (Bottom of Page)"/>
        <w:docPartUnique/>
      </w:docPartObj>
    </w:sdtPr>
    <w:sdtContent>
      <w:p w:rsidR="00D50E11" w:rsidRDefault="00D50E11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3E1E6C" w:rsidRPr="00C62842" w:rsidRDefault="00D50E11">
    <w:pPr>
      <w:pStyle w:val="Voettekst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0E11" w:rsidRDefault="00D50E11" w:rsidP="00D50E11">
      <w:pPr>
        <w:spacing w:line="240" w:lineRule="auto"/>
      </w:pPr>
      <w:r>
        <w:separator/>
      </w:r>
    </w:p>
  </w:footnote>
  <w:footnote w:type="continuationSeparator" w:id="0">
    <w:p w:rsidR="00D50E11" w:rsidRDefault="00D50E11" w:rsidP="00D50E1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E11"/>
    <w:rsid w:val="00074A44"/>
    <w:rsid w:val="00D50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3CDDBAE"/>
  <w15:chartTrackingRefBased/>
  <w15:docId w15:val="{A40692B9-D989-4FA5-A499-B9CFFC106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D50E11"/>
    <w:pPr>
      <w:spacing w:after="0"/>
    </w:pPr>
    <w:rPr>
      <w:rFonts w:ascii="Times New Roman" w:hAnsi="Times New Roman" w:cs="Times New Roman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link w:val="GeenafstandChar"/>
    <w:uiPriority w:val="1"/>
    <w:qFormat/>
    <w:rsid w:val="00D50E11"/>
    <w:pPr>
      <w:spacing w:after="0" w:line="240" w:lineRule="auto"/>
    </w:pPr>
  </w:style>
  <w:style w:type="paragraph" w:styleId="Voettekst">
    <w:name w:val="footer"/>
    <w:basedOn w:val="Standaard"/>
    <w:link w:val="VoettekstChar"/>
    <w:uiPriority w:val="99"/>
    <w:unhideWhenUsed/>
    <w:rsid w:val="00D50E11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50E11"/>
    <w:rPr>
      <w:rFonts w:ascii="Times New Roman" w:hAnsi="Times New Roman" w:cs="Times New Roman"/>
      <w:sz w:val="24"/>
      <w:szCs w:val="24"/>
    </w:rPr>
  </w:style>
  <w:style w:type="character" w:customStyle="1" w:styleId="GeenafstandChar">
    <w:name w:val="Geen afstand Char"/>
    <w:basedOn w:val="Standaardalinea-lettertype"/>
    <w:link w:val="Geenafstand"/>
    <w:uiPriority w:val="1"/>
    <w:rsid w:val="00D50E11"/>
  </w:style>
  <w:style w:type="table" w:styleId="Tabelraster">
    <w:name w:val="Table Grid"/>
    <w:basedOn w:val="Standaardtabel"/>
    <w:uiPriority w:val="59"/>
    <w:rsid w:val="00D50E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gelnummer">
    <w:name w:val="line number"/>
    <w:basedOn w:val="Standaardalinea-lettertype"/>
    <w:uiPriority w:val="99"/>
    <w:semiHidden/>
    <w:unhideWhenUsed/>
    <w:rsid w:val="00D50E11"/>
  </w:style>
  <w:style w:type="paragraph" w:styleId="Koptekst">
    <w:name w:val="header"/>
    <w:basedOn w:val="Standaard"/>
    <w:link w:val="KoptekstChar"/>
    <w:uiPriority w:val="99"/>
    <w:unhideWhenUsed/>
    <w:rsid w:val="00D50E11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50E1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Kuil, S.D. (Sacha)</dc:creator>
  <cp:keywords/>
  <dc:description/>
  <cp:lastModifiedBy>Kuil, S.D. (Sacha)</cp:lastModifiedBy>
  <cp:revision>1</cp:revision>
  <dcterms:created xsi:type="dcterms:W3CDTF">2020-06-16T10:21:00Z</dcterms:created>
  <dcterms:modified xsi:type="dcterms:W3CDTF">2020-06-16T10:22:00Z</dcterms:modified>
</cp:coreProperties>
</file>