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>Table 1.</w:t>
      </w: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 xml:space="preserve">  Baseline characteristics between the two groups.</w:t>
      </w:r>
    </w:p>
    <w:tbl>
      <w:tblPr>
        <w:tblStyle w:val="20"/>
        <w:tblpPr w:leftFromText="180" w:rightFromText="180" w:vertAnchor="text" w:horzAnchor="page" w:tblpX="1316" w:tblpY="66"/>
        <w:tblOverlap w:val="never"/>
        <w:tblW w:w="4970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0"/>
        <w:gridCol w:w="1475"/>
        <w:gridCol w:w="1475"/>
        <w:gridCol w:w="680"/>
        <w:gridCol w:w="1450"/>
        <w:gridCol w:w="1450"/>
        <w:gridCol w:w="7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vMerge w:val="restart"/>
            <w:tcBorders>
              <w:top w:val="single" w:color="auto" w:sz="4" w:space="0"/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bookmarkStart w:id="0" w:name="_Hlk115422399"/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Characteristics</w:t>
            </w: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Before  PSM</w:t>
            </w:r>
          </w:p>
        </w:tc>
        <w:tc>
          <w:tcPr>
            <w:tcW w:w="3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After  PSM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R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educed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(n=833)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R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ecommended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dose (n=1159 )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P value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R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educed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(n=792 )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R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ecommended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dose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(n=792 )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P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Man , 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N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o.（%）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639(76.7)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856(73.9)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0.147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607(76.6)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595(75.1)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0.481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Age, mean (SD)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62.80±9.58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62.42±10.05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0.252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62.68±9.57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62.25±9.73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0.767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Body mass index, mean (SD)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25.40±3.18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25.23±3.11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0.296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25.40±3.19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25.32±3.15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0.476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Diagnosis, No. (%)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NSTEMI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135(16.2)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180(15.5)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0.683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128(16.2)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136(17.2)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0.590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STEMI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13(1.6)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84(7.2)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eastAsia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0.00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13(1.6)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12(1.5)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0.840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UA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685(82.2)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895(77.2)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0.006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651(82.2)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644(81.3)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0.649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SBP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, mean 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(SD), mmHg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132.76±17.42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130.98±17.63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0.681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132.71±17.53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131.69±17.55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0.873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Heart rate, mean (SD)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75.98±11.55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77.09±26.91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0.106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75.92±11.60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77.60±31.55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0.081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CRUSADE bleeding score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26.87±11.33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27.96±11.73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0.263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26.79±11.32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27.26±11.57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0.599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Medical history, No. (%)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Hypertension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547(65.7)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749(64.6)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0.631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521(65.8)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503(63.5)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0.334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Diabetes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293(35.2)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446(38.5)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0.132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282(35.6)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298(37.6)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0.404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Hyperlipidemia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369(44.3)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467(40.3)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0.074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355(44.8)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328(41.4)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Anemia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78(9.4)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228(19.7)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eastAsia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0.00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78(9.8)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89(11.2)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0.368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Chronic kidney disease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58(7.0)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67(5.8)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0.283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55(6.9)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49(6.2)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0.543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Smoking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290(34.8)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431(37.2)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0.277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277(35.0)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288(36.4)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0.564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Previous, No. (%)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Stroke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124(14.9)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195(16.8)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0.244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114(14.4)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125(15.8)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0.440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MI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178(21.4)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209(18.0)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0.063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175(22.1)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163(20.6)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0.462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PCI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291(34.9)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405(34.9)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0.996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278(35.1)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283(35.7)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0.793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Laboratory examination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 xml:space="preserve">  PLT, mean (SD),109/L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203.55±51.01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216.57±60.42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eastAsia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0.00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205.16±51.06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207.49±53.81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0.502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 xml:space="preserve">  HGB, mean (SD), g/L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139.09±37.95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137.48±15.73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0.591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139.31±38.79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139.88±14.68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 xml:space="preserve">  CCr,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  <w:t>mean(SD), ml/min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93.15±29.23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93.53±29.99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0.464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93.57±29.46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94.19±29.94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0.897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hsTn, mean(SD), ng/m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0.10±0.49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0.17±0.68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eastAsia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0.00</w:t>
            </w: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  <w:bookmarkStart w:id="2" w:name="_GoBack"/>
            <w:bookmarkEnd w:id="2"/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0.10±0.50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0.11±0.42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CKMB, mean(SD), u/l,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16.78±14.27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18.28±28.12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0.001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16.78±14.48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16.84±23.21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1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 xml:space="preserve">  LDL-C, mean(SD), mmol/l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2.10±0.74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2.12±0.76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0.742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2.10±0.74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2.10±0.72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eastAsia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eastAsia="Times New Roman" w:cs="Times New Roman"/>
                <w:color w:val="000000"/>
                <w:sz w:val="20"/>
                <w:szCs w:val="20"/>
                <w:lang w:eastAsia="zh-CN"/>
              </w:rPr>
              <w:t>0.802</w:t>
            </w:r>
          </w:p>
        </w:tc>
      </w:tr>
    </w:tbl>
    <w:p>
      <w:pPr>
        <w:rPr>
          <w:rFonts w:hint="eastAsia" w:eastAsia="宋体" w:cs="Times New Roman"/>
          <w:color w:val="000000"/>
          <w:sz w:val="20"/>
          <w:szCs w:val="20"/>
          <w:lang w:val="en-US" w:eastAsia="zh-CN"/>
        </w:rPr>
      </w:pPr>
      <w:r>
        <w:rPr>
          <w:rFonts w:hint="eastAsia" w:eastAsia="Times New Roman" w:cs="Times New Roman"/>
          <w:color w:val="000000"/>
          <w:sz w:val="20"/>
          <w:szCs w:val="20"/>
          <w:lang w:eastAsia="zh-CN"/>
        </w:rPr>
        <w:t>PSM, propensity score matching;BMI,body mass index; MI, myocardial infarction; NSTEMI, non-ST-segmental elevation MI; STEMI,ST-segmental elevation MI; UA, unstable angina; CRUSADE[18], can rapid risk stratification of unstable angina patients suppress adverse outcomes with early implementation of the ACC/AHA guidelines; SBP, systolic pressure; PCI, percutaneous coronary intervention; PLT, platelet count; HGB, Hemoglobin count; CCr, creatinine clearance rate, calculated by CG formula</w:t>
      </w:r>
      <w:r>
        <w:rPr>
          <w:rFonts w:hint="eastAsia" w:eastAsia="Times New Roman" w:cs="Times New Roman"/>
          <w:color w:val="000000"/>
          <w:sz w:val="20"/>
          <w:szCs w:val="20"/>
          <w:lang w:val="en-US" w:eastAsia="zh-CN"/>
        </w:rPr>
        <w:t xml:space="preserve">; </w:t>
      </w:r>
      <w:r>
        <w:rPr>
          <w:rFonts w:eastAsia="Times New Roman"/>
          <w:color w:val="000000"/>
          <w:sz w:val="20"/>
          <w:szCs w:val="21"/>
        </w:rPr>
        <w:t>SD, standard deviation</w:t>
      </w:r>
      <w:r>
        <w:rPr>
          <w:rFonts w:hint="eastAsia" w:eastAsia="宋体"/>
          <w:color w:val="000000"/>
          <w:sz w:val="20"/>
          <w:szCs w:val="21"/>
          <w:lang w:val="en-US" w:eastAsia="zh-CN"/>
        </w:rPr>
        <w:t>.</w:t>
      </w:r>
    </w:p>
    <w:p>
      <w:pPr>
        <w:bidi w:val="0"/>
        <w:rPr>
          <w:rFonts w:hint="eastAsia" w:eastAsia="Times New Roman" w:cs="Times New Roman"/>
          <w:color w:val="000000"/>
          <w:sz w:val="20"/>
          <w:szCs w:val="20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eastAsia" w:cs="Times New Roman" w:eastAsiaTheme="minorEastAsia"/>
          <w:b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>Supplementary</w:t>
      </w:r>
      <w:r>
        <w:rPr>
          <w:rFonts w:hint="eastAsia" w:cs="Times New Roman"/>
          <w:b/>
          <w:bCs/>
          <w:i w:val="0"/>
          <w:iCs w:val="0"/>
          <w:sz w:val="21"/>
          <w:szCs w:val="21"/>
          <w:lang w:val="en-US" w:eastAsia="zh-CN"/>
        </w:rPr>
        <w:t xml:space="preserve"> </w:t>
      </w:r>
      <w:r>
        <w:rPr>
          <w:rFonts w:cs="Times New Roman"/>
          <w:b/>
          <w:bCs/>
          <w:sz w:val="21"/>
          <w:szCs w:val="21"/>
        </w:rPr>
        <w:t>Table 2.  Treatment and procedural characteristics.</w:t>
      </w:r>
    </w:p>
    <w:tbl>
      <w:tblPr>
        <w:tblStyle w:val="20"/>
        <w:tblW w:w="5072" w:type="pct"/>
        <w:tblInd w:w="-15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7"/>
        <w:gridCol w:w="1391"/>
        <w:gridCol w:w="1392"/>
        <w:gridCol w:w="710"/>
        <w:gridCol w:w="1390"/>
        <w:gridCol w:w="1390"/>
        <w:gridCol w:w="7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Merge w:val="restart"/>
            <w:tcBorders>
              <w:top w:val="single" w:color="auto" w:sz="4" w:space="0"/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Characteristics</w:t>
            </w:r>
          </w:p>
        </w:tc>
        <w:tc>
          <w:tcPr>
            <w:tcW w:w="34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Before  PSM</w:t>
            </w:r>
          </w:p>
        </w:tc>
        <w:tc>
          <w:tcPr>
            <w:tcW w:w="34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After  PSM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R</w:t>
            </w:r>
            <w:r>
              <w:rPr>
                <w:rFonts w:hint="eastAsia" w:cs="Times New Roman"/>
                <w:sz w:val="20"/>
                <w:szCs w:val="20"/>
              </w:rPr>
              <w:t>educed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 w:val="20"/>
                <w:szCs w:val="20"/>
              </w:rPr>
              <w:t>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(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n=</w:t>
            </w:r>
            <w:r>
              <w:rPr>
                <w:rFonts w:hint="eastAsia" w:cs="Times New Roman"/>
                <w:sz w:val="20"/>
                <w:szCs w:val="20"/>
              </w:rPr>
              <w:t>833 )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R</w:t>
            </w:r>
            <w:r>
              <w:rPr>
                <w:rFonts w:hint="eastAsia" w:cs="Times New Roman"/>
                <w:sz w:val="20"/>
                <w:szCs w:val="20"/>
              </w:rPr>
              <w:t>ecommended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 w:val="20"/>
                <w:szCs w:val="20"/>
              </w:rPr>
              <w:t>dose (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n=</w:t>
            </w:r>
            <w:r>
              <w:rPr>
                <w:rFonts w:hint="eastAsia" w:cs="Times New Roman"/>
                <w:sz w:val="20"/>
                <w:szCs w:val="20"/>
              </w:rPr>
              <w:t>1159 )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P value</w:t>
            </w: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R</w:t>
            </w:r>
            <w:r>
              <w:rPr>
                <w:rFonts w:hint="eastAsia" w:cs="Times New Roman"/>
                <w:sz w:val="20"/>
                <w:szCs w:val="20"/>
              </w:rPr>
              <w:t>educed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 w:val="20"/>
                <w:szCs w:val="20"/>
              </w:rPr>
              <w:t>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(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n=</w:t>
            </w:r>
            <w:r>
              <w:rPr>
                <w:rFonts w:hint="eastAsia" w:cs="Times New Roman"/>
                <w:sz w:val="20"/>
                <w:szCs w:val="20"/>
              </w:rPr>
              <w:t>792 )</w:t>
            </w: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R</w:t>
            </w:r>
            <w:r>
              <w:rPr>
                <w:rFonts w:cs="Times New Roman"/>
                <w:sz w:val="20"/>
                <w:szCs w:val="20"/>
              </w:rPr>
              <w:t>ecommended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dose</w:t>
            </w:r>
            <w:r>
              <w:rPr>
                <w:rFonts w:hint="eastAsia" w:cs="Times New Roman"/>
                <w:sz w:val="20"/>
                <w:szCs w:val="20"/>
              </w:rPr>
              <w:t xml:space="preserve"> (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n=</w:t>
            </w:r>
            <w:r>
              <w:rPr>
                <w:rFonts w:hint="eastAsia" w:cs="Times New Roman"/>
                <w:sz w:val="20"/>
                <w:szCs w:val="20"/>
              </w:rPr>
              <w:t>792 )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P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Perioperative drug use, 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N</w:t>
            </w:r>
            <w:r>
              <w:rPr>
                <w:rFonts w:cs="Times New Roman"/>
                <w:sz w:val="20"/>
                <w:szCs w:val="20"/>
              </w:rPr>
              <w:t>o. (%)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Aspirin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833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100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1159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100.0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792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100.0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792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100.0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Clopidogrel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>
              <w:rPr>
                <w:rFonts w:hint="eastAsia" w:cs="Times New Roman"/>
                <w:sz w:val="20"/>
                <w:szCs w:val="20"/>
              </w:rPr>
              <w:t>27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75.3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899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77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6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</w:t>
            </w:r>
            <w:r>
              <w:rPr>
                <w:rFonts w:hint="eastAsia" w:cs="Times New Roman"/>
                <w:sz w:val="20"/>
                <w:szCs w:val="20"/>
              </w:rPr>
              <w:t>232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602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76.0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604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76.3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</w:t>
            </w:r>
            <w:r>
              <w:rPr>
                <w:rFonts w:hint="eastAsia" w:cs="Times New Roman"/>
                <w:sz w:val="20"/>
                <w:szCs w:val="20"/>
              </w:rPr>
              <w:t>906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Ticagrelor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206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4.</w:t>
            </w:r>
            <w:r>
              <w:rPr>
                <w:rFonts w:hint="eastAsia" w:cs="Times New Roman"/>
                <w:sz w:val="20"/>
                <w:szCs w:val="20"/>
              </w:rPr>
              <w:t>7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260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22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</w:t>
            </w:r>
            <w:r>
              <w:rPr>
                <w:rFonts w:hint="eastAsia" w:cs="Times New Roman"/>
                <w:sz w:val="20"/>
                <w:szCs w:val="20"/>
              </w:rPr>
              <w:t>232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190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24.0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188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23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7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</w:t>
            </w:r>
            <w:r>
              <w:rPr>
                <w:rFonts w:hint="eastAsia" w:cs="Times New Roman"/>
                <w:sz w:val="20"/>
                <w:szCs w:val="20"/>
              </w:rPr>
              <w:t>906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firstLine="200" w:firstLineChars="100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GPI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19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hint="eastAsia" w:cs="Times New Roman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</w:t>
            </w:r>
            <w:r>
              <w:rPr>
                <w:rFonts w:hint="eastAsia" w:cs="Times New Roman"/>
                <w:sz w:val="20"/>
                <w:szCs w:val="20"/>
              </w:rPr>
              <w:t>94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18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hint="eastAsia"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</w:t>
            </w:r>
            <w:r>
              <w:rPr>
                <w:rFonts w:hint="eastAsia" w:cs="Times New Roman"/>
                <w:sz w:val="20"/>
                <w:szCs w:val="20"/>
              </w:rPr>
              <w:t>269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Revascularization strategy, 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N</w:t>
            </w:r>
            <w:r>
              <w:rPr>
                <w:rFonts w:cs="Times New Roman"/>
                <w:sz w:val="20"/>
                <w:szCs w:val="20"/>
              </w:rPr>
              <w:t>o.</w:t>
            </w:r>
            <w:r>
              <w:rPr>
                <w:rFonts w:hint="eastAsia"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(%)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Balloon angioplasty only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1(</w:t>
            </w:r>
            <w:r>
              <w:rPr>
                <w:rFonts w:hint="eastAsia" w:cs="Times New Roman"/>
                <w:sz w:val="20"/>
                <w:szCs w:val="20"/>
              </w:rPr>
              <w:t>2.5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70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6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&lt;0</w:t>
            </w:r>
            <w:r>
              <w:rPr>
                <w:rFonts w:cs="Times New Roman"/>
                <w:sz w:val="20"/>
                <w:szCs w:val="20"/>
              </w:rPr>
              <w:t>.00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1(</w:t>
            </w:r>
            <w:r>
              <w:rPr>
                <w:rFonts w:hint="eastAsia" w:cs="Times New Roman"/>
                <w:sz w:val="20"/>
                <w:szCs w:val="20"/>
              </w:rPr>
              <w:t>2.7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16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2.0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0.406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Stent implantation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812</w:t>
            </w:r>
            <w:r>
              <w:rPr>
                <w:rFonts w:cs="Times New Roman"/>
                <w:sz w:val="20"/>
                <w:szCs w:val="20"/>
              </w:rPr>
              <w:t>(9</w:t>
            </w:r>
            <w:r>
              <w:rPr>
                <w:rFonts w:hint="eastAsia" w:cs="Times New Roman"/>
                <w:sz w:val="20"/>
                <w:szCs w:val="20"/>
              </w:rPr>
              <w:t>7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1089</w:t>
            </w:r>
            <w:r>
              <w:rPr>
                <w:rFonts w:cs="Times New Roman"/>
                <w:sz w:val="20"/>
                <w:szCs w:val="20"/>
              </w:rPr>
              <w:t>(9</w:t>
            </w:r>
            <w:r>
              <w:rPr>
                <w:rFonts w:hint="eastAsia" w:cs="Times New Roman"/>
                <w:sz w:val="20"/>
                <w:szCs w:val="20"/>
              </w:rPr>
              <w:t>4.0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&lt;</w:t>
            </w:r>
            <w:r>
              <w:rPr>
                <w:rFonts w:cs="Times New Roman"/>
                <w:sz w:val="20"/>
                <w:szCs w:val="20"/>
              </w:rPr>
              <w:t>0.00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771</w:t>
            </w:r>
            <w:r>
              <w:rPr>
                <w:rFonts w:cs="Times New Roman"/>
                <w:sz w:val="20"/>
                <w:szCs w:val="20"/>
              </w:rPr>
              <w:t>(9</w:t>
            </w:r>
            <w:r>
              <w:rPr>
                <w:rFonts w:hint="eastAsia" w:cs="Times New Roman"/>
                <w:sz w:val="20"/>
                <w:szCs w:val="20"/>
              </w:rPr>
              <w:t>7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776</w:t>
            </w:r>
            <w:r>
              <w:rPr>
                <w:rFonts w:cs="Times New Roman"/>
                <w:sz w:val="20"/>
                <w:szCs w:val="20"/>
              </w:rPr>
              <w:t>(9</w:t>
            </w:r>
            <w:r>
              <w:rPr>
                <w:rFonts w:hint="eastAsia" w:cs="Times New Roman"/>
                <w:sz w:val="20"/>
                <w:szCs w:val="20"/>
              </w:rPr>
              <w:t>8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0.406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Arterial access, 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N</w:t>
            </w:r>
            <w:r>
              <w:rPr>
                <w:rFonts w:cs="Times New Roman"/>
                <w:sz w:val="20"/>
                <w:szCs w:val="20"/>
              </w:rPr>
              <w:t>o. (%)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Transradial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820</w:t>
            </w:r>
            <w:r>
              <w:rPr>
                <w:rFonts w:cs="Times New Roman"/>
                <w:sz w:val="20"/>
                <w:szCs w:val="20"/>
              </w:rPr>
              <w:t>(9</w:t>
            </w:r>
            <w:r>
              <w:rPr>
                <w:rFonts w:hint="eastAsia" w:cs="Times New Roman"/>
                <w:sz w:val="20"/>
                <w:szCs w:val="20"/>
              </w:rPr>
              <w:t>8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1133</w:t>
            </w:r>
            <w:r>
              <w:rPr>
                <w:rFonts w:cs="Times New Roman"/>
                <w:sz w:val="20"/>
                <w:szCs w:val="20"/>
              </w:rPr>
              <w:t>(9</w:t>
            </w:r>
            <w:r>
              <w:rPr>
                <w:rFonts w:hint="eastAsia" w:cs="Times New Roman"/>
                <w:sz w:val="20"/>
                <w:szCs w:val="20"/>
              </w:rPr>
              <w:t>7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8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</w:t>
            </w:r>
            <w:r>
              <w:rPr>
                <w:rFonts w:hint="eastAsia" w:cs="Times New Roman"/>
                <w:sz w:val="20"/>
                <w:szCs w:val="20"/>
              </w:rPr>
              <w:t>78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779</w:t>
            </w:r>
            <w:r>
              <w:rPr>
                <w:rFonts w:cs="Times New Roman"/>
                <w:sz w:val="20"/>
                <w:szCs w:val="20"/>
              </w:rPr>
              <w:t>(9</w:t>
            </w:r>
            <w:r>
              <w:rPr>
                <w:rFonts w:hint="eastAsia" w:cs="Times New Roman"/>
                <w:sz w:val="20"/>
                <w:szCs w:val="20"/>
              </w:rPr>
              <w:t>8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777</w:t>
            </w:r>
            <w:r>
              <w:rPr>
                <w:rFonts w:cs="Times New Roman"/>
                <w:sz w:val="20"/>
                <w:szCs w:val="20"/>
              </w:rPr>
              <w:t>(9</w:t>
            </w:r>
            <w:r>
              <w:rPr>
                <w:rFonts w:hint="eastAsia" w:cs="Times New Roman"/>
                <w:sz w:val="20"/>
                <w:szCs w:val="20"/>
              </w:rPr>
              <w:t>8.1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</w:t>
            </w:r>
            <w:r>
              <w:rPr>
                <w:rFonts w:hint="eastAsia" w:cs="Times New Roman"/>
                <w:sz w:val="20"/>
                <w:szCs w:val="20"/>
              </w:rPr>
              <w:t>703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Transfemoral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13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6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25(</w:t>
            </w:r>
            <w:r>
              <w:rPr>
                <w:rFonts w:hint="eastAsia"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</w:t>
            </w:r>
            <w:r>
              <w:rPr>
                <w:rFonts w:hint="eastAsia" w:cs="Times New Roman"/>
                <w:sz w:val="20"/>
                <w:szCs w:val="20"/>
              </w:rPr>
              <w:t>337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13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6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14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8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LM disease, 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N</w:t>
            </w:r>
            <w:r>
              <w:rPr>
                <w:rFonts w:cs="Times New Roman"/>
                <w:sz w:val="20"/>
                <w:szCs w:val="20"/>
              </w:rPr>
              <w:t>o. (%)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84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10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70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6.0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0.001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54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6.8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59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7.4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0.625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Multivessel disease,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N</w:t>
            </w:r>
            <w:r>
              <w:rPr>
                <w:rFonts w:cs="Times New Roman"/>
                <w:sz w:val="20"/>
                <w:szCs w:val="20"/>
              </w:rPr>
              <w:t>o. (%)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604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72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5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827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71.4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</w:t>
            </w:r>
            <w:r>
              <w:rPr>
                <w:rFonts w:hint="eastAsia" w:cs="Times New Roman"/>
                <w:sz w:val="20"/>
                <w:szCs w:val="20"/>
              </w:rPr>
              <w:t>572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570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72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0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566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71.5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</w:t>
            </w:r>
            <w:r>
              <w:rPr>
                <w:rFonts w:hint="eastAsia" w:cs="Times New Roman"/>
                <w:sz w:val="20"/>
                <w:szCs w:val="20"/>
              </w:rPr>
              <w:t>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No. of stents per patient, mean (SD)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</w:t>
            </w:r>
            <w:r>
              <w:rPr>
                <w:rFonts w:hint="eastAsia" w:cs="Times New Roman"/>
                <w:sz w:val="20"/>
                <w:szCs w:val="20"/>
              </w:rPr>
              <w:t>73</w:t>
            </w:r>
            <w:r>
              <w:rPr>
                <w:rFonts w:cs="Times New Roman"/>
                <w:sz w:val="20"/>
                <w:szCs w:val="20"/>
              </w:rPr>
              <w:t>±0.</w:t>
            </w:r>
            <w:r>
              <w:rPr>
                <w:rFonts w:hint="eastAsia" w:cs="Times New Roman"/>
                <w:sz w:val="20"/>
                <w:szCs w:val="20"/>
              </w:rPr>
              <w:t>86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1.6</w:t>
            </w:r>
            <w:r>
              <w:rPr>
                <w:rFonts w:hint="eastAsia" w:cs="Times New Roman"/>
                <w:sz w:val="20"/>
                <w:szCs w:val="20"/>
              </w:rPr>
              <w:t>8</w:t>
            </w:r>
            <w:r>
              <w:rPr>
                <w:rFonts w:cs="Times New Roman"/>
                <w:sz w:val="20"/>
                <w:szCs w:val="20"/>
              </w:rPr>
              <w:t>±0.</w:t>
            </w:r>
            <w:r>
              <w:rPr>
                <w:rFonts w:hint="eastAsia" w:cs="Times New Roman"/>
                <w:sz w:val="20"/>
                <w:szCs w:val="20"/>
              </w:rPr>
              <w:t>94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0.001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</w:t>
            </w:r>
            <w:r>
              <w:rPr>
                <w:rFonts w:hint="eastAsia" w:cs="Times New Roman"/>
                <w:sz w:val="20"/>
                <w:szCs w:val="20"/>
              </w:rPr>
              <w:t>71</w:t>
            </w:r>
            <w:r>
              <w:rPr>
                <w:rFonts w:cs="Times New Roman"/>
                <w:sz w:val="20"/>
                <w:szCs w:val="20"/>
              </w:rPr>
              <w:t>±0.</w:t>
            </w:r>
            <w:r>
              <w:rPr>
                <w:rFonts w:hint="eastAsia" w:cs="Times New Roman"/>
                <w:sz w:val="20"/>
                <w:szCs w:val="20"/>
              </w:rPr>
              <w:t>85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hint="eastAsia" w:cs="Times New Roman"/>
                <w:sz w:val="20"/>
                <w:szCs w:val="20"/>
              </w:rPr>
              <w:t>.72</w:t>
            </w:r>
            <w:r>
              <w:rPr>
                <w:rFonts w:cs="Times New Roman"/>
                <w:sz w:val="20"/>
                <w:szCs w:val="20"/>
              </w:rPr>
              <w:t>±0.</w:t>
            </w:r>
            <w:r>
              <w:rPr>
                <w:rFonts w:hint="eastAsia" w:cs="Times New Roman"/>
                <w:sz w:val="20"/>
                <w:szCs w:val="20"/>
              </w:rPr>
              <w:t>88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Dia. of stents per patient, mean</w:t>
            </w:r>
            <w:r>
              <w:rPr>
                <w:rFonts w:cs="Times New Roman"/>
                <w:sz w:val="20"/>
                <w:szCs w:val="20"/>
              </w:rPr>
              <w:t xml:space="preserve"> (SD)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02</w:t>
            </w:r>
            <w:r>
              <w:rPr>
                <w:rFonts w:cs="Times New Roman"/>
                <w:sz w:val="20"/>
                <w:szCs w:val="20"/>
              </w:rPr>
              <w:t>±0.</w:t>
            </w:r>
            <w:r>
              <w:rPr>
                <w:rFonts w:hint="eastAsia" w:cs="Times New Roman"/>
                <w:sz w:val="20"/>
                <w:szCs w:val="20"/>
              </w:rPr>
              <w:t>62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89</w:t>
            </w:r>
            <w:r>
              <w:rPr>
                <w:rFonts w:cs="Times New Roman"/>
                <w:sz w:val="20"/>
                <w:szCs w:val="20"/>
              </w:rPr>
              <w:t>±</w:t>
            </w:r>
            <w:r>
              <w:rPr>
                <w:rFonts w:hint="eastAsia" w:cs="Times New Roman"/>
                <w:sz w:val="20"/>
                <w:szCs w:val="20"/>
              </w:rPr>
              <w:t>0.84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&lt;</w:t>
            </w:r>
            <w:r>
              <w:rPr>
                <w:rFonts w:cs="Times New Roman"/>
                <w:sz w:val="20"/>
                <w:szCs w:val="20"/>
              </w:rPr>
              <w:t>0.00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3.01</w:t>
            </w:r>
            <w:r>
              <w:rPr>
                <w:rFonts w:cs="Times New Roman"/>
                <w:sz w:val="20"/>
                <w:szCs w:val="20"/>
              </w:rPr>
              <w:t>±0.</w:t>
            </w:r>
            <w:r>
              <w:rPr>
                <w:rFonts w:hint="eastAsia" w:cs="Times New Roman"/>
                <w:sz w:val="20"/>
                <w:szCs w:val="20"/>
              </w:rPr>
              <w:t>63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3.03</w:t>
            </w:r>
            <w:r>
              <w:rPr>
                <w:rFonts w:cs="Times New Roman"/>
                <w:sz w:val="20"/>
                <w:szCs w:val="20"/>
              </w:rPr>
              <w:t>±</w:t>
            </w:r>
            <w:r>
              <w:rPr>
                <w:rFonts w:hint="eastAsia" w:cs="Times New Roman"/>
                <w:sz w:val="20"/>
                <w:szCs w:val="20"/>
              </w:rPr>
              <w:t>0.61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0.748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Stent length, mean (SD),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mm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>
              <w:rPr>
                <w:rFonts w:hint="eastAsia"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64</w:t>
            </w:r>
            <w:r>
              <w:rPr>
                <w:rFonts w:cs="Times New Roman"/>
                <w:sz w:val="20"/>
                <w:szCs w:val="20"/>
              </w:rPr>
              <w:t>±2</w:t>
            </w:r>
            <w:r>
              <w:rPr>
                <w:rFonts w:hint="eastAsia"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90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39.52</w:t>
            </w:r>
            <w:r>
              <w:rPr>
                <w:rFonts w:cs="Times New Roman"/>
                <w:sz w:val="20"/>
                <w:szCs w:val="20"/>
              </w:rPr>
              <w:t>±</w:t>
            </w:r>
            <w:r>
              <w:rPr>
                <w:rFonts w:hint="eastAsia" w:cs="Times New Roman"/>
                <w:sz w:val="20"/>
                <w:szCs w:val="20"/>
              </w:rPr>
              <w:t>26.58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0.060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>
              <w:rPr>
                <w:rFonts w:hint="eastAsia"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18</w:t>
            </w:r>
            <w:r>
              <w:rPr>
                <w:rFonts w:cs="Times New Roman"/>
                <w:sz w:val="20"/>
                <w:szCs w:val="20"/>
              </w:rPr>
              <w:t>±2</w:t>
            </w:r>
            <w:r>
              <w:rPr>
                <w:rFonts w:hint="eastAsia" w:cs="Times New Roman"/>
                <w:sz w:val="20"/>
                <w:szCs w:val="20"/>
              </w:rPr>
              <w:t>4.79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40.52</w:t>
            </w:r>
            <w:r>
              <w:rPr>
                <w:rFonts w:cs="Times New Roman"/>
                <w:sz w:val="20"/>
                <w:szCs w:val="20"/>
              </w:rPr>
              <w:t>±</w:t>
            </w:r>
            <w:r>
              <w:rPr>
                <w:rFonts w:hint="eastAsia" w:cs="Times New Roman"/>
                <w:sz w:val="20"/>
                <w:szCs w:val="20"/>
              </w:rPr>
              <w:t>25.66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0.263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Medications at discharge, 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N</w:t>
            </w:r>
            <w:r>
              <w:rPr>
                <w:rFonts w:cs="Times New Roman"/>
                <w:sz w:val="20"/>
                <w:szCs w:val="20"/>
              </w:rPr>
              <w:t>o. (%)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</w:tr>
      <w:tr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Aspirin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828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99</w:t>
            </w:r>
            <w:r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hint="eastAsia"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1146</w:t>
            </w:r>
            <w:r>
              <w:rPr>
                <w:rFonts w:cs="Times New Roman"/>
                <w:sz w:val="20"/>
                <w:szCs w:val="20"/>
              </w:rPr>
              <w:t>(</w:t>
            </w:r>
            <w:r>
              <w:rPr>
                <w:rFonts w:hint="eastAsia" w:cs="Times New Roman"/>
                <w:sz w:val="20"/>
                <w:szCs w:val="20"/>
              </w:rPr>
              <w:t>98.9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0.225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787(99.4)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785(99.1)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0.562</w:t>
            </w:r>
          </w:p>
        </w:tc>
      </w:tr>
      <w:tr>
        <w:trPr>
          <w:trHeight w:val="340" w:hRule="atLeast"/>
        </w:trPr>
        <w:tc>
          <w:tcPr>
            <w:tcW w:w="297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Clopidogrel</w:t>
            </w:r>
          </w:p>
        </w:tc>
        <w:tc>
          <w:tcPr>
            <w:tcW w:w="1391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484(58.1)</w:t>
            </w:r>
          </w:p>
        </w:tc>
        <w:tc>
          <w:tcPr>
            <w:tcW w:w="1392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612(52.8)</w:t>
            </w:r>
          </w:p>
        </w:tc>
        <w:tc>
          <w:tcPr>
            <w:tcW w:w="71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0.019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458(57.8)</w:t>
            </w:r>
          </w:p>
        </w:tc>
        <w:tc>
          <w:tcPr>
            <w:tcW w:w="13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443(55.9)</w:t>
            </w:r>
          </w:p>
        </w:tc>
        <w:tc>
          <w:tcPr>
            <w:tcW w:w="70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0.447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7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Ticagrelor</w:t>
            </w:r>
          </w:p>
        </w:tc>
        <w:tc>
          <w:tcPr>
            <w:tcW w:w="1391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348(41.8)</w:t>
            </w:r>
          </w:p>
        </w:tc>
        <w:tc>
          <w:tcPr>
            <w:tcW w:w="1392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539(46.5)</w:t>
            </w:r>
          </w:p>
        </w:tc>
        <w:tc>
          <w:tcPr>
            <w:tcW w:w="710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0.036</w:t>
            </w:r>
          </w:p>
        </w:tc>
        <w:tc>
          <w:tcPr>
            <w:tcW w:w="1390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333(42.0)</w:t>
            </w:r>
          </w:p>
        </w:tc>
        <w:tc>
          <w:tcPr>
            <w:tcW w:w="1390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349(44.1)</w:t>
            </w:r>
          </w:p>
        </w:tc>
        <w:tc>
          <w:tcPr>
            <w:tcW w:w="700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0.417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bookmarkStart w:id="1" w:name="OLE_LINK1"/>
      <w:r>
        <w:rPr>
          <w:rFonts w:hint="eastAsia" w:cs="Times New Roman"/>
          <w:sz w:val="20"/>
          <w:szCs w:val="20"/>
        </w:rPr>
        <w:t>PSM, propensity score matching; GPI, glycoprotein IIb/IIIa inhibitor; LM, left main coronary artery</w:t>
      </w:r>
      <w:r>
        <w:rPr>
          <w:rFonts w:hint="eastAsia" w:cs="Times New Roman"/>
          <w:sz w:val="20"/>
          <w:szCs w:val="20"/>
          <w:lang w:val="en-US" w:eastAsia="zh-CN"/>
        </w:rPr>
        <w:t xml:space="preserve">; </w:t>
      </w:r>
      <w:r>
        <w:rPr>
          <w:rFonts w:eastAsia="Times New Roman"/>
          <w:color w:val="000000"/>
          <w:sz w:val="20"/>
          <w:szCs w:val="21"/>
        </w:rPr>
        <w:t>SD, standard deviation</w:t>
      </w:r>
      <w:r>
        <w:rPr>
          <w:rFonts w:hint="eastAsia" w:eastAsia="宋体"/>
          <w:color w:val="000000"/>
          <w:sz w:val="20"/>
          <w:szCs w:val="21"/>
          <w:lang w:val="en-US" w:eastAsia="zh-CN"/>
        </w:rPr>
        <w:t>.</w:t>
      </w:r>
    </w:p>
    <w:p>
      <w:pPr>
        <w:bidi w:val="0"/>
        <w:rPr>
          <w:rFonts w:hint="eastAsia" w:eastAsiaTheme="minorEastAsia"/>
          <w:lang w:val="en-US" w:eastAsia="zh-CN"/>
        </w:rPr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>Supplementary</w:t>
      </w: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</w:rPr>
        <w:t>3</w:t>
      </w: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>. Dose adjustment in the reduced-dose group.</w:t>
      </w:r>
    </w:p>
    <w:tbl>
      <w:tblPr>
        <w:tblStyle w:val="21"/>
        <w:tblW w:w="10190" w:type="dxa"/>
        <w:tblInd w:w="-114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290"/>
        <w:gridCol w:w="1134"/>
        <w:gridCol w:w="2098"/>
        <w:gridCol w:w="2494"/>
        <w:gridCol w:w="1100"/>
        <w:gridCol w:w="2444"/>
        <w:gridCol w:w="6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90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weight(kg)</w:t>
            </w:r>
          </w:p>
        </w:tc>
        <w:tc>
          <w:tcPr>
            <w:tcW w:w="2098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Loading 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（0.75mg/kg）（ml）</w:t>
            </w:r>
          </w:p>
        </w:tc>
        <w:tc>
          <w:tcPr>
            <w:tcW w:w="2494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Maintenance 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（1.75 mg/kg/h）（ml/h）</w:t>
            </w:r>
          </w:p>
        </w:tc>
        <w:tc>
          <w:tcPr>
            <w:tcW w:w="1100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ACT value</w:t>
            </w:r>
          </w:p>
        </w:tc>
        <w:tc>
          <w:tcPr>
            <w:tcW w:w="2444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Adjust to recommended dose</w:t>
            </w:r>
          </w:p>
        </w:tc>
        <w:tc>
          <w:tcPr>
            <w:tcW w:w="630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90" w:type="dxa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098" w:type="dxa"/>
            <w:tcBorders>
              <w:top w:val="single" w:color="auto" w:sz="4" w:space="0"/>
            </w:tcBorders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2494" w:type="dxa"/>
            <w:tcBorders>
              <w:top w:val="single" w:color="auto" w:sz="4" w:space="0"/>
            </w:tcBorders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16.0</w:t>
            </w:r>
          </w:p>
        </w:tc>
        <w:tc>
          <w:tcPr>
            <w:tcW w:w="1100" w:type="dxa"/>
            <w:tcBorders>
              <w:top w:val="single" w:color="auto" w:sz="4" w:space="0"/>
            </w:tcBorders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2444" w:type="dxa"/>
            <w:tcBorders>
              <w:top w:val="single" w:color="auto" w:sz="4" w:space="0"/>
            </w:tcBorders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9ml i.v.,21ml/h ivgt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630" w:type="dxa"/>
            <w:tcBorders>
              <w:top w:val="single" w:color="auto" w:sz="4" w:space="0"/>
            </w:tcBorders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098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249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110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244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10ml i.v.,23ml/h ivgt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63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098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249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110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244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10.5ml i.v.,24.5ml/h ivgt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63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098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10.0</w:t>
            </w:r>
          </w:p>
        </w:tc>
        <w:tc>
          <w:tcPr>
            <w:tcW w:w="249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23.0</w:t>
            </w:r>
          </w:p>
        </w:tc>
        <w:tc>
          <w:tcPr>
            <w:tcW w:w="110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244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13ml i.v.,30ml/h ivgt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63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098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249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110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244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10.5ml i.v.,24.5ml/h ivgt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63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9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098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249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19.0</w:t>
            </w:r>
          </w:p>
        </w:tc>
        <w:tc>
          <w:tcPr>
            <w:tcW w:w="110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2444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10.5ml i.v.,24.5ml/h ivgt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630" w:type="dxa"/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387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default" w:eastAsiaTheme="minorEastAsia"/>
          <w:color w:val="auto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</w:rPr>
        <w:t>i.v.</w:t>
      </w:r>
      <w:r>
        <w:rPr>
          <w:rFonts w:hint="default" w:ascii="Times New Roman" w:hAnsi="Times New Roman" w:cs="Times New Roman"/>
          <w:sz w:val="20"/>
          <w:szCs w:val="20"/>
          <w:lang w:eastAsia="zh-CN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>Intravenous injection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;</w:t>
      </w:r>
      <w:r>
        <w:rPr>
          <w:rFonts w:hint="eastAsia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Ivgtt</w:t>
      </w:r>
      <w:r>
        <w:rPr>
          <w:rFonts w:hint="default" w:ascii="Times New Roman" w:hAnsi="Times New Roman" w:cs="Times New Roman"/>
          <w:color w:val="auto"/>
          <w:sz w:val="20"/>
          <w:szCs w:val="20"/>
          <w:lang w:eastAsia="zh-CN"/>
        </w:rPr>
        <w:t>,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intervenous drop infusion</w:t>
      </w:r>
      <w:bookmarkEnd w:id="1"/>
      <w:r>
        <w:rPr>
          <w:rFonts w:hint="eastAsia" w:cs="Times New Roman"/>
          <w:color w:val="auto"/>
          <w:sz w:val="20"/>
          <w:szCs w:val="20"/>
          <w:lang w:val="en-US" w:eastAsia="zh-CN"/>
        </w:rPr>
        <w:t xml:space="preserve">; </w:t>
      </w:r>
      <w:r>
        <w:rPr>
          <w:rFonts w:eastAsia="Times New Roman"/>
          <w:color w:val="auto"/>
          <w:sz w:val="20"/>
          <w:szCs w:val="21"/>
        </w:rPr>
        <w:t>ACT, activated clotting time</w:t>
      </w:r>
      <w:r>
        <w:rPr>
          <w:rFonts w:hint="eastAsia" w:eastAsia="宋体"/>
          <w:color w:val="auto"/>
          <w:sz w:val="20"/>
          <w:szCs w:val="21"/>
          <w:lang w:val="en-US" w:eastAsia="zh-CN"/>
        </w:rPr>
        <w:t>.</w:t>
      </w:r>
      <w:r>
        <w:rPr>
          <w:rFonts w:eastAsia="Times New Roman"/>
          <w:color w:val="auto"/>
          <w:sz w:val="20"/>
          <w:szCs w:val="21"/>
        </w:rPr>
        <w:t xml:space="preserve"> </w:t>
      </w: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>Supplementary</w:t>
      </w: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</w:rPr>
        <w:t>4</w:t>
      </w: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>.  Dose adjustment in the recommended-dose group.</w:t>
      </w:r>
    </w:p>
    <w:tbl>
      <w:tblPr>
        <w:tblStyle w:val="20"/>
        <w:tblpPr w:leftFromText="180" w:rightFromText="180" w:vertAnchor="text" w:horzAnchor="page" w:tblpX="1306" w:tblpY="75"/>
        <w:tblOverlap w:val="never"/>
        <w:tblW w:w="4986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1160"/>
        <w:gridCol w:w="2210"/>
        <w:gridCol w:w="2200"/>
        <w:gridCol w:w="1180"/>
        <w:gridCol w:w="1620"/>
        <w:gridCol w:w="910"/>
      </w:tblGrid>
      <w:tr>
        <w:trPr>
          <w:trHeight w:val="270" w:hRule="atLeast"/>
        </w:trPr>
        <w:tc>
          <w:tcPr>
            <w:tcW w:w="500" w:type="dxa"/>
            <w:tcBorders>
              <w:top w:val="single" w:color="auto" w:sz="8" w:space="0"/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weight(kg)</w:t>
            </w:r>
          </w:p>
        </w:tc>
        <w:tc>
          <w:tcPr>
            <w:tcW w:w="221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Loading 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（0.75mg/kg）（ml）</w:t>
            </w:r>
          </w:p>
        </w:tc>
        <w:tc>
          <w:tcPr>
            <w:tcW w:w="220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Maintenance 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（1.75 mg/kg/h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)</w:t>
            </w:r>
            <w:r>
              <w:rPr>
                <w:rFonts w:hint="eastAsia" w:cs="Times New Roman"/>
                <w:sz w:val="20"/>
                <w:szCs w:val="20"/>
              </w:rPr>
              <w:t>（ml/h）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ACT value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Additional dose</w:t>
            </w:r>
          </w:p>
        </w:tc>
        <w:tc>
          <w:tcPr>
            <w:tcW w:w="91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ACT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64</w:t>
            </w:r>
          </w:p>
        </w:tc>
        <w:tc>
          <w:tcPr>
            <w:tcW w:w="221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10.0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23.0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243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85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13.0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30.0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231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402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70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10.5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24.5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60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9.0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21.0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236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70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11.0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26.0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248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95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14.0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33.0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11.0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26.0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225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98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14.0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33.0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10.0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23.0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65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10.0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23.0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233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3ml i.v.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379</w:t>
            </w:r>
          </w:p>
        </w:tc>
      </w:tr>
      <w:bookmarkEnd w:id="0"/>
    </w:tbl>
    <w:p>
      <w:pPr>
        <w:bidi w:val="0"/>
        <w:spacing w:line="240" w:lineRule="auto"/>
        <w:rPr>
          <w:lang w:val="en-GB" w:eastAsia="en-GB"/>
        </w:rPr>
      </w:pPr>
      <w:r>
        <w:rPr>
          <w:rFonts w:hint="eastAsia" w:cs="Times New Roman"/>
          <w:sz w:val="20"/>
          <w:szCs w:val="20"/>
        </w:rPr>
        <w:t>i.v</w:t>
      </w:r>
      <w:r>
        <w:rPr>
          <w:rFonts w:hint="eastAsia" w:cs="Times New Roman"/>
          <w:sz w:val="20"/>
          <w:szCs w:val="20"/>
          <w:lang w:eastAsia="zh-CN"/>
        </w:rPr>
        <w:t>.,</w:t>
      </w:r>
      <w:r>
        <w:rPr>
          <w:rFonts w:cs="Times New Roman"/>
          <w:sz w:val="20"/>
          <w:szCs w:val="20"/>
        </w:rPr>
        <w:t xml:space="preserve"> </w:t>
      </w:r>
      <w:r>
        <w:rPr>
          <w:rFonts w:hint="eastAsia" w:cs="Times New Roman"/>
          <w:sz w:val="20"/>
          <w:szCs w:val="20"/>
        </w:rPr>
        <w:t>Intravenous injection;</w:t>
      </w:r>
      <w:r>
        <w:rPr>
          <w:rFonts w:cs="Times New Roman"/>
          <w:sz w:val="20"/>
          <w:szCs w:val="20"/>
        </w:rPr>
        <w:t xml:space="preserve"> </w:t>
      </w:r>
      <w:r>
        <w:rPr>
          <w:rFonts w:eastAsia="Times New Roman"/>
          <w:color w:val="000000"/>
          <w:sz w:val="20"/>
          <w:szCs w:val="21"/>
        </w:rPr>
        <w:t>ACT, activated clotting time</w:t>
      </w:r>
      <w:r>
        <w:rPr>
          <w:rFonts w:hint="eastAsia" w:eastAsia="宋体"/>
          <w:color w:val="000000"/>
          <w:sz w:val="20"/>
          <w:szCs w:val="21"/>
          <w:lang w:val="en-US" w:eastAsia="zh-CN"/>
        </w:rPr>
        <w:t>.</w:t>
      </w:r>
    </w:p>
    <w:p>
      <w:pPr>
        <w:bidi w:val="0"/>
        <w:spacing w:line="240" w:lineRule="auto"/>
        <w:rPr>
          <w:lang w:val="en-GB" w:eastAsia="en-GB"/>
        </w:rPr>
      </w:pPr>
    </w:p>
    <w:p>
      <w:pPr>
        <w:bidi w:val="0"/>
        <w:spacing w:line="240" w:lineRule="auto"/>
      </w:pPr>
    </w:p>
    <w:p>
      <w:pPr>
        <w:bidi w:val="0"/>
        <w:spacing w:line="240" w:lineRule="auto"/>
      </w:pPr>
    </w:p>
    <w:p>
      <w:pPr>
        <w:bidi w:val="0"/>
        <w:spacing w:line="240" w:lineRule="auto"/>
      </w:pPr>
    </w:p>
    <w:p>
      <w:pPr>
        <w:bidi w:val="0"/>
        <w:spacing w:line="240" w:lineRule="auto"/>
      </w:pPr>
    </w:p>
    <w:p>
      <w:pPr>
        <w:bidi w:val="0"/>
        <w:spacing w:line="240" w:lineRule="auto"/>
      </w:pPr>
    </w:p>
    <w:p>
      <w:pPr>
        <w:bidi w:val="0"/>
        <w:spacing w:line="240" w:lineRule="auto"/>
      </w:pPr>
    </w:p>
    <w:p>
      <w:pPr>
        <w:bidi w:val="0"/>
        <w:spacing w:line="240" w:lineRule="auto"/>
        <w:jc w:val="center"/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>Supplementary</w:t>
      </w: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i w:val="0"/>
          <w:iCs w:val="0"/>
          <w:sz w:val="21"/>
          <w:szCs w:val="21"/>
        </w:rPr>
        <w:t>5.</w:t>
      </w:r>
      <w:r>
        <w:rPr>
          <w:rFonts w:hint="default" w:ascii="Times New Roman" w:hAnsi="Times New Roman" w:cs="Times New Roman"/>
          <w:b/>
          <w:bCs/>
          <w:i w:val="0"/>
          <w:iCs w:val="0"/>
          <w:sz w:val="21"/>
          <w:szCs w:val="21"/>
        </w:rPr>
        <w:t xml:space="preserve"> 30 days outcomes.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2366"/>
        <w:gridCol w:w="1505"/>
        <w:gridCol w:w="1505"/>
        <w:gridCol w:w="830"/>
        <w:gridCol w:w="1470"/>
        <w:gridCol w:w="1470"/>
        <w:gridCol w:w="84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366" w:type="dxa"/>
            <w:vMerge w:val="restart"/>
          </w:tcPr>
          <w:p>
            <w:pPr>
              <w:bidi w:val="0"/>
              <w:spacing w:line="240" w:lineRule="auto"/>
              <w:rPr>
                <w:vertAlign w:val="baseline"/>
              </w:rPr>
            </w:pPr>
            <w:r>
              <w:rPr>
                <w:rFonts w:cs="Times New Roman"/>
                <w:sz w:val="20"/>
                <w:szCs w:val="20"/>
              </w:rPr>
              <w:t xml:space="preserve">Events, 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N</w:t>
            </w:r>
            <w:r>
              <w:rPr>
                <w:rFonts w:cs="Times New Roman"/>
                <w:sz w:val="20"/>
                <w:szCs w:val="20"/>
              </w:rPr>
              <w:t>o. (%)</w:t>
            </w:r>
          </w:p>
        </w:tc>
        <w:tc>
          <w:tcPr>
            <w:tcW w:w="3840" w:type="dxa"/>
            <w:gridSpan w:val="3"/>
            <w:tcBorders>
              <w:bottom w:val="single" w:color="auto" w:sz="4" w:space="0"/>
            </w:tcBorders>
          </w:tcPr>
          <w:p>
            <w:pPr>
              <w:bidi w:val="0"/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 w:cs="Times New Roman"/>
                <w:sz w:val="20"/>
                <w:szCs w:val="20"/>
              </w:rPr>
              <w:t>Before  PSM</w:t>
            </w:r>
          </w:p>
        </w:tc>
        <w:tc>
          <w:tcPr>
            <w:tcW w:w="3787" w:type="dxa"/>
            <w:gridSpan w:val="3"/>
            <w:tcBorders>
              <w:bottom w:val="single" w:color="auto" w:sz="4" w:space="0"/>
            </w:tcBorders>
          </w:tcPr>
          <w:p>
            <w:pPr>
              <w:bidi w:val="0"/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 w:cs="Times New Roman"/>
                <w:sz w:val="20"/>
                <w:szCs w:val="20"/>
              </w:rPr>
              <w:t>After  PSM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Merge w:val="continue"/>
            <w:tcBorders>
              <w:bottom w:val="single" w:color="auto" w:sz="4" w:space="0"/>
            </w:tcBorders>
          </w:tcPr>
          <w:p>
            <w:pPr>
              <w:bidi w:val="0"/>
              <w:spacing w:line="240" w:lineRule="auto"/>
              <w:rPr>
                <w:vertAlign w:val="baseline"/>
              </w:rPr>
            </w:pPr>
          </w:p>
        </w:tc>
        <w:tc>
          <w:tcPr>
            <w:tcW w:w="15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R</w:t>
            </w:r>
            <w:r>
              <w:rPr>
                <w:rFonts w:hint="eastAsia" w:cs="Times New Roman"/>
                <w:sz w:val="20"/>
                <w:szCs w:val="20"/>
              </w:rPr>
              <w:t>educed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 w:val="20"/>
                <w:szCs w:val="20"/>
              </w:rPr>
              <w:t>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(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n=</w:t>
            </w:r>
            <w:r>
              <w:rPr>
                <w:rFonts w:hint="eastAsia" w:cs="Times New Roman"/>
                <w:sz w:val="20"/>
                <w:szCs w:val="20"/>
              </w:rPr>
              <w:t>833 )</w:t>
            </w:r>
          </w:p>
        </w:tc>
        <w:tc>
          <w:tcPr>
            <w:tcW w:w="15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R</w:t>
            </w:r>
            <w:r>
              <w:rPr>
                <w:rFonts w:hint="eastAsia" w:cs="Times New Roman"/>
                <w:sz w:val="20"/>
                <w:szCs w:val="20"/>
              </w:rPr>
              <w:t>ecommended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 w:val="20"/>
                <w:szCs w:val="20"/>
              </w:rPr>
              <w:t>dose (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n=</w:t>
            </w:r>
            <w:r>
              <w:rPr>
                <w:rFonts w:hint="eastAsia" w:cs="Times New Roman"/>
                <w:sz w:val="20"/>
                <w:szCs w:val="20"/>
              </w:rPr>
              <w:t>1159 )</w:t>
            </w:r>
          </w:p>
        </w:tc>
        <w:tc>
          <w:tcPr>
            <w:tcW w:w="8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P value</w:t>
            </w:r>
          </w:p>
        </w:tc>
        <w:tc>
          <w:tcPr>
            <w:tcW w:w="14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R</w:t>
            </w:r>
            <w:r>
              <w:rPr>
                <w:rFonts w:hint="eastAsia" w:cs="Times New Roman"/>
                <w:sz w:val="20"/>
                <w:szCs w:val="20"/>
              </w:rPr>
              <w:t>educed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 w:val="20"/>
                <w:szCs w:val="20"/>
              </w:rPr>
              <w:t>dose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(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n=</w:t>
            </w:r>
            <w:r>
              <w:rPr>
                <w:rFonts w:hint="eastAsia" w:cs="Times New Roman"/>
                <w:sz w:val="20"/>
                <w:szCs w:val="20"/>
              </w:rPr>
              <w:t>792 )</w:t>
            </w:r>
          </w:p>
        </w:tc>
        <w:tc>
          <w:tcPr>
            <w:tcW w:w="14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R</w:t>
            </w:r>
            <w:r>
              <w:rPr>
                <w:rFonts w:cs="Times New Roman"/>
                <w:sz w:val="20"/>
                <w:szCs w:val="20"/>
              </w:rPr>
              <w:t>ecommended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dose</w:t>
            </w:r>
            <w:r>
              <w:rPr>
                <w:rFonts w:hint="eastAsia" w:cs="Times New Roman"/>
                <w:sz w:val="20"/>
                <w:szCs w:val="20"/>
              </w:rPr>
              <w:t xml:space="preserve"> (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>n=</w:t>
            </w:r>
            <w:r>
              <w:rPr>
                <w:rFonts w:hint="eastAsia" w:cs="Times New Roman"/>
                <w:sz w:val="20"/>
                <w:szCs w:val="20"/>
              </w:rPr>
              <w:t>792 )</w:t>
            </w:r>
          </w:p>
        </w:tc>
        <w:tc>
          <w:tcPr>
            <w:tcW w:w="8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All NACE</w:t>
            </w:r>
          </w:p>
        </w:tc>
        <w:tc>
          <w:tcPr>
            <w:tcW w:w="1505" w:type="dxa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42(5.0)</w:t>
            </w:r>
          </w:p>
        </w:tc>
        <w:tc>
          <w:tcPr>
            <w:tcW w:w="1505" w:type="dxa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51(4.4)</w:t>
            </w:r>
          </w:p>
        </w:tc>
        <w:tc>
          <w:tcPr>
            <w:tcW w:w="830" w:type="dxa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0.503</w:t>
            </w:r>
          </w:p>
        </w:tc>
        <w:tc>
          <w:tcPr>
            <w:tcW w:w="1470" w:type="dxa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40(5.1)</w:t>
            </w:r>
          </w:p>
        </w:tc>
        <w:tc>
          <w:tcPr>
            <w:tcW w:w="1470" w:type="dxa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36(4.5)</w:t>
            </w:r>
          </w:p>
        </w:tc>
        <w:tc>
          <w:tcPr>
            <w:tcW w:w="847" w:type="dxa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0.638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NACE</w:t>
            </w: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（no BARC 1</w:t>
            </w:r>
            <w:r>
              <w:rPr>
                <w:rFonts w:hint="eastAsia" w:eastAsia="宋体" w:cs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cs="Times New Roman"/>
                <w:sz w:val="20"/>
                <w:szCs w:val="20"/>
              </w:rPr>
              <w:t>bleeding）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4(0.5)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9(0.8)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0.418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4(0.5)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5(0.6)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MACCE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2(0.2)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4(0.3)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2(0.3)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1(0.1)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All-cause death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2(0.2)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0.513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1(0.1)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Stroke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2(0.2)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1(0.1)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0.575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2(0.3)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0.500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  hemorrhagic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—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  Ischemic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2(0.2)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1(0.1)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0.575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2(0.3)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0.500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cs="Times New Roman"/>
                <w:sz w:val="20"/>
                <w:szCs w:val="20"/>
              </w:rPr>
              <w:t>Stent thrombosis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—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MACE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3(0.3)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0.270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1(0.1)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Cardiac death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2(0.2)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0.513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1(0.1)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revascularization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 target vessel 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—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 non target vessel 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1(0.1)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1.000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</w:t>
            </w: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 w:val="20"/>
                <w:szCs w:val="20"/>
              </w:rPr>
              <w:t>Non-fatal MI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—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0(0.0)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Bleeding events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 All bleeding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40(4.8)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47(4.1)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0.421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38(4.8)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35(4.4)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0.719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 BARC  2-5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2(0.2)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5(0.4)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0.706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2(0.3)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4(0.5)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0.687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340" w:hRule="atLeast"/>
        </w:trPr>
        <w:tc>
          <w:tcPr>
            <w:tcW w:w="2366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 xml:space="preserve">     BARC  3-5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1(0.1)</w:t>
            </w:r>
          </w:p>
        </w:tc>
        <w:tc>
          <w:tcPr>
            <w:tcW w:w="1505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3(0.4)</w:t>
            </w:r>
          </w:p>
        </w:tc>
        <w:tc>
          <w:tcPr>
            <w:tcW w:w="83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0.644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1(0.1)</w:t>
            </w:r>
          </w:p>
        </w:tc>
        <w:tc>
          <w:tcPr>
            <w:tcW w:w="1470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3(0.4)</w:t>
            </w:r>
          </w:p>
        </w:tc>
        <w:tc>
          <w:tcPr>
            <w:tcW w:w="847" w:type="dxa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/>
              <w:jc w:val="center"/>
              <w:textAlignment w:val="auto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0.625</w:t>
            </w:r>
          </w:p>
        </w:tc>
      </w:tr>
    </w:tbl>
    <w:p>
      <w:pPr>
        <w:bidi w:val="0"/>
        <w:spacing w:line="240" w:lineRule="auto"/>
      </w:pPr>
      <w:r>
        <w:rPr>
          <w:rFonts w:hint="eastAsia" w:cs="Times New Roman"/>
          <w:sz w:val="20"/>
          <w:szCs w:val="20"/>
        </w:rPr>
        <w:t>PSM, propensity score matching; BARC, Bleeding Academic Research Consortium; MACCE, major adverse cardiac or cerebral events; NACE, net adverse clinical events; MI</w:t>
      </w:r>
      <w:r>
        <w:rPr>
          <w:rFonts w:hint="eastAsia" w:cs="Times New Roman"/>
          <w:sz w:val="20"/>
          <w:szCs w:val="20"/>
          <w:lang w:val="en-US" w:eastAsia="zh-CN"/>
        </w:rPr>
        <w:t>,</w:t>
      </w:r>
      <w:r>
        <w:rPr>
          <w:rFonts w:cs="Times New Roman"/>
          <w:sz w:val="20"/>
          <w:szCs w:val="20"/>
        </w:rPr>
        <w:t xml:space="preserve"> </w:t>
      </w:r>
      <w:r>
        <w:rPr>
          <w:rFonts w:hint="eastAsia" w:cs="Times New Roman"/>
          <w:sz w:val="20"/>
          <w:szCs w:val="20"/>
        </w:rPr>
        <w:t>myocardial infarction</w:t>
      </w:r>
    </w:p>
    <w:p>
      <w:pPr>
        <w:bidi w:val="0"/>
        <w:spacing w:line="240" w:lineRule="auto"/>
      </w:pPr>
    </w:p>
    <w:p>
      <w:pPr>
        <w:bidi w:val="0"/>
        <w:spacing w:line="240" w:lineRule="auto"/>
      </w:pPr>
    </w:p>
    <w:p>
      <w:pPr>
        <w:bidi w:val="0"/>
      </w:pP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pgNumType w:fmt="decimal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249.1pt;margin-top:726.5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49.1pt;margin-top:724.2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5B2EC9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B57B53"/>
    <w:rsid w:val="00C3713F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00FF4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81859DF"/>
    <w:rsid w:val="32D54349"/>
    <w:rsid w:val="657C013E"/>
    <w:rsid w:val="681C22A1"/>
    <w:rsid w:val="73BC5F3C"/>
    <w:rsid w:val="76EA49D5"/>
    <w:rsid w:val="7A54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99" w:semiHidden="0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标题 1 字符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标题 2 字符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副标题 字符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批注框文本 字符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批注文字 字符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批注主题 字符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尾注文本 字符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页脚 字符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脚注文本 字符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页眉 字符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rFonts w:ascii="Calibri" w:hAnsi="Calibri" w:eastAsia="宋体"/>
      <w:b/>
      <w:bCs/>
      <w:smallCaps/>
      <w:color w:val="auto"/>
      <w:spacing w:val="5"/>
    </w:rPr>
  </w:style>
  <w:style w:type="character" w:customStyle="1" w:styleId="45">
    <w:name w:val="标题 3 字符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标题 4 字符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标题 5 字符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引用 字符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标题 字符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  <w:style w:type="paragraph" w:customStyle="1" w:styleId="53">
    <w:name w:val="EndNote Bibliography"/>
    <w:qFormat/>
    <w:uiPriority w:val="0"/>
    <w:pPr>
      <w:spacing w:after="0" w:line="360" w:lineRule="auto"/>
      <w:jc w:val="both"/>
    </w:pPr>
    <w:rPr>
      <w:rFonts w:ascii="Times New Roman" w:hAnsi="Times New Roman" w:eastAsia="宋体" w:cs="Times New Roman"/>
      <w:kern w:val="2"/>
      <w:sz w:val="20"/>
      <w:szCs w:val="24"/>
      <w:lang w:val="en-US" w:eastAsia="zh-CN" w:bidi="ar-SA"/>
    </w:rPr>
  </w:style>
  <w:style w:type="character" w:customStyle="1" w:styleId="54">
    <w:name w:val="书籍标题1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55">
    <w:name w:val="明显强调1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56">
    <w:name w:val="明显参考1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57">
    <w:name w:val="不明显强调1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A95B22-B4E8-4C8E-ABCB-1E2B9143F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7</Pages>
  <Words>971</Words>
  <Characters>5585</Characters>
  <Lines>94</Lines>
  <Paragraphs>39</Paragraphs>
  <TotalTime>6</TotalTime>
  <ScaleCrop>false</ScaleCrop>
  <LinksUpToDate>false</LinksUpToDate>
  <CharactersWithSpaces>6517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2018-11-23T08:58:00Z</dcterms:created>
  <dc:creator>Frontiers Media SA</dc:creator>
  <cp:lastModifiedBy>Yang</cp:lastModifiedBy>
  <cp:lastPrinted>2013-10-03T12:51:00Z</cp:lastPrinted>
  <dcterms:modified xsi:type="dcterms:W3CDTF">2023-10-11T12:28:39Z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e72d8fc15085fc343fffb1457a4e6880f712435b932859e4f4302128b11f4ed4</vt:lpwstr>
  </property>
  <property fmtid="{D5CDD505-2E9C-101B-9397-08002B2CF9AE}" pid="3" name="KSOProductBuildVer">
    <vt:lpwstr>2052-12.1.0.15712</vt:lpwstr>
  </property>
  <property fmtid="{D5CDD505-2E9C-101B-9397-08002B2CF9AE}" pid="4" name="ICV">
    <vt:lpwstr>8DDDAEE15F534A82989BCDDF10D6A6CF_12</vt:lpwstr>
  </property>
</Properties>
</file>