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Supplementary </w:t>
      </w:r>
      <w:r>
        <w:rPr>
          <w:rFonts w:hint="eastAsia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>Material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Arial" w:hAnsi="Arial" w:eastAsia="宋体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Arial" w:hAnsi="Arial" w:eastAsia="宋体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Arial" w:hAnsi="Arial" w:eastAsia="宋体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Arial" w:hAnsi="Arial" w:eastAsia="宋体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401310" cy="2118360"/>
            <wp:effectExtent l="0" t="0" r="8890" b="5715"/>
            <wp:docPr id="1" name="图片 1" descr="e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Figur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</w:t>
      </w:r>
      <w:bookmarkStart w:id="0" w:name="_GoBack"/>
      <w:bookmarkEnd w:id="0"/>
      <w:r>
        <w:t xml:space="preserve">Figure </w:t>
      </w:r>
      <w:r>
        <w:fldChar w:fldCharType="begin"/>
      </w:r>
      <w:r>
        <w:instrText xml:space="preserve"> SEQ eFigure \* ARABIC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t xml:space="preserve"> Relationship between Oxidative Balance Score and Death in Retinopathy Patients, no covariates were adjusted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401310" cy="2316480"/>
            <wp:effectExtent l="0" t="0" r="8890" b="7620"/>
            <wp:docPr id="2" name="图片 2" descr="e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Figure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r>
        <w:t xml:space="preserve">eFigure </w:t>
      </w:r>
      <w:r>
        <w:fldChar w:fldCharType="begin"/>
      </w:r>
      <w:r>
        <w:instrText xml:space="preserve"> SEQ eFigure \* ARABIC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t xml:space="preserve"> Relationship between Oxidative Balance Score and Death in Retinopathy Patients, age,sex,race/ethnicity, education attainment, poverty income ratio, smoking status, and BMI were adjusted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401310" cy="2316480"/>
            <wp:effectExtent l="0" t="0" r="8890" b="7620"/>
            <wp:docPr id="3" name="图片 3" descr="e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r>
        <w:t xml:space="preserve">eFigure </w:t>
      </w:r>
      <w:r>
        <w:fldChar w:fldCharType="begin"/>
      </w:r>
      <w:r>
        <w:instrText xml:space="preserve"> SEQ eFigure \* ARABIC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t xml:space="preserve"> Relationship between Oxidative Balance Score and Death in Retinopathy Patients, no covariates were adjusted (Death time &lt;30 days were deleted)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401310" cy="1624330"/>
            <wp:effectExtent l="0" t="0" r="8890" b="4445"/>
            <wp:docPr id="4" name="图片 4" descr="e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Fig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162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r>
        <w:t xml:space="preserve">eFigure </w:t>
      </w:r>
      <w:r>
        <w:fldChar w:fldCharType="begin"/>
      </w:r>
      <w:r>
        <w:instrText xml:space="preserve"> SEQ eFigure \* ARABIC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t xml:space="preserve"> Relationship between Oxidative Balance Score and Death in Retinopathy Patients, age,sex,race/ethnicity, education attainment, poverty income ratio, smoking status, and BMI were adjusted (Death time &lt;30 days were deleted)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Arial" w:hAnsi="Arial" w:eastAsia="宋体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</w:p>
    <w:p>
      <w:pPr>
        <w:pStyle w:val="2"/>
        <w:jc w:val="center"/>
        <w:rPr>
          <w:rFonts w:hint="eastAsia" w:eastAsia="黑体"/>
          <w:lang w:val="en-US" w:eastAsia="zh-CN"/>
        </w:rPr>
      </w:pPr>
    </w:p>
    <w:p>
      <w:pPr>
        <w:pStyle w:val="2"/>
        <w:jc w:val="center"/>
        <w:rPr>
          <w:rFonts w:hint="eastAsia" w:eastAsia="黑体"/>
          <w:b/>
          <w:bCs/>
          <w:sz w:val="24"/>
          <w:szCs w:val="24"/>
          <w:lang w:val="en-US" w:eastAsia="zh-CN"/>
        </w:rPr>
      </w:pPr>
      <w:r>
        <w:rPr>
          <w:b/>
          <w:bCs/>
          <w:sz w:val="24"/>
          <w:szCs w:val="24"/>
        </w:rPr>
        <w:t xml:space="preserve">eTable </w:t>
      </w:r>
      <w:r>
        <w:rPr>
          <w:b/>
          <w:bCs/>
          <w:sz w:val="24"/>
          <w:szCs w:val="24"/>
        </w:rPr>
        <w:fldChar w:fldCharType="begin"/>
      </w:r>
      <w:r>
        <w:rPr>
          <w:b/>
          <w:bCs/>
          <w:sz w:val="24"/>
          <w:szCs w:val="24"/>
        </w:rPr>
        <w:instrText xml:space="preserve"> SEQ eTable \* ARABIC </w:instrText>
      </w:r>
      <w:r>
        <w:rPr>
          <w:b/>
          <w:bCs/>
          <w:sz w:val="24"/>
          <w:szCs w:val="24"/>
        </w:rPr>
        <w:fldChar w:fldCharType="separate"/>
      </w:r>
      <w:r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fldChar w:fldCharType="end"/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Oxidative balance score assignment scheme</w:t>
      </w:r>
    </w:p>
    <w:tbl>
      <w:tblPr>
        <w:tblStyle w:val="8"/>
        <w:tblpPr w:leftFromText="180" w:rightFromText="180" w:vertAnchor="text" w:horzAnchor="page" w:tblpX="1439" w:tblpY="323"/>
        <w:tblOverlap w:val="never"/>
        <w:tblW w:w="0" w:type="auto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689"/>
        <w:gridCol w:w="833"/>
        <w:gridCol w:w="1477"/>
        <w:gridCol w:w="934"/>
        <w:gridCol w:w="837"/>
        <w:gridCol w:w="1383"/>
        <w:gridCol w:w="82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2044" w:type="dxa"/>
            <w:tcBorders>
              <w:top w:val="single" w:color="131413" w:sz="2" w:space="0"/>
              <w:bottom w:val="single" w:color="131413" w:sz="2" w:space="0"/>
            </w:tcBorders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8" w:line="240" w:lineRule="auto"/>
              <w:ind w:left="45"/>
              <w:jc w:val="center"/>
              <w:textAlignment w:val="auto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OBS components</w:t>
            </w:r>
          </w:p>
        </w:tc>
        <w:tc>
          <w:tcPr>
            <w:tcW w:w="689" w:type="dxa"/>
            <w:tcBorders>
              <w:top w:val="single" w:color="131413" w:sz="2" w:space="0"/>
              <w:bottom w:val="single" w:color="131413" w:sz="2" w:space="0"/>
            </w:tcBorders>
            <w:vAlign w:val="top"/>
          </w:tcPr>
          <w:p>
            <w:pPr>
              <w:pStyle w:val="7"/>
              <w:spacing w:before="180" w:line="189" w:lineRule="auto"/>
              <w:ind w:left="147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Property</w:t>
            </w:r>
          </w:p>
        </w:tc>
        <w:tc>
          <w:tcPr>
            <w:tcW w:w="833" w:type="dxa"/>
            <w:tcBorders>
              <w:top w:val="single" w:color="131413" w:sz="2" w:space="0"/>
              <w:bottom w:val="single" w:color="131413" w:sz="2" w:space="0"/>
            </w:tcBorders>
            <w:vAlign w:val="top"/>
          </w:tcPr>
          <w:p>
            <w:pPr>
              <w:pStyle w:val="7"/>
              <w:spacing w:before="288" w:line="178" w:lineRule="auto"/>
              <w:ind w:left="381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1477" w:type="dxa"/>
            <w:tcBorders>
              <w:top w:val="single" w:color="131413" w:sz="2" w:space="0"/>
              <w:bottom w:val="single" w:color="131413" w:sz="2" w:space="0"/>
            </w:tcBorders>
            <w:vAlign w:val="top"/>
          </w:tcPr>
          <w:p>
            <w:pPr>
              <w:pStyle w:val="7"/>
              <w:spacing w:before="64" w:line="224" w:lineRule="exact"/>
              <w:ind w:left="552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Male</w:t>
            </w:r>
          </w:p>
          <w:p>
            <w:pPr>
              <w:pStyle w:val="7"/>
              <w:spacing w:line="177" w:lineRule="auto"/>
              <w:ind w:left="660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34" w:type="dxa"/>
            <w:tcBorders>
              <w:top w:val="single" w:color="131413" w:sz="2" w:space="0"/>
              <w:bottom w:val="single" w:color="131413" w:sz="2" w:space="0"/>
            </w:tcBorders>
            <w:vAlign w:val="top"/>
          </w:tcPr>
          <w:p>
            <w:pPr>
              <w:pStyle w:val="7"/>
              <w:spacing w:before="288" w:line="178" w:lineRule="auto"/>
              <w:ind w:left="429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837" w:type="dxa"/>
            <w:tcBorders>
              <w:top w:val="single" w:color="131413" w:sz="2" w:space="0"/>
              <w:bottom w:val="single" w:color="131413" w:sz="2" w:space="0"/>
            </w:tcBorders>
            <w:vAlign w:val="top"/>
          </w:tcPr>
          <w:p>
            <w:pPr>
              <w:pStyle w:val="7"/>
              <w:spacing w:before="288" w:line="178" w:lineRule="auto"/>
              <w:ind w:left="385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1383" w:type="dxa"/>
            <w:tcBorders>
              <w:top w:val="single" w:color="131413" w:sz="2" w:space="0"/>
              <w:bottom w:val="single" w:color="131413" w:sz="2" w:space="0"/>
            </w:tcBorders>
            <w:vAlign w:val="top"/>
          </w:tcPr>
          <w:p>
            <w:pPr>
              <w:pStyle w:val="7"/>
              <w:spacing w:before="64" w:line="224" w:lineRule="exact"/>
              <w:ind w:left="390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Female</w:t>
            </w:r>
          </w:p>
          <w:p>
            <w:pPr>
              <w:pStyle w:val="7"/>
              <w:spacing w:line="177" w:lineRule="auto"/>
              <w:ind w:left="616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829" w:type="dxa"/>
            <w:tcBorders>
              <w:top w:val="single" w:color="131413" w:sz="2" w:space="0"/>
              <w:bottom w:val="single" w:color="131413" w:sz="2" w:space="0"/>
            </w:tcBorders>
            <w:vAlign w:val="top"/>
          </w:tcPr>
          <w:p>
            <w:pPr>
              <w:pStyle w:val="7"/>
              <w:spacing w:before="288" w:line="178" w:lineRule="auto"/>
              <w:ind w:left="385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026" w:type="dxa"/>
            <w:gridSpan w:val="8"/>
            <w:tcBorders>
              <w:top w:val="single" w:color="131413" w:sz="2" w:space="0"/>
            </w:tcBorders>
            <w:vAlign w:val="top"/>
          </w:tcPr>
          <w:p>
            <w:pPr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Dietary OBS components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18" w:line="231" w:lineRule="auto"/>
              <w:ind w:left="226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Dietary iber (g/d)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2" w:line="184" w:lineRule="auto"/>
              <w:ind w:left="395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57" w:line="177" w:lineRule="auto"/>
              <w:ind w:left="18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&lt;12.56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6" w:line="179" w:lineRule="auto"/>
              <w:ind w:left="28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12.56-19.65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57" w:line="192" w:lineRule="exact"/>
              <w:ind w:left="23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≥19.65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57" w:line="176" w:lineRule="auto"/>
              <w:ind w:left="19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&lt;10.05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56" w:line="178" w:lineRule="auto"/>
              <w:ind w:left="2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10.05-16.30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56" w:line="193" w:lineRule="exact"/>
              <w:ind w:left="18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≥16.30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17" w:line="231" w:lineRule="auto"/>
              <w:ind w:left="227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Carotene (mcg/d)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1" w:line="184" w:lineRule="auto"/>
              <w:ind w:left="395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57" w:line="177" w:lineRule="auto"/>
              <w:ind w:left="18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</w:t>
            </w:r>
            <w:r>
              <w:rPr>
                <w:rFonts w:hint="eastAsia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649.00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6" w:line="179" w:lineRule="auto"/>
              <w:ind w:left="23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649.00</w:t>
            </w: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-</w:t>
            </w:r>
            <w:r>
              <w:rPr>
                <w:rFonts w:hint="eastAsia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1225.50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56" w:line="185" w:lineRule="exact"/>
              <w:ind w:left="18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</w:t>
            </w:r>
            <w:r>
              <w:rPr>
                <w:rFonts w:hint="eastAsia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1225.50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57" w:line="177" w:lineRule="auto"/>
              <w:ind w:left="19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</w:t>
            </w:r>
            <w:r>
              <w:rPr>
                <w:rFonts w:hint="eastAsia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488.00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57" w:line="178" w:lineRule="auto"/>
              <w:ind w:left="18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488.00</w:t>
            </w: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-</w:t>
            </w:r>
            <w:r>
              <w:rPr>
                <w:rFonts w:hint="eastAsia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1627.50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57" w:line="184" w:lineRule="exact"/>
              <w:ind w:left="146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</w:t>
            </w:r>
            <w:r>
              <w:rPr>
                <w:rFonts w:hint="eastAsia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1627.50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5" w:line="230" w:lineRule="auto"/>
              <w:ind w:left="226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Riboﬂavin (mg/d)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9" w:line="184" w:lineRule="auto"/>
              <w:ind w:left="395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64" w:line="177" w:lineRule="auto"/>
              <w:ind w:left="230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&lt;1.79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63" w:line="179" w:lineRule="auto"/>
              <w:ind w:left="37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1.79-2.69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63" w:line="193" w:lineRule="exact"/>
              <w:ind w:left="27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≥2.69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64" w:line="176" w:lineRule="auto"/>
              <w:ind w:left="234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&lt;1.34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4" w:line="177" w:lineRule="auto"/>
              <w:ind w:left="32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1.34-2.02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64" w:line="192" w:lineRule="exact"/>
              <w:ind w:left="23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≥2.02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18" w:line="231" w:lineRule="auto"/>
              <w:ind w:left="223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Niacin (mg/d)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3" w:line="184" w:lineRule="auto"/>
              <w:ind w:left="395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57" w:line="177" w:lineRule="auto"/>
              <w:ind w:left="186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&lt;20.65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7" w:line="179" w:lineRule="auto"/>
              <w:ind w:left="27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20.65-29.75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58" w:line="192" w:lineRule="exact"/>
              <w:ind w:left="23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≥29.75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58" w:line="176" w:lineRule="auto"/>
              <w:ind w:left="190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&lt;14.52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57" w:line="178" w:lineRule="auto"/>
              <w:ind w:left="2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14.52-21.86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57" w:line="192" w:lineRule="exact"/>
              <w:ind w:left="18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≥21.86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18" w:line="230" w:lineRule="auto"/>
              <w:ind w:left="222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Vitamin B6  (mg/d)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2" w:line="184" w:lineRule="auto"/>
              <w:ind w:left="395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58" w:line="177" w:lineRule="auto"/>
              <w:ind w:left="230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&lt;1.59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8" w:line="178" w:lineRule="auto"/>
              <w:ind w:left="37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1.59-2.40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58" w:line="192" w:lineRule="exact"/>
              <w:ind w:left="27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≥2.40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58" w:line="176" w:lineRule="auto"/>
              <w:ind w:left="234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&lt;1.13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58" w:line="177" w:lineRule="auto"/>
              <w:ind w:left="32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1.13-1.77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58" w:line="192" w:lineRule="exact"/>
              <w:ind w:left="23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≥1.77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18" w:line="231" w:lineRule="auto"/>
              <w:ind w:left="224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Total folate (mcg/d)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2" w:line="184" w:lineRule="auto"/>
              <w:ind w:left="395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57" w:line="177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&lt;316.00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6" w:line="179" w:lineRule="auto"/>
              <w:ind w:left="18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316.00-492.00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57" w:line="192" w:lineRule="exact"/>
              <w:ind w:left="18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≥492.00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58" w:line="176" w:lineRule="auto"/>
              <w:ind w:left="14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&lt;251.00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56" w:line="179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251.00-388.96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56" w:line="193" w:lineRule="exact"/>
              <w:ind w:left="146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≥388.96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0" w:line="229" w:lineRule="auto"/>
              <w:ind w:left="222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Vitamin</w:t>
            </w:r>
            <w:r>
              <w:rPr>
                <w:rFonts w:hint="eastAsia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 xml:space="preserve"> </w:t>
            </w: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B12  (mcg/d)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4" w:line="184" w:lineRule="auto"/>
              <w:ind w:left="395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59" w:line="177" w:lineRule="auto"/>
              <w:ind w:left="230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&lt;3.36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9" w:line="178" w:lineRule="auto"/>
              <w:ind w:left="36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3.36-6.20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58" w:line="192" w:lineRule="exact"/>
              <w:ind w:left="27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≥6.20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59" w:line="176" w:lineRule="auto"/>
              <w:ind w:left="234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&lt;2.22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59" w:line="177" w:lineRule="auto"/>
              <w:ind w:left="31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2.22-4.22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59" w:line="191" w:lineRule="exact"/>
              <w:ind w:left="23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≥4.22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19" w:line="231" w:lineRule="auto"/>
              <w:ind w:left="222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Vitamin C (mg/d)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3" w:line="184" w:lineRule="auto"/>
              <w:ind w:left="395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59" w:line="176" w:lineRule="auto"/>
              <w:ind w:left="186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&lt;42.44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9" w:line="177" w:lineRule="auto"/>
              <w:ind w:left="228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42.44-113.21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59" w:line="190" w:lineRule="exact"/>
              <w:ind w:left="18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≥113.21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59" w:line="176" w:lineRule="auto"/>
              <w:ind w:left="190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&lt;38.01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59" w:line="178" w:lineRule="auto"/>
              <w:ind w:left="23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38.01-98.49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59" w:line="190" w:lineRule="exact"/>
              <w:ind w:left="18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≥98.49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0" w:line="231" w:lineRule="auto"/>
              <w:ind w:left="222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Vitamin E (ATE) (mg/d)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4" w:line="184" w:lineRule="auto"/>
              <w:ind w:left="395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60" w:line="176" w:lineRule="auto"/>
              <w:ind w:left="22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&lt;5.82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9" w:line="178" w:lineRule="auto"/>
              <w:ind w:left="36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5.82-9.42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59" w:line="191" w:lineRule="exact"/>
              <w:ind w:left="27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≥9.42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60" w:line="176" w:lineRule="auto"/>
              <w:ind w:left="23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&lt;4.53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0" w:line="177" w:lineRule="auto"/>
              <w:ind w:left="31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4.53-7.52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59" w:line="191" w:lineRule="exact"/>
              <w:ind w:left="23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≥7.52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0" w:line="231" w:lineRule="auto"/>
              <w:ind w:left="227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Calcium (mg/d)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5" w:line="184" w:lineRule="auto"/>
              <w:ind w:left="394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60" w:line="177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&lt;646.00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9" w:line="178" w:lineRule="auto"/>
              <w:ind w:left="14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646.00-1072.00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60" w:line="190" w:lineRule="exact"/>
              <w:ind w:left="14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≥1072.00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60" w:line="177" w:lineRule="auto"/>
              <w:ind w:left="14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&lt;499.24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0" w:line="178" w:lineRule="auto"/>
              <w:ind w:left="14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499.24-849.00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60" w:line="190" w:lineRule="exact"/>
              <w:ind w:left="14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≥849.00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0" w:line="231" w:lineRule="auto"/>
              <w:ind w:left="224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Magnesium (mg/d)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4" w:line="184" w:lineRule="auto"/>
              <w:ind w:left="394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60" w:line="176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&lt;257.00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9" w:line="178" w:lineRule="auto"/>
              <w:ind w:left="18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257.00-361.28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59" w:line="190" w:lineRule="exact"/>
              <w:ind w:left="188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≥361.28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60" w:line="176" w:lineRule="auto"/>
              <w:ind w:left="14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&lt;187.00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0" w:line="177" w:lineRule="auto"/>
              <w:ind w:left="15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187.00-283.43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60" w:line="189" w:lineRule="exact"/>
              <w:ind w:left="14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≥283.43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1" w:line="231" w:lineRule="auto"/>
              <w:ind w:left="224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Zinc (mg/d)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5" w:line="184" w:lineRule="auto"/>
              <w:ind w:left="394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60" w:line="177" w:lineRule="auto"/>
              <w:ind w:left="22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&lt;9.75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60" w:line="178" w:lineRule="auto"/>
              <w:ind w:left="31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9.75-15.10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60" w:line="190" w:lineRule="exact"/>
              <w:ind w:left="23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≥15.10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60" w:line="177" w:lineRule="auto"/>
              <w:ind w:left="23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&lt;6.73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0" w:line="178" w:lineRule="auto"/>
              <w:ind w:left="27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6.73-10.75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60" w:line="190" w:lineRule="exact"/>
              <w:ind w:left="188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≥10.75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0" w:line="231" w:lineRule="auto"/>
              <w:ind w:left="227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Copper (mg/d)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4" w:line="184" w:lineRule="auto"/>
              <w:ind w:left="394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60" w:line="176" w:lineRule="auto"/>
              <w:ind w:left="22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&lt;1.12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60" w:line="177" w:lineRule="auto"/>
              <w:ind w:left="37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1.12-1.57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60" w:line="190" w:lineRule="exact"/>
              <w:ind w:left="27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≥1.57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60" w:line="176" w:lineRule="auto"/>
              <w:ind w:left="23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&lt;0.85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0" w:line="177" w:lineRule="auto"/>
              <w:ind w:left="31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0.85-1.28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60" w:line="190" w:lineRule="exact"/>
              <w:ind w:left="23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≥1.28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1" w:line="231" w:lineRule="auto"/>
              <w:ind w:left="226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Selenium (mcg/d)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5" w:line="184" w:lineRule="auto"/>
              <w:ind w:left="394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61" w:line="177" w:lineRule="auto"/>
              <w:ind w:left="186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&lt;94.94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61" w:line="178" w:lineRule="auto"/>
              <w:ind w:left="23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94.94-141.80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61" w:line="188" w:lineRule="exact"/>
              <w:ind w:left="188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≥141.80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60" w:line="178" w:lineRule="auto"/>
              <w:ind w:left="190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&lt;67.79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0" w:line="179" w:lineRule="auto"/>
              <w:ind w:left="22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67.79-99.50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61" w:line="188" w:lineRule="exact"/>
              <w:ind w:left="188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≥99.50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0" w:line="231" w:lineRule="auto"/>
              <w:ind w:left="224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Total fat (g/d)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7" w:line="181" w:lineRule="auto"/>
              <w:ind w:left="409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P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59" w:line="190" w:lineRule="exact"/>
              <w:ind w:left="18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≥69.83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59" w:line="179" w:lineRule="auto"/>
              <w:ind w:left="23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69.83-107.43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60" w:line="176" w:lineRule="auto"/>
              <w:ind w:left="19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&lt;107.43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60" w:line="189" w:lineRule="exact"/>
              <w:ind w:left="18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≥50.98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0" w:line="178" w:lineRule="auto"/>
              <w:ind w:left="23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50.98-75.79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60" w:line="177" w:lineRule="auto"/>
              <w:ind w:left="19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&lt;75.79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1" w:line="231" w:lineRule="auto"/>
              <w:ind w:left="225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Iron (mg/d)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8" w:line="181" w:lineRule="auto"/>
              <w:ind w:left="409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P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60" w:line="157" w:lineRule="auto"/>
              <w:ind w:left="18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≥12.88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61" w:line="178" w:lineRule="auto"/>
              <w:ind w:left="28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12.88-19.17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61" w:line="177" w:lineRule="auto"/>
              <w:ind w:left="23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&lt;19.17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59" w:line="158" w:lineRule="auto"/>
              <w:ind w:left="230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≥9.65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0" w:line="179" w:lineRule="auto"/>
              <w:ind w:left="27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9.65-14.32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61" w:line="176" w:lineRule="auto"/>
              <w:ind w:left="19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&lt;14.32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026" w:type="dxa"/>
            <w:gridSpan w:val="8"/>
            <w:vAlign w:val="center"/>
          </w:tcPr>
          <w:p>
            <w:pPr>
              <w:pStyle w:val="7"/>
              <w:spacing w:before="61" w:line="176" w:lineRule="auto"/>
              <w:ind w:left="19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Lifestyle OBS components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1" w:line="231" w:lineRule="auto"/>
              <w:ind w:left="226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Physical activity (MET-minute/week)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6" w:line="184" w:lineRule="auto"/>
              <w:ind w:left="394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61" w:line="177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&lt;417.86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60" w:line="178" w:lineRule="auto"/>
              <w:ind w:left="141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417.86-1135.71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61" w:line="188" w:lineRule="exact"/>
              <w:ind w:left="14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≥1135.71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61" w:line="176" w:lineRule="auto"/>
              <w:ind w:left="14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&lt;270.00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1" w:line="177" w:lineRule="auto"/>
              <w:ind w:left="14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270.00-845.71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61" w:line="188" w:lineRule="exact"/>
              <w:ind w:left="14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≥845.71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22" w:line="231" w:lineRule="auto"/>
              <w:ind w:left="222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Alcohol (g/d)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59" w:line="181" w:lineRule="auto"/>
              <w:ind w:left="409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P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61" w:line="177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≥30.00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61" w:line="177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0.00-30.00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61" w:line="177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None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61" w:line="177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≥15.00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61" w:line="177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0.00-15.00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61" w:line="177" w:lineRule="auto"/>
              <w:ind w:left="14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None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044" w:type="dxa"/>
            <w:vAlign w:val="top"/>
          </w:tcPr>
          <w:p>
            <w:pPr>
              <w:pStyle w:val="7"/>
              <w:spacing w:before="35" w:line="229" w:lineRule="auto"/>
              <w:ind w:left="226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Body mass index (kg/m2)</w:t>
            </w:r>
          </w:p>
        </w:tc>
        <w:tc>
          <w:tcPr>
            <w:tcW w:w="689" w:type="dxa"/>
            <w:vAlign w:val="top"/>
          </w:tcPr>
          <w:p>
            <w:pPr>
              <w:pStyle w:val="7"/>
              <w:spacing w:before="74" w:line="181" w:lineRule="auto"/>
              <w:ind w:left="410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P</w:t>
            </w:r>
          </w:p>
        </w:tc>
        <w:tc>
          <w:tcPr>
            <w:tcW w:w="833" w:type="dxa"/>
            <w:vAlign w:val="center"/>
          </w:tcPr>
          <w:p>
            <w:pPr>
              <w:pStyle w:val="7"/>
              <w:spacing w:before="77" w:line="187" w:lineRule="exact"/>
              <w:ind w:left="18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≥25.54</w:t>
            </w:r>
          </w:p>
        </w:tc>
        <w:tc>
          <w:tcPr>
            <w:tcW w:w="1477" w:type="dxa"/>
            <w:vAlign w:val="center"/>
          </w:tcPr>
          <w:p>
            <w:pPr>
              <w:pStyle w:val="7"/>
              <w:spacing w:before="77" w:line="178" w:lineRule="auto"/>
              <w:ind w:left="274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25.54-29.17</w:t>
            </w:r>
          </w:p>
        </w:tc>
        <w:tc>
          <w:tcPr>
            <w:tcW w:w="934" w:type="dxa"/>
            <w:vAlign w:val="center"/>
          </w:tcPr>
          <w:p>
            <w:pPr>
              <w:pStyle w:val="7"/>
              <w:spacing w:before="77" w:line="177" w:lineRule="auto"/>
              <w:ind w:left="235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&lt;29.17</w:t>
            </w:r>
          </w:p>
        </w:tc>
        <w:tc>
          <w:tcPr>
            <w:tcW w:w="837" w:type="dxa"/>
            <w:vAlign w:val="center"/>
          </w:tcPr>
          <w:p>
            <w:pPr>
              <w:pStyle w:val="7"/>
              <w:spacing w:before="77" w:line="187" w:lineRule="exact"/>
              <w:ind w:left="18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≥23.74</w:t>
            </w:r>
          </w:p>
        </w:tc>
        <w:tc>
          <w:tcPr>
            <w:tcW w:w="1383" w:type="dxa"/>
            <w:vAlign w:val="center"/>
          </w:tcPr>
          <w:p>
            <w:pPr>
              <w:pStyle w:val="7"/>
              <w:spacing w:before="77" w:line="178" w:lineRule="auto"/>
              <w:ind w:left="22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23.74-28.64</w:t>
            </w:r>
          </w:p>
        </w:tc>
        <w:tc>
          <w:tcPr>
            <w:tcW w:w="829" w:type="dxa"/>
            <w:vAlign w:val="center"/>
          </w:tcPr>
          <w:p>
            <w:pPr>
              <w:pStyle w:val="7"/>
              <w:spacing w:before="77" w:line="177" w:lineRule="auto"/>
              <w:ind w:left="19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&lt;28.64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2044" w:type="dxa"/>
            <w:tcBorders>
              <w:bottom w:val="single" w:color="131413" w:sz="2" w:space="0"/>
            </w:tcBorders>
            <w:vAlign w:val="top"/>
          </w:tcPr>
          <w:p>
            <w:pPr>
              <w:pStyle w:val="7"/>
              <w:spacing w:before="22" w:line="231" w:lineRule="auto"/>
              <w:ind w:left="227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Cotinine (ng/mL)</w:t>
            </w:r>
          </w:p>
        </w:tc>
        <w:tc>
          <w:tcPr>
            <w:tcW w:w="689" w:type="dxa"/>
            <w:tcBorders>
              <w:bottom w:val="single" w:color="131413" w:sz="2" w:space="0"/>
            </w:tcBorders>
            <w:vAlign w:val="top"/>
          </w:tcPr>
          <w:p>
            <w:pPr>
              <w:pStyle w:val="7"/>
              <w:spacing w:before="59" w:line="181" w:lineRule="auto"/>
              <w:ind w:left="410"/>
              <w:jc w:val="both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P</w:t>
            </w:r>
          </w:p>
        </w:tc>
        <w:tc>
          <w:tcPr>
            <w:tcW w:w="833" w:type="dxa"/>
            <w:tcBorders>
              <w:bottom w:val="single" w:color="131413" w:sz="2" w:space="0"/>
            </w:tcBorders>
            <w:vAlign w:val="center"/>
          </w:tcPr>
          <w:p>
            <w:pPr>
              <w:pStyle w:val="7"/>
              <w:spacing w:before="62" w:line="188" w:lineRule="exact"/>
              <w:ind w:left="183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≥0.038</w:t>
            </w:r>
          </w:p>
        </w:tc>
        <w:tc>
          <w:tcPr>
            <w:tcW w:w="1477" w:type="dxa"/>
            <w:tcBorders>
              <w:bottom w:val="single" w:color="131413" w:sz="2" w:space="0"/>
            </w:tcBorders>
            <w:vAlign w:val="center"/>
          </w:tcPr>
          <w:p>
            <w:pPr>
              <w:pStyle w:val="7"/>
              <w:spacing w:before="62" w:line="177" w:lineRule="auto"/>
              <w:ind w:left="317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0.04-1.13</w:t>
            </w:r>
          </w:p>
        </w:tc>
        <w:tc>
          <w:tcPr>
            <w:tcW w:w="934" w:type="dxa"/>
            <w:tcBorders>
              <w:bottom w:val="single" w:color="131413" w:sz="2" w:space="0"/>
            </w:tcBorders>
            <w:vAlign w:val="center"/>
          </w:tcPr>
          <w:p>
            <w:pPr>
              <w:pStyle w:val="7"/>
              <w:spacing w:before="62" w:line="176" w:lineRule="auto"/>
              <w:ind w:left="279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&lt;1.13</w:t>
            </w:r>
          </w:p>
        </w:tc>
        <w:tc>
          <w:tcPr>
            <w:tcW w:w="837" w:type="dxa"/>
            <w:tcBorders>
              <w:bottom w:val="single" w:color="131413" w:sz="2" w:space="0"/>
            </w:tcBorders>
            <w:vAlign w:val="center"/>
          </w:tcPr>
          <w:p>
            <w:pPr>
              <w:pStyle w:val="7"/>
              <w:spacing w:before="62" w:line="188" w:lineRule="exact"/>
              <w:ind w:left="188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≥0.035</w:t>
            </w:r>
          </w:p>
        </w:tc>
        <w:tc>
          <w:tcPr>
            <w:tcW w:w="1383" w:type="dxa"/>
            <w:tcBorders>
              <w:bottom w:val="single" w:color="131413" w:sz="2" w:space="0"/>
            </w:tcBorders>
            <w:vAlign w:val="center"/>
          </w:tcPr>
          <w:p>
            <w:pPr>
              <w:pStyle w:val="7"/>
              <w:spacing w:before="62" w:line="177" w:lineRule="auto"/>
              <w:ind w:left="230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0.035-0.172</w:t>
            </w:r>
          </w:p>
        </w:tc>
        <w:tc>
          <w:tcPr>
            <w:tcW w:w="829" w:type="dxa"/>
            <w:tcBorders>
              <w:bottom w:val="single" w:color="131413" w:sz="2" w:space="0"/>
            </w:tcBorders>
            <w:vAlign w:val="center"/>
          </w:tcPr>
          <w:p>
            <w:pPr>
              <w:pStyle w:val="7"/>
              <w:spacing w:before="62" w:line="176" w:lineRule="auto"/>
              <w:ind w:left="192"/>
              <w:jc w:val="center"/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t>&lt;0.17</w:t>
            </w:r>
            <w:r>
              <w:rPr>
                <w:rStyle w:val="6"/>
                <w:rFonts w:hint="default" w:ascii="Arial" w:hAnsi="Arial" w:eastAsia="黑体" w:cs="Arial"/>
                <w:kern w:val="2"/>
                <w:sz w:val="20"/>
                <w:szCs w:val="20"/>
                <w:lang w:val="en-US" w:eastAsia="zh-CN" w:bidi="ar-SA"/>
              </w:rPr>
              <w:footnoteReference w:id="0"/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Arial" w:hAnsi="Arial" w:eastAsia="宋体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</w:p>
    <w:p/>
    <w:sectPr>
      <w:footnotePr>
        <w:numFmt w:val="lowerLetter"/>
      </w:footnotePr>
      <w:pgSz w:w="11906" w:h="16838"/>
      <w:pgMar w:top="1440" w:right="1440" w:bottom="1440" w:left="1440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 w:val="0"/>
        <w:textAlignment w:val="auto"/>
        <w:rPr>
          <w:rFonts w:hint="default" w:ascii="Arial" w:hAnsi="Arial" w:cs="Arial"/>
          <w:sz w:val="16"/>
          <w:szCs w:val="16"/>
        </w:rPr>
      </w:pPr>
      <w:r>
        <w:rPr>
          <w:rStyle w:val="6"/>
          <w:rFonts w:hint="default" w:ascii="Arial" w:hAnsi="Arial" w:cs="Arial"/>
          <w:sz w:val="16"/>
          <w:szCs w:val="16"/>
        </w:rPr>
        <w:footnoteRef/>
      </w:r>
      <w:r>
        <w:rPr>
          <w:rFonts w:hint="default" w:ascii="Arial" w:hAnsi="Arial" w:cs="Arial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OBS:</w:t>
      </w:r>
      <w:r>
        <w:rPr>
          <w:rFonts w:hint="default" w:ascii="Arial" w:hAnsi="Arial" w:cs="Arial"/>
          <w:color w:val="131413"/>
          <w:spacing w:val="22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oxidative balance</w:t>
      </w:r>
      <w:r>
        <w:rPr>
          <w:rFonts w:hint="default" w:ascii="Arial" w:hAnsi="Arial" w:cs="Arial"/>
          <w:color w:val="131413"/>
          <w:spacing w:val="17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score;</w:t>
      </w:r>
      <w:r>
        <w:rPr>
          <w:rFonts w:hint="default" w:ascii="Arial" w:hAnsi="Arial" w:cs="Arial"/>
          <w:color w:val="131413"/>
          <w:spacing w:val="12"/>
          <w:w w:val="102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A:</w:t>
      </w:r>
      <w:r>
        <w:rPr>
          <w:rFonts w:hint="default" w:ascii="Arial" w:hAnsi="Arial" w:cs="Arial"/>
          <w:color w:val="131413"/>
          <w:spacing w:val="16"/>
          <w:w w:val="102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antioxidant;</w:t>
      </w:r>
      <w:r>
        <w:rPr>
          <w:rFonts w:hint="default" w:ascii="Arial" w:hAnsi="Arial" w:cs="Arial"/>
          <w:color w:val="131413"/>
          <w:spacing w:val="16"/>
          <w:w w:val="102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P:</w:t>
      </w:r>
      <w:r>
        <w:rPr>
          <w:rFonts w:hint="default" w:ascii="Arial" w:hAnsi="Arial" w:cs="Arial"/>
          <w:color w:val="131413"/>
          <w:spacing w:val="12"/>
          <w:w w:val="102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prooxidant;</w:t>
      </w:r>
      <w:r>
        <w:rPr>
          <w:rFonts w:hint="default" w:ascii="Arial" w:hAnsi="Arial" w:cs="Arial"/>
          <w:color w:val="131413"/>
          <w:spacing w:val="12"/>
          <w:w w:val="101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ATE:</w:t>
      </w:r>
      <w:r>
        <w:rPr>
          <w:rFonts w:hint="default" w:ascii="Arial" w:hAnsi="Arial" w:cs="Arial"/>
          <w:color w:val="131413"/>
          <w:spacing w:val="17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alpha-tocopherol</w:t>
      </w:r>
      <w:r>
        <w:rPr>
          <w:rFonts w:hint="default" w:ascii="Arial" w:hAnsi="Arial" w:cs="Arial"/>
          <w:color w:val="131413"/>
          <w:spacing w:val="15"/>
          <w:w w:val="101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equivalent;</w:t>
      </w:r>
      <w:r>
        <w:rPr>
          <w:rFonts w:hint="default" w:ascii="Arial" w:hAnsi="Arial" w:cs="Arial"/>
          <w:color w:val="131413"/>
          <w:spacing w:val="13"/>
          <w:w w:val="101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RE:</w:t>
      </w:r>
      <w:r>
        <w:rPr>
          <w:rFonts w:hint="default" w:ascii="Arial" w:hAnsi="Arial" w:cs="Arial"/>
          <w:color w:val="131413"/>
          <w:spacing w:val="14"/>
          <w:w w:val="102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retinol</w:t>
      </w:r>
      <w:r>
        <w:rPr>
          <w:rFonts w:hint="default" w:ascii="Arial" w:hAnsi="Arial" w:cs="Arial"/>
          <w:color w:val="131413"/>
          <w:spacing w:val="15"/>
          <w:w w:val="101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equivalent;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MET:</w:t>
      </w:r>
      <w:r>
        <w:rPr>
          <w:rFonts w:hint="default" w:ascii="Arial" w:hAnsi="Arial" w:cs="Arial"/>
          <w:color w:val="131413"/>
          <w:spacing w:val="14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metabolic</w:t>
      </w:r>
      <w:r>
        <w:rPr>
          <w:rFonts w:hint="default" w:ascii="Arial" w:hAnsi="Arial" w:cs="Arial"/>
          <w:color w:val="131413"/>
          <w:spacing w:val="15"/>
          <w:w w:val="101"/>
          <w:position w:val="2"/>
          <w:sz w:val="16"/>
          <w:szCs w:val="16"/>
        </w:rPr>
        <w:t xml:space="preserve"> </w:t>
      </w:r>
      <w:r>
        <w:rPr>
          <w:rFonts w:hint="default" w:ascii="Arial" w:hAnsi="Arial" w:cs="Arial"/>
          <w:color w:val="131413"/>
          <w:spacing w:val="2"/>
          <w:position w:val="2"/>
          <w:sz w:val="16"/>
          <w:szCs w:val="16"/>
        </w:rPr>
        <w:t>equivalent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numFmt w:val="lowerLetter"/>
    <w:footnote w:id="2"/>
    <w:footnote w:id="3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hOTdhMDMxMjYxYzQ3MzhjNmEzMjM4MTVkNzAyYmYifQ=="/>
  </w:docVars>
  <w:rsids>
    <w:rsidRoot w:val="00000000"/>
    <w:rsid w:val="01911652"/>
    <w:rsid w:val="046441B2"/>
    <w:rsid w:val="0EB65F51"/>
    <w:rsid w:val="19B74CB9"/>
    <w:rsid w:val="19DA25DA"/>
    <w:rsid w:val="26175E06"/>
    <w:rsid w:val="2A1157C2"/>
    <w:rsid w:val="2CE24080"/>
    <w:rsid w:val="2E325881"/>
    <w:rsid w:val="31BE756E"/>
    <w:rsid w:val="34AB3FAC"/>
    <w:rsid w:val="3E29379B"/>
    <w:rsid w:val="4B216370"/>
    <w:rsid w:val="4DB03ABF"/>
    <w:rsid w:val="5BE36011"/>
    <w:rsid w:val="638C2C29"/>
    <w:rsid w:val="6E7C73C6"/>
    <w:rsid w:val="70EC1DCD"/>
    <w:rsid w:val="7572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footnote text"/>
    <w:basedOn w:val="1"/>
    <w:uiPriority w:val="0"/>
    <w:pPr>
      <w:snapToGrid w:val="0"/>
      <w:jc w:val="left"/>
    </w:pPr>
    <w:rPr>
      <w:sz w:val="18"/>
    </w:rPr>
  </w:style>
  <w:style w:type="character" w:styleId="6">
    <w:name w:val="footnote reference"/>
    <w:basedOn w:val="5"/>
    <w:uiPriority w:val="0"/>
    <w:rPr>
      <w:vertAlign w:val="superscript"/>
    </w:rPr>
  </w:style>
  <w:style w:type="paragraph" w:customStyle="1" w:styleId="7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18"/>
      <w:szCs w:val="18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309</Words>
  <Characters>1997</Characters>
  <Lines>0</Lines>
  <Paragraphs>0</Paragraphs>
  <TotalTime>21</TotalTime>
  <ScaleCrop>false</ScaleCrop>
  <LinksUpToDate>false</LinksUpToDate>
  <CharactersWithSpaces>2131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2023-10-05T02:43:00Z</dcterms:created>
  <dc:creator>常钰</dc:creator>
  <cp:lastModifiedBy>常小白</cp:lastModifiedBy>
  <dcterms:modified xsi:type="dcterms:W3CDTF">2023-11-17T03:54:42Z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E167DEA55BA145E6A503D5B993204102_12</vt:lpwstr>
  </property>
</Properties>
</file>