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376D1" w14:textId="77777777" w:rsidR="00BF5E19" w:rsidRDefault="00BF5E19" w:rsidP="00310327">
      <w:pPr>
        <w:spacing w:line="480" w:lineRule="auto"/>
        <w:rPr>
          <w:rFonts w:ascii="Arial" w:eastAsia="Arial" w:hAnsi="Arial" w:cs="Arial"/>
          <w:b/>
          <w:sz w:val="28"/>
          <w:szCs w:val="28"/>
        </w:rPr>
      </w:pPr>
    </w:p>
    <w:p w14:paraId="147239A6" w14:textId="77777777" w:rsidR="00BF5E19" w:rsidRPr="00A36563" w:rsidRDefault="00000000">
      <w:pPr>
        <w:spacing w:line="480" w:lineRule="auto"/>
        <w:jc w:val="both"/>
        <w:rPr>
          <w:rFonts w:ascii="Arial" w:eastAsia="Arial" w:hAnsi="Arial" w:cs="Arial"/>
          <w:b/>
          <w:sz w:val="28"/>
          <w:szCs w:val="28"/>
        </w:rPr>
      </w:pPr>
      <w:r w:rsidRPr="00A36563">
        <w:rPr>
          <w:rFonts w:ascii="Arial" w:eastAsia="Arial" w:hAnsi="Arial" w:cs="Arial"/>
          <w:b/>
          <w:sz w:val="28"/>
          <w:szCs w:val="28"/>
        </w:rPr>
        <w:t>Results</w:t>
      </w:r>
    </w:p>
    <w:p w14:paraId="7D1A4362" w14:textId="77777777" w:rsidR="00BF5E19" w:rsidRDefault="00000000">
      <w:pPr>
        <w:spacing w:line="480" w:lineRule="auto"/>
        <w:jc w:val="both"/>
        <w:rPr>
          <w:rFonts w:ascii="Arial" w:eastAsia="Arial" w:hAnsi="Arial" w:cs="Arial"/>
          <w:sz w:val="20"/>
          <w:szCs w:val="20"/>
        </w:rPr>
      </w:pPr>
      <w:r>
        <w:rPr>
          <w:rFonts w:ascii="Arial" w:eastAsia="Arial" w:hAnsi="Arial" w:cs="Arial"/>
          <w:b/>
          <w:sz w:val="20"/>
          <w:szCs w:val="20"/>
        </w:rPr>
        <w:t>Animals and Physiological Parameters</w:t>
      </w:r>
    </w:p>
    <w:p w14:paraId="125D0AF3" w14:textId="556651BA" w:rsidR="00C319AE" w:rsidRPr="00310327" w:rsidRDefault="00000000" w:rsidP="00310327">
      <w:pPr>
        <w:spacing w:before="240" w:after="240" w:line="480" w:lineRule="auto"/>
        <w:jc w:val="both"/>
        <w:rPr>
          <w:rFonts w:ascii="Arial" w:eastAsia="Arial" w:hAnsi="Arial" w:cs="Arial"/>
          <w:sz w:val="20"/>
          <w:szCs w:val="20"/>
        </w:rPr>
      </w:pPr>
      <w:r w:rsidRPr="00A92E4E">
        <w:rPr>
          <w:rFonts w:ascii="Arial" w:eastAsia="Arial" w:hAnsi="Arial" w:cs="Arial"/>
          <w:sz w:val="20"/>
          <w:szCs w:val="20"/>
        </w:rPr>
        <w:t>During the experiment, physiological parameters were maintained within normal ranges. The median peripheral capillary oxygen saturation (SpO</w:t>
      </w:r>
      <w:r w:rsidRPr="00A92E4E">
        <w:rPr>
          <w:rFonts w:ascii="Arial" w:eastAsia="Arial" w:hAnsi="Arial" w:cs="Arial"/>
          <w:sz w:val="20"/>
          <w:szCs w:val="20"/>
          <w:vertAlign w:val="subscript"/>
        </w:rPr>
        <w:t>2</w:t>
      </w:r>
      <w:r w:rsidRPr="00A92E4E">
        <w:rPr>
          <w:rFonts w:ascii="Arial" w:eastAsia="Arial" w:hAnsi="Arial" w:cs="Arial"/>
          <w:sz w:val="20"/>
          <w:szCs w:val="20"/>
        </w:rPr>
        <w:t>) was 99.4% (interquartile range [IQR], 0.2), the arterial partial pressure of carbon dioxide (pCO</w:t>
      </w:r>
      <w:r w:rsidRPr="00A92E4E">
        <w:rPr>
          <w:rFonts w:ascii="Arial" w:eastAsia="Arial" w:hAnsi="Arial" w:cs="Arial"/>
          <w:sz w:val="20"/>
          <w:szCs w:val="20"/>
          <w:vertAlign w:val="subscript"/>
        </w:rPr>
        <w:t>2</w:t>
      </w:r>
      <w:r w:rsidRPr="00A92E4E">
        <w:rPr>
          <w:rFonts w:ascii="Arial" w:eastAsia="Arial" w:hAnsi="Arial" w:cs="Arial"/>
          <w:sz w:val="20"/>
          <w:szCs w:val="20"/>
        </w:rPr>
        <w:t xml:space="preserve">) was 39.75 mmHg (IQR, 3.00), and the mean arterial pressure (MAP) was 73 mmHg (IQR, 8). The median rectal temperature was 36.7°C (IQR, 0.7), the heart rate was 102 beats per minute (IQR, 6), and the glucose level was 74 mg/dL (IQR, 30). These physiological variables, alongside other relevant measures, are detailed in </w:t>
      </w:r>
      <w:r w:rsidRPr="00A92E4E">
        <w:rPr>
          <w:rFonts w:ascii="Arial" w:eastAsia="Arial" w:hAnsi="Arial" w:cs="Arial"/>
          <w:b/>
          <w:sz w:val="20"/>
          <w:szCs w:val="20"/>
        </w:rPr>
        <w:t>Supplementary Table S1</w:t>
      </w:r>
      <w:r w:rsidRPr="00A92E4E">
        <w:rPr>
          <w:rFonts w:ascii="Arial" w:eastAsia="Arial" w:hAnsi="Arial" w:cs="Arial"/>
          <w:sz w:val="20"/>
          <w:szCs w:val="20"/>
        </w:rPr>
        <w:t>.</w:t>
      </w:r>
    </w:p>
    <w:p w14:paraId="70C69AFC" w14:textId="77777777" w:rsidR="00BF5E19" w:rsidRDefault="00000000">
      <w:pPr>
        <w:spacing w:line="480" w:lineRule="auto"/>
        <w:jc w:val="both"/>
        <w:rPr>
          <w:rFonts w:ascii="Arial" w:eastAsia="Arial" w:hAnsi="Arial" w:cs="Arial"/>
          <w:sz w:val="20"/>
          <w:szCs w:val="20"/>
        </w:rPr>
      </w:pPr>
      <w:r>
        <w:rPr>
          <w:rFonts w:ascii="Arial" w:eastAsia="Arial" w:hAnsi="Arial" w:cs="Arial"/>
          <w:b/>
          <w:sz w:val="20"/>
          <w:szCs w:val="20"/>
        </w:rPr>
        <w:t>Incidence, Duration, Amplitude, and Expansion of the r</w:t>
      </w:r>
      <w:r>
        <w:rPr>
          <w:rFonts w:ascii="Arial" w:eastAsia="Arial" w:hAnsi="Arial" w:cs="Arial"/>
          <w:b/>
          <w:sz w:val="20"/>
          <w:szCs w:val="20"/>
          <w:vertAlign w:val="subscript"/>
        </w:rPr>
        <w:t>c</w:t>
      </w:r>
      <w:r>
        <w:rPr>
          <w:rFonts w:ascii="Arial" w:eastAsia="Arial" w:hAnsi="Arial" w:cs="Arial"/>
          <w:b/>
          <w:sz w:val="20"/>
          <w:szCs w:val="20"/>
        </w:rPr>
        <w:t>SO</w:t>
      </w:r>
      <w:r>
        <w:rPr>
          <w:rFonts w:ascii="Arial" w:eastAsia="Arial" w:hAnsi="Arial" w:cs="Arial"/>
          <w:b/>
          <w:sz w:val="20"/>
          <w:szCs w:val="20"/>
          <w:vertAlign w:val="subscript"/>
        </w:rPr>
        <w:t>2</w:t>
      </w:r>
      <w:r>
        <w:rPr>
          <w:rFonts w:ascii="Arial" w:eastAsia="Arial" w:hAnsi="Arial" w:cs="Arial"/>
          <w:b/>
          <w:sz w:val="20"/>
          <w:szCs w:val="20"/>
        </w:rPr>
        <w:t>% Responses in PAI</w:t>
      </w:r>
    </w:p>
    <w:p w14:paraId="0E34B441" w14:textId="77777777" w:rsidR="00BF5E19" w:rsidRDefault="00000000">
      <w:pPr>
        <w:spacing w:before="240" w:after="240" w:line="480" w:lineRule="auto"/>
        <w:jc w:val="both"/>
        <w:rPr>
          <w:rFonts w:ascii="Arial" w:eastAsia="Arial" w:hAnsi="Arial" w:cs="Arial"/>
          <w:b/>
          <w:sz w:val="20"/>
          <w:szCs w:val="20"/>
        </w:rPr>
      </w:pPr>
      <w:r w:rsidRPr="00A92E4E">
        <w:rPr>
          <w:rFonts w:ascii="Arial" w:eastAsia="Arial" w:hAnsi="Arial" w:cs="Arial"/>
          <w:sz w:val="20"/>
          <w:szCs w:val="20"/>
        </w:rPr>
        <w:t>Utilizing photoacoustic imaging (PAI), we identified regional cerebral oxygen saturation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xml:space="preserve">%) fluctuations coupled with spreading depolarization (SD) waves identified by electrocorticography (ECoG) data (refer to </w:t>
      </w:r>
      <w:r w:rsidRPr="00A92E4E">
        <w:rPr>
          <w:rFonts w:ascii="Arial" w:eastAsia="Arial" w:hAnsi="Arial" w:cs="Arial"/>
          <w:b/>
          <w:sz w:val="20"/>
          <w:szCs w:val="20"/>
        </w:rPr>
        <w:t>Online Resource 3</w:t>
      </w:r>
      <w:r w:rsidRPr="00A92E4E">
        <w:rPr>
          <w:rFonts w:ascii="Arial" w:eastAsia="Arial" w:hAnsi="Arial" w:cs="Arial"/>
          <w:sz w:val="20"/>
          <w:szCs w:val="20"/>
        </w:rPr>
        <w:t>). A total of 12 events and 74 measurements within the regions of interest (ROIs) were detected. Each experiment typically exhibited one response (median), with an average reach of 6.5 ROIs per response (IQRs of 0.25 and 2.00, respectively). The median duration of the responses was 15.24 minutes (IQR, 14.34). An estimated median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increase of +10.29% (IQR, 7.21) and a median decrease of -10.09% (IQR, 6.96) from the baseline level (median, 66.28; IQR, 17.41) were observed. Notably, in 53% (39/74) of the ROIs reached within these experiments, baseline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was not restored due to the initiation of a subsequent response or the conclusion of the recording period.</w:t>
      </w:r>
      <w:r>
        <w:rPr>
          <w:rFonts w:ascii="Arial" w:eastAsia="Arial" w:hAnsi="Arial" w:cs="Arial"/>
          <w:b/>
          <w:sz w:val="20"/>
          <w:szCs w:val="20"/>
        </w:rPr>
        <w:t xml:space="preserve"> </w:t>
      </w:r>
    </w:p>
    <w:p w14:paraId="16F3DB16" w14:textId="77777777" w:rsidR="00BF5E19" w:rsidRDefault="00000000">
      <w:pPr>
        <w:spacing w:line="480" w:lineRule="auto"/>
        <w:jc w:val="both"/>
        <w:rPr>
          <w:rFonts w:ascii="Arial" w:eastAsia="Arial" w:hAnsi="Arial" w:cs="Arial"/>
          <w:sz w:val="20"/>
          <w:szCs w:val="20"/>
        </w:rPr>
      </w:pPr>
      <w:r>
        <w:rPr>
          <w:rFonts w:ascii="Arial" w:eastAsia="Arial" w:hAnsi="Arial" w:cs="Arial"/>
          <w:b/>
          <w:sz w:val="20"/>
          <w:szCs w:val="20"/>
        </w:rPr>
        <w:t>Observed components in the r</w:t>
      </w:r>
      <w:r>
        <w:rPr>
          <w:rFonts w:ascii="Arial" w:eastAsia="Arial" w:hAnsi="Arial" w:cs="Arial"/>
          <w:b/>
          <w:sz w:val="20"/>
          <w:szCs w:val="20"/>
          <w:vertAlign w:val="subscript"/>
        </w:rPr>
        <w:t>c</w:t>
      </w:r>
      <w:r>
        <w:rPr>
          <w:rFonts w:ascii="Arial" w:eastAsia="Arial" w:hAnsi="Arial" w:cs="Arial"/>
          <w:b/>
          <w:sz w:val="20"/>
          <w:szCs w:val="20"/>
        </w:rPr>
        <w:t>SO</w:t>
      </w:r>
      <w:r>
        <w:rPr>
          <w:rFonts w:ascii="Arial" w:eastAsia="Arial" w:hAnsi="Arial" w:cs="Arial"/>
          <w:b/>
          <w:sz w:val="20"/>
          <w:szCs w:val="20"/>
          <w:vertAlign w:val="subscript"/>
        </w:rPr>
        <w:t>2</w:t>
      </w:r>
      <w:r>
        <w:rPr>
          <w:rFonts w:ascii="Arial" w:eastAsia="Arial" w:hAnsi="Arial" w:cs="Arial"/>
          <w:b/>
          <w:sz w:val="20"/>
          <w:szCs w:val="20"/>
        </w:rPr>
        <w:t>% SD-Responses</w:t>
      </w:r>
    </w:p>
    <w:p w14:paraId="24289AAF" w14:textId="108AC4F3" w:rsidR="00C319AE" w:rsidRDefault="00000000">
      <w:pPr>
        <w:spacing w:before="240" w:after="240" w:line="480" w:lineRule="auto"/>
        <w:jc w:val="both"/>
        <w:rPr>
          <w:rFonts w:ascii="Arial" w:eastAsia="Arial" w:hAnsi="Arial" w:cs="Arial"/>
          <w:sz w:val="20"/>
          <w:szCs w:val="20"/>
        </w:rPr>
      </w:pPr>
      <w:r w:rsidRPr="00A92E4E">
        <w:rPr>
          <w:rFonts w:ascii="Arial" w:eastAsia="Arial" w:hAnsi="Arial" w:cs="Arial"/>
          <w:sz w:val="20"/>
          <w:szCs w:val="20"/>
        </w:rPr>
        <w:t xml:space="preserve">Our observations revealed several components associated with hemodynamic responses to SDs, namely brief hyperoxia, initial hypoxia, peak hyperoxia, late hyperoxia, post-SD hypoxia, and peak </w:t>
      </w:r>
      <w:r w:rsidRPr="00A92E4E">
        <w:rPr>
          <w:rFonts w:ascii="Arial" w:eastAsia="Arial" w:hAnsi="Arial" w:cs="Arial"/>
          <w:sz w:val="20"/>
          <w:szCs w:val="20"/>
        </w:rPr>
        <w:lastRenderedPageBreak/>
        <w:t>hypoxia. The most frequently observed components were peak hyperoxia, late hyperoxia, and post-SD hypoxia. Moreover, 8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xml:space="preserve">% alterations (10.8% of events) were categorized as nonspecific. These components are depicted in </w:t>
      </w:r>
      <w:r w:rsidRPr="00A92E4E">
        <w:rPr>
          <w:rFonts w:ascii="Arial" w:eastAsia="Arial" w:hAnsi="Arial" w:cs="Arial"/>
          <w:b/>
          <w:sz w:val="20"/>
          <w:szCs w:val="20"/>
        </w:rPr>
        <w:t>Supplementary Figure 1d</w:t>
      </w:r>
      <w:r w:rsidRPr="00A92E4E">
        <w:rPr>
          <w:rFonts w:ascii="Arial" w:eastAsia="Arial" w:hAnsi="Arial" w:cs="Arial"/>
          <w:sz w:val="20"/>
          <w:szCs w:val="20"/>
        </w:rPr>
        <w:t xml:space="preserve"> (see </w:t>
      </w:r>
      <w:r w:rsidRPr="00A92E4E">
        <w:rPr>
          <w:rFonts w:ascii="Arial" w:eastAsia="Arial" w:hAnsi="Arial" w:cs="Arial"/>
          <w:b/>
          <w:sz w:val="20"/>
          <w:szCs w:val="20"/>
        </w:rPr>
        <w:t>Online Resource 4</w:t>
      </w:r>
      <w:r w:rsidRPr="00A92E4E">
        <w:rPr>
          <w:rFonts w:ascii="Arial" w:eastAsia="Arial" w:hAnsi="Arial" w:cs="Arial"/>
          <w:sz w:val="20"/>
          <w:szCs w:val="20"/>
        </w:rPr>
        <w:t>). Out of the total observed components, we delineated 12 distinct morphologies of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xml:space="preserve">% responses, accounting for 86.6% of the responses. Morphologies that occurred only once (10 responses) were not included in the analysis. </w:t>
      </w:r>
      <w:r w:rsidRPr="00A92E4E">
        <w:rPr>
          <w:rFonts w:ascii="Arial" w:eastAsia="Arial" w:hAnsi="Arial" w:cs="Arial"/>
          <w:b/>
          <w:sz w:val="20"/>
          <w:szCs w:val="20"/>
        </w:rPr>
        <w:t>Supplementary Figure 2</w:t>
      </w:r>
      <w:r w:rsidRPr="00A92E4E">
        <w:rPr>
          <w:rFonts w:ascii="Arial" w:eastAsia="Arial" w:hAnsi="Arial" w:cs="Arial"/>
          <w:sz w:val="20"/>
          <w:szCs w:val="20"/>
        </w:rPr>
        <w:t xml:space="preserve"> illustrates the documented morphologies (available in </w:t>
      </w:r>
      <w:r w:rsidRPr="00A92E4E">
        <w:rPr>
          <w:rFonts w:ascii="Arial" w:eastAsia="Arial" w:hAnsi="Arial" w:cs="Arial"/>
          <w:b/>
          <w:sz w:val="20"/>
          <w:szCs w:val="20"/>
        </w:rPr>
        <w:t xml:space="preserve">Online Resource </w:t>
      </w:r>
      <w:r w:rsidR="000D1469">
        <w:rPr>
          <w:rFonts w:ascii="Arial" w:eastAsia="Arial" w:hAnsi="Arial" w:cs="Arial"/>
          <w:b/>
          <w:sz w:val="20"/>
          <w:szCs w:val="20"/>
        </w:rPr>
        <w:t>5</w:t>
      </w:r>
      <w:r w:rsidRPr="00A92E4E">
        <w:rPr>
          <w:rFonts w:ascii="Arial" w:eastAsia="Arial" w:hAnsi="Arial" w:cs="Arial"/>
          <w:sz w:val="20"/>
          <w:szCs w:val="20"/>
        </w:rPr>
        <w:t>).</w:t>
      </w:r>
    </w:p>
    <w:p w14:paraId="763E7A29" w14:textId="77777777" w:rsidR="00310327" w:rsidRDefault="00310327">
      <w:pPr>
        <w:spacing w:before="240" w:after="240" w:line="480" w:lineRule="auto"/>
        <w:jc w:val="both"/>
        <w:rPr>
          <w:rFonts w:ascii="Arial" w:eastAsia="Arial" w:hAnsi="Arial" w:cs="Arial"/>
          <w:sz w:val="20"/>
          <w:szCs w:val="20"/>
        </w:rPr>
      </w:pPr>
    </w:p>
    <w:p w14:paraId="2433E9A7" w14:textId="77777777" w:rsidR="00310327" w:rsidRDefault="00310327">
      <w:pPr>
        <w:spacing w:before="240" w:after="240" w:line="480" w:lineRule="auto"/>
        <w:jc w:val="both"/>
        <w:rPr>
          <w:rFonts w:ascii="Arial" w:eastAsia="Arial" w:hAnsi="Arial" w:cs="Arial"/>
          <w:sz w:val="20"/>
          <w:szCs w:val="20"/>
        </w:rPr>
      </w:pPr>
    </w:p>
    <w:p w14:paraId="6AD0D1EC" w14:textId="77777777" w:rsidR="00310327" w:rsidRDefault="00310327">
      <w:pPr>
        <w:spacing w:before="240" w:after="240" w:line="480" w:lineRule="auto"/>
        <w:jc w:val="both"/>
        <w:rPr>
          <w:rFonts w:ascii="Arial" w:eastAsia="Arial" w:hAnsi="Arial" w:cs="Arial"/>
          <w:sz w:val="20"/>
          <w:szCs w:val="20"/>
        </w:rPr>
      </w:pPr>
    </w:p>
    <w:p w14:paraId="41219D40" w14:textId="77777777" w:rsidR="00310327" w:rsidRDefault="00310327">
      <w:pPr>
        <w:spacing w:before="240" w:after="240" w:line="480" w:lineRule="auto"/>
        <w:jc w:val="both"/>
        <w:rPr>
          <w:rFonts w:ascii="Arial" w:eastAsia="Arial" w:hAnsi="Arial" w:cs="Arial"/>
          <w:sz w:val="20"/>
          <w:szCs w:val="20"/>
        </w:rPr>
      </w:pPr>
    </w:p>
    <w:p w14:paraId="3C498CD8" w14:textId="77777777" w:rsidR="00310327" w:rsidRDefault="00310327">
      <w:pPr>
        <w:spacing w:before="240" w:after="240" w:line="480" w:lineRule="auto"/>
        <w:jc w:val="both"/>
        <w:rPr>
          <w:rFonts w:ascii="Arial" w:eastAsia="Arial" w:hAnsi="Arial" w:cs="Arial"/>
          <w:sz w:val="20"/>
          <w:szCs w:val="20"/>
        </w:rPr>
      </w:pPr>
    </w:p>
    <w:p w14:paraId="221C260A" w14:textId="77777777" w:rsidR="00310327" w:rsidRDefault="00310327">
      <w:pPr>
        <w:spacing w:before="240" w:after="240" w:line="480" w:lineRule="auto"/>
        <w:jc w:val="both"/>
        <w:rPr>
          <w:rFonts w:ascii="Arial" w:eastAsia="Arial" w:hAnsi="Arial" w:cs="Arial"/>
          <w:sz w:val="20"/>
          <w:szCs w:val="20"/>
        </w:rPr>
      </w:pPr>
    </w:p>
    <w:p w14:paraId="17C0C632" w14:textId="77777777" w:rsidR="00310327" w:rsidRDefault="00310327">
      <w:pPr>
        <w:spacing w:before="240" w:after="240" w:line="480" w:lineRule="auto"/>
        <w:jc w:val="both"/>
        <w:rPr>
          <w:rFonts w:ascii="Arial" w:eastAsia="Arial" w:hAnsi="Arial" w:cs="Arial"/>
          <w:sz w:val="20"/>
          <w:szCs w:val="20"/>
        </w:rPr>
      </w:pPr>
    </w:p>
    <w:p w14:paraId="5AD341B8" w14:textId="77777777" w:rsidR="00310327" w:rsidRDefault="00310327">
      <w:pPr>
        <w:spacing w:before="240" w:after="240" w:line="480" w:lineRule="auto"/>
        <w:jc w:val="both"/>
        <w:rPr>
          <w:rFonts w:ascii="Arial" w:eastAsia="Arial" w:hAnsi="Arial" w:cs="Arial"/>
          <w:sz w:val="20"/>
          <w:szCs w:val="20"/>
        </w:rPr>
      </w:pPr>
    </w:p>
    <w:p w14:paraId="59DC37F8" w14:textId="77777777" w:rsidR="00310327" w:rsidRDefault="00310327">
      <w:pPr>
        <w:spacing w:before="240" w:after="240" w:line="480" w:lineRule="auto"/>
        <w:jc w:val="both"/>
        <w:rPr>
          <w:rFonts w:ascii="Arial" w:eastAsia="Arial" w:hAnsi="Arial" w:cs="Arial"/>
          <w:sz w:val="20"/>
          <w:szCs w:val="20"/>
        </w:rPr>
      </w:pPr>
    </w:p>
    <w:p w14:paraId="2801A605" w14:textId="77777777" w:rsidR="00310327" w:rsidRDefault="00310327">
      <w:pPr>
        <w:spacing w:before="240" w:after="240" w:line="480" w:lineRule="auto"/>
        <w:jc w:val="both"/>
        <w:rPr>
          <w:rFonts w:ascii="Arial" w:eastAsia="Arial" w:hAnsi="Arial" w:cs="Arial"/>
          <w:sz w:val="20"/>
          <w:szCs w:val="20"/>
        </w:rPr>
      </w:pPr>
    </w:p>
    <w:p w14:paraId="2F67102A" w14:textId="77777777" w:rsidR="00310327" w:rsidRDefault="00310327">
      <w:pPr>
        <w:spacing w:before="240" w:after="240" w:line="480" w:lineRule="auto"/>
        <w:jc w:val="both"/>
        <w:rPr>
          <w:rFonts w:ascii="Arial" w:eastAsia="Arial" w:hAnsi="Arial" w:cs="Arial"/>
          <w:sz w:val="20"/>
          <w:szCs w:val="20"/>
        </w:rPr>
      </w:pPr>
    </w:p>
    <w:p w14:paraId="305CB082" w14:textId="77777777" w:rsidR="00310327" w:rsidRDefault="00310327">
      <w:pPr>
        <w:spacing w:before="240" w:after="240" w:line="480" w:lineRule="auto"/>
        <w:jc w:val="both"/>
        <w:rPr>
          <w:rFonts w:ascii="Arial" w:eastAsia="Arial" w:hAnsi="Arial" w:cs="Arial"/>
          <w:sz w:val="20"/>
          <w:szCs w:val="20"/>
        </w:rPr>
      </w:pPr>
    </w:p>
    <w:p w14:paraId="2AA6745B" w14:textId="77777777" w:rsidR="00310327" w:rsidRDefault="00310327">
      <w:pPr>
        <w:spacing w:before="240" w:after="240" w:line="480" w:lineRule="auto"/>
        <w:jc w:val="both"/>
        <w:rPr>
          <w:rFonts w:ascii="Arial" w:eastAsia="Arial" w:hAnsi="Arial" w:cs="Arial"/>
          <w:sz w:val="20"/>
          <w:szCs w:val="20"/>
        </w:rPr>
      </w:pPr>
    </w:p>
    <w:p w14:paraId="7FFF1F12" w14:textId="77777777" w:rsidR="00310327" w:rsidRPr="00A92E4E" w:rsidRDefault="00310327">
      <w:pPr>
        <w:spacing w:before="240" w:after="240" w:line="480" w:lineRule="auto"/>
        <w:jc w:val="both"/>
        <w:rPr>
          <w:rFonts w:ascii="Arial" w:eastAsia="Arial" w:hAnsi="Arial" w:cs="Arial"/>
          <w:sz w:val="20"/>
          <w:szCs w:val="20"/>
        </w:rPr>
      </w:pPr>
    </w:p>
    <w:p w14:paraId="43E5D588" w14:textId="77777777" w:rsidR="00310327" w:rsidRDefault="00310327" w:rsidP="00310327">
      <w:pPr>
        <w:spacing w:line="256" w:lineRule="auto"/>
        <w:jc w:val="center"/>
        <w:rPr>
          <w:rFonts w:ascii="Arial" w:eastAsia="Arial" w:hAnsi="Arial" w:cs="Arial"/>
          <w:b/>
          <w:sz w:val="20"/>
          <w:szCs w:val="20"/>
        </w:rPr>
      </w:pPr>
      <w:r>
        <w:rPr>
          <w:rFonts w:ascii="Arial" w:eastAsia="Arial" w:hAnsi="Arial" w:cs="Arial"/>
          <w:b/>
          <w:sz w:val="20"/>
          <w:szCs w:val="20"/>
        </w:rPr>
        <w:lastRenderedPageBreak/>
        <w:t>Supplementary Material. Table S1.</w:t>
      </w:r>
    </w:p>
    <w:p w14:paraId="633DA6A9" w14:textId="77777777" w:rsidR="00310327" w:rsidRDefault="00310327" w:rsidP="00310327">
      <w:pPr>
        <w:spacing w:line="256" w:lineRule="auto"/>
        <w:jc w:val="center"/>
        <w:rPr>
          <w:rFonts w:ascii="Arial" w:eastAsia="Arial" w:hAnsi="Arial" w:cs="Arial"/>
          <w:b/>
        </w:rPr>
      </w:pPr>
      <w:r>
        <w:rPr>
          <w:rFonts w:ascii="Arial" w:eastAsia="Arial" w:hAnsi="Arial" w:cs="Arial"/>
          <w:b/>
        </w:rPr>
        <w:t xml:space="preserve"> </w:t>
      </w:r>
    </w:p>
    <w:p w14:paraId="4F2F7C95" w14:textId="77777777" w:rsidR="00310327" w:rsidRDefault="00310327" w:rsidP="00310327">
      <w:pPr>
        <w:spacing w:line="256" w:lineRule="auto"/>
        <w:jc w:val="center"/>
        <w:rPr>
          <w:rFonts w:ascii="Arial" w:eastAsia="Arial" w:hAnsi="Arial" w:cs="Arial"/>
          <w:sz w:val="20"/>
          <w:szCs w:val="20"/>
        </w:rPr>
      </w:pPr>
      <w:r>
        <w:rPr>
          <w:rFonts w:ascii="Arial" w:eastAsia="Arial" w:hAnsi="Arial" w:cs="Arial"/>
          <w:sz w:val="20"/>
          <w:szCs w:val="20"/>
        </w:rPr>
        <w:t>Physiological Parameters of the Animals.</w:t>
      </w:r>
    </w:p>
    <w:p w14:paraId="6BCB3C23" w14:textId="77777777" w:rsidR="00310327" w:rsidRDefault="00310327" w:rsidP="00310327">
      <w:pPr>
        <w:spacing w:line="256" w:lineRule="auto"/>
        <w:jc w:val="center"/>
        <w:rPr>
          <w:rFonts w:ascii="Arial" w:eastAsia="Arial" w:hAnsi="Arial" w:cs="Arial"/>
          <w:sz w:val="20"/>
          <w:szCs w:val="20"/>
        </w:rPr>
      </w:pPr>
      <w:r>
        <w:rPr>
          <w:rFonts w:ascii="Arial" w:eastAsia="Arial" w:hAnsi="Arial" w:cs="Arial"/>
          <w:sz w:val="20"/>
          <w:szCs w:val="20"/>
        </w:rPr>
        <w:t xml:space="preserve"> </w:t>
      </w:r>
    </w:p>
    <w:tbl>
      <w:tblPr>
        <w:tblStyle w:val="a1"/>
        <w:tblW w:w="414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580"/>
        <w:gridCol w:w="1560"/>
      </w:tblGrid>
      <w:tr w:rsidR="00310327" w14:paraId="0F1319A2" w14:textId="77777777" w:rsidTr="00261574">
        <w:trPr>
          <w:trHeight w:val="720"/>
          <w:jc w:val="center"/>
        </w:trPr>
        <w:tc>
          <w:tcPr>
            <w:tcW w:w="2580" w:type="dxa"/>
            <w:tcBorders>
              <w:top w:val="single" w:sz="8" w:space="0" w:color="000000"/>
              <w:bottom w:val="single" w:sz="8" w:space="0" w:color="000000"/>
            </w:tcBorders>
            <w:tcMar>
              <w:top w:w="0" w:type="dxa"/>
              <w:left w:w="100" w:type="dxa"/>
              <w:bottom w:w="0" w:type="dxa"/>
              <w:right w:w="100" w:type="dxa"/>
            </w:tcMar>
          </w:tcPr>
          <w:p w14:paraId="6ECF0D03" w14:textId="77777777" w:rsidR="00310327" w:rsidRDefault="00310327" w:rsidP="00261574">
            <w:pPr>
              <w:spacing w:line="256" w:lineRule="auto"/>
              <w:jc w:val="center"/>
              <w:rPr>
                <w:rFonts w:ascii="Arial" w:eastAsia="Arial" w:hAnsi="Arial" w:cs="Arial"/>
                <w:b/>
                <w:sz w:val="20"/>
                <w:szCs w:val="20"/>
              </w:rPr>
            </w:pPr>
            <w:r>
              <w:rPr>
                <w:rFonts w:ascii="Arial" w:eastAsia="Arial" w:hAnsi="Arial" w:cs="Arial"/>
                <w:b/>
                <w:sz w:val="20"/>
                <w:szCs w:val="20"/>
              </w:rPr>
              <w:t>Variables</w:t>
            </w:r>
          </w:p>
        </w:tc>
        <w:tc>
          <w:tcPr>
            <w:tcW w:w="1560" w:type="dxa"/>
            <w:tcBorders>
              <w:top w:val="single" w:sz="8" w:space="0" w:color="000000"/>
              <w:bottom w:val="single" w:sz="8" w:space="0" w:color="000000"/>
            </w:tcBorders>
            <w:tcMar>
              <w:top w:w="0" w:type="dxa"/>
              <w:left w:w="100" w:type="dxa"/>
              <w:bottom w:w="0" w:type="dxa"/>
              <w:right w:w="100" w:type="dxa"/>
            </w:tcMar>
          </w:tcPr>
          <w:p w14:paraId="18332780" w14:textId="77777777" w:rsidR="00310327" w:rsidRDefault="00310327" w:rsidP="00261574">
            <w:pPr>
              <w:spacing w:line="256" w:lineRule="auto"/>
              <w:jc w:val="center"/>
              <w:rPr>
                <w:rFonts w:ascii="Arial" w:eastAsia="Arial" w:hAnsi="Arial" w:cs="Arial"/>
                <w:b/>
                <w:sz w:val="20"/>
                <w:szCs w:val="20"/>
              </w:rPr>
            </w:pPr>
            <w:r>
              <w:rPr>
                <w:rFonts w:ascii="Arial" w:eastAsia="Arial" w:hAnsi="Arial" w:cs="Arial"/>
                <w:b/>
                <w:sz w:val="20"/>
                <w:szCs w:val="20"/>
              </w:rPr>
              <w:t>Total</w:t>
            </w:r>
          </w:p>
          <w:p w14:paraId="7D7F1344" w14:textId="77777777" w:rsidR="00310327" w:rsidRDefault="00310327" w:rsidP="00261574">
            <w:pPr>
              <w:spacing w:line="256" w:lineRule="auto"/>
              <w:jc w:val="center"/>
              <w:rPr>
                <w:rFonts w:ascii="Arial" w:eastAsia="Arial" w:hAnsi="Arial" w:cs="Arial"/>
                <w:sz w:val="18"/>
                <w:szCs w:val="18"/>
              </w:rPr>
            </w:pPr>
            <w:r>
              <w:rPr>
                <w:rFonts w:ascii="Arial" w:eastAsia="Arial" w:hAnsi="Arial" w:cs="Arial"/>
                <w:sz w:val="18"/>
                <w:szCs w:val="18"/>
              </w:rPr>
              <w:t>med (IQR)</w:t>
            </w:r>
          </w:p>
        </w:tc>
      </w:tr>
      <w:tr w:rsidR="00310327" w14:paraId="6C4D27CB" w14:textId="77777777" w:rsidTr="00261574">
        <w:trPr>
          <w:trHeight w:val="510"/>
          <w:jc w:val="center"/>
        </w:trPr>
        <w:tc>
          <w:tcPr>
            <w:tcW w:w="2580" w:type="dxa"/>
            <w:tcMar>
              <w:top w:w="0" w:type="dxa"/>
              <w:left w:w="100" w:type="dxa"/>
              <w:bottom w:w="0" w:type="dxa"/>
              <w:right w:w="100" w:type="dxa"/>
            </w:tcMar>
          </w:tcPr>
          <w:p w14:paraId="6ACB0DFA"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SpO</w:t>
            </w:r>
            <w:r>
              <w:rPr>
                <w:rFonts w:ascii="Arial" w:eastAsia="Arial" w:hAnsi="Arial" w:cs="Arial"/>
                <w:sz w:val="20"/>
                <w:szCs w:val="20"/>
                <w:vertAlign w:val="subscript"/>
              </w:rPr>
              <w:t>2</w:t>
            </w:r>
            <w:r>
              <w:rPr>
                <w:rFonts w:ascii="Arial" w:eastAsia="Arial" w:hAnsi="Arial" w:cs="Arial"/>
                <w:sz w:val="20"/>
                <w:szCs w:val="20"/>
              </w:rPr>
              <w:t xml:space="preserve"> (%)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0AE41D85"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99.4 (0.2)</w:t>
            </w:r>
          </w:p>
        </w:tc>
      </w:tr>
      <w:tr w:rsidR="00310327" w14:paraId="02822175" w14:textId="77777777" w:rsidTr="00261574">
        <w:trPr>
          <w:trHeight w:val="420"/>
          <w:jc w:val="center"/>
        </w:trPr>
        <w:tc>
          <w:tcPr>
            <w:tcW w:w="2580" w:type="dxa"/>
            <w:tcMar>
              <w:top w:w="0" w:type="dxa"/>
              <w:left w:w="100" w:type="dxa"/>
              <w:bottom w:w="0" w:type="dxa"/>
              <w:right w:w="100" w:type="dxa"/>
            </w:tcMar>
          </w:tcPr>
          <w:p w14:paraId="66FC8497"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EtCO</w:t>
            </w:r>
            <w:r>
              <w:rPr>
                <w:rFonts w:ascii="Arial" w:eastAsia="Arial" w:hAnsi="Arial" w:cs="Arial"/>
                <w:sz w:val="20"/>
                <w:szCs w:val="20"/>
                <w:vertAlign w:val="subscript"/>
              </w:rPr>
              <w:t>2</w:t>
            </w:r>
            <w:r>
              <w:rPr>
                <w:rFonts w:ascii="Arial" w:eastAsia="Arial" w:hAnsi="Arial" w:cs="Arial"/>
                <w:sz w:val="20"/>
                <w:szCs w:val="20"/>
              </w:rPr>
              <w:t xml:space="preserve"> (mmHg)</w:t>
            </w:r>
          </w:p>
        </w:tc>
        <w:tc>
          <w:tcPr>
            <w:tcW w:w="1560" w:type="dxa"/>
            <w:tcMar>
              <w:top w:w="0" w:type="dxa"/>
              <w:left w:w="100" w:type="dxa"/>
              <w:bottom w:w="0" w:type="dxa"/>
              <w:right w:w="100" w:type="dxa"/>
            </w:tcMar>
          </w:tcPr>
          <w:p w14:paraId="007779A3"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45.5 (6.5)</w:t>
            </w:r>
          </w:p>
        </w:tc>
      </w:tr>
      <w:tr w:rsidR="00310327" w14:paraId="38134513" w14:textId="77777777" w:rsidTr="00261574">
        <w:trPr>
          <w:trHeight w:val="375"/>
          <w:jc w:val="center"/>
        </w:trPr>
        <w:tc>
          <w:tcPr>
            <w:tcW w:w="2580" w:type="dxa"/>
            <w:tcMar>
              <w:top w:w="0" w:type="dxa"/>
              <w:left w:w="100" w:type="dxa"/>
              <w:bottom w:w="0" w:type="dxa"/>
              <w:right w:w="100" w:type="dxa"/>
            </w:tcMar>
          </w:tcPr>
          <w:p w14:paraId="554A44AB"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Heart rate</w:t>
            </w:r>
          </w:p>
        </w:tc>
        <w:tc>
          <w:tcPr>
            <w:tcW w:w="1560" w:type="dxa"/>
            <w:tcMar>
              <w:top w:w="0" w:type="dxa"/>
              <w:left w:w="100" w:type="dxa"/>
              <w:bottom w:w="0" w:type="dxa"/>
              <w:right w:w="100" w:type="dxa"/>
            </w:tcMar>
          </w:tcPr>
          <w:p w14:paraId="1D393E2F"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102 (6)</w:t>
            </w:r>
          </w:p>
        </w:tc>
      </w:tr>
      <w:tr w:rsidR="00310327" w14:paraId="2F68EBC6" w14:textId="77777777" w:rsidTr="00261574">
        <w:trPr>
          <w:trHeight w:val="375"/>
          <w:jc w:val="center"/>
        </w:trPr>
        <w:tc>
          <w:tcPr>
            <w:tcW w:w="2580" w:type="dxa"/>
            <w:tcMar>
              <w:top w:w="0" w:type="dxa"/>
              <w:left w:w="100" w:type="dxa"/>
              <w:bottom w:w="0" w:type="dxa"/>
              <w:right w:w="100" w:type="dxa"/>
            </w:tcMar>
          </w:tcPr>
          <w:p w14:paraId="564DC5FD"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MAP (mmHg)</w:t>
            </w:r>
          </w:p>
        </w:tc>
        <w:tc>
          <w:tcPr>
            <w:tcW w:w="1560" w:type="dxa"/>
            <w:tcMar>
              <w:top w:w="0" w:type="dxa"/>
              <w:left w:w="100" w:type="dxa"/>
              <w:bottom w:w="0" w:type="dxa"/>
              <w:right w:w="100" w:type="dxa"/>
            </w:tcMar>
          </w:tcPr>
          <w:p w14:paraId="00B15DD2"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73 (8)</w:t>
            </w:r>
          </w:p>
        </w:tc>
      </w:tr>
      <w:tr w:rsidR="00310327" w14:paraId="25F2C749" w14:textId="77777777" w:rsidTr="00261574">
        <w:trPr>
          <w:trHeight w:val="375"/>
          <w:jc w:val="center"/>
        </w:trPr>
        <w:tc>
          <w:tcPr>
            <w:tcW w:w="2580" w:type="dxa"/>
            <w:tcMar>
              <w:top w:w="0" w:type="dxa"/>
              <w:left w:w="100" w:type="dxa"/>
              <w:bottom w:w="0" w:type="dxa"/>
              <w:right w:w="100" w:type="dxa"/>
            </w:tcMar>
          </w:tcPr>
          <w:p w14:paraId="6729E465"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Rectal T°C</w:t>
            </w:r>
          </w:p>
        </w:tc>
        <w:tc>
          <w:tcPr>
            <w:tcW w:w="1560" w:type="dxa"/>
            <w:tcMar>
              <w:top w:w="0" w:type="dxa"/>
              <w:left w:w="100" w:type="dxa"/>
              <w:bottom w:w="0" w:type="dxa"/>
              <w:right w:w="100" w:type="dxa"/>
            </w:tcMar>
          </w:tcPr>
          <w:p w14:paraId="4D2BD763"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36.7 (0.7)</w:t>
            </w:r>
          </w:p>
        </w:tc>
      </w:tr>
      <w:tr w:rsidR="00310327" w14:paraId="77236817" w14:textId="77777777" w:rsidTr="00261574">
        <w:trPr>
          <w:trHeight w:val="450"/>
          <w:jc w:val="center"/>
        </w:trPr>
        <w:tc>
          <w:tcPr>
            <w:tcW w:w="2580" w:type="dxa"/>
            <w:tcMar>
              <w:top w:w="0" w:type="dxa"/>
              <w:left w:w="100" w:type="dxa"/>
              <w:bottom w:w="0" w:type="dxa"/>
              <w:right w:w="100" w:type="dxa"/>
            </w:tcMar>
          </w:tcPr>
          <w:p w14:paraId="6DD3F895"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 xml:space="preserve">Arterial pH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77F46DC0"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7.38 (0.05)</w:t>
            </w:r>
          </w:p>
        </w:tc>
      </w:tr>
      <w:tr w:rsidR="00310327" w14:paraId="7FD038DC" w14:textId="77777777" w:rsidTr="00261574">
        <w:trPr>
          <w:trHeight w:val="510"/>
          <w:jc w:val="center"/>
        </w:trPr>
        <w:tc>
          <w:tcPr>
            <w:tcW w:w="2580" w:type="dxa"/>
            <w:tcMar>
              <w:top w:w="0" w:type="dxa"/>
              <w:left w:w="100" w:type="dxa"/>
              <w:bottom w:w="0" w:type="dxa"/>
              <w:right w:w="100" w:type="dxa"/>
            </w:tcMar>
          </w:tcPr>
          <w:p w14:paraId="245D389D"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Arterial pCO</w:t>
            </w:r>
            <w:r>
              <w:rPr>
                <w:rFonts w:ascii="Arial" w:eastAsia="Arial" w:hAnsi="Arial" w:cs="Arial"/>
                <w:sz w:val="20"/>
                <w:szCs w:val="20"/>
                <w:vertAlign w:val="subscript"/>
              </w:rPr>
              <w:t>2</w:t>
            </w:r>
            <w:r>
              <w:rPr>
                <w:rFonts w:ascii="Arial" w:eastAsia="Arial" w:hAnsi="Arial" w:cs="Arial"/>
                <w:sz w:val="20"/>
                <w:szCs w:val="20"/>
              </w:rPr>
              <w:t xml:space="preserve"> (mmHg)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2751950F"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39.75 (3.00)</w:t>
            </w:r>
          </w:p>
        </w:tc>
      </w:tr>
      <w:tr w:rsidR="00310327" w14:paraId="471F1B23" w14:textId="77777777" w:rsidTr="00261574">
        <w:trPr>
          <w:trHeight w:val="510"/>
          <w:jc w:val="center"/>
        </w:trPr>
        <w:tc>
          <w:tcPr>
            <w:tcW w:w="2580" w:type="dxa"/>
            <w:tcMar>
              <w:top w:w="0" w:type="dxa"/>
              <w:left w:w="100" w:type="dxa"/>
              <w:bottom w:w="0" w:type="dxa"/>
              <w:right w:w="100" w:type="dxa"/>
            </w:tcMar>
          </w:tcPr>
          <w:p w14:paraId="72225D02"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Arterial pO</w:t>
            </w:r>
            <w:r>
              <w:rPr>
                <w:rFonts w:ascii="Arial" w:eastAsia="Arial" w:hAnsi="Arial" w:cs="Arial"/>
                <w:sz w:val="20"/>
                <w:szCs w:val="20"/>
                <w:vertAlign w:val="subscript"/>
              </w:rPr>
              <w:t>2</w:t>
            </w:r>
            <w:r>
              <w:rPr>
                <w:rFonts w:ascii="Arial" w:eastAsia="Arial" w:hAnsi="Arial" w:cs="Arial"/>
                <w:sz w:val="20"/>
                <w:szCs w:val="20"/>
              </w:rPr>
              <w:t xml:space="preserve"> (mmHg)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2B571721"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141.70 (17.85)</w:t>
            </w:r>
          </w:p>
        </w:tc>
      </w:tr>
      <w:tr w:rsidR="00310327" w14:paraId="7E59BE1B" w14:textId="77777777" w:rsidTr="00261574">
        <w:trPr>
          <w:trHeight w:val="510"/>
          <w:jc w:val="center"/>
        </w:trPr>
        <w:tc>
          <w:tcPr>
            <w:tcW w:w="2580" w:type="dxa"/>
            <w:tcMar>
              <w:top w:w="0" w:type="dxa"/>
              <w:left w:w="100" w:type="dxa"/>
              <w:bottom w:w="0" w:type="dxa"/>
              <w:right w:w="100" w:type="dxa"/>
            </w:tcMar>
          </w:tcPr>
          <w:p w14:paraId="0F60F8DE"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HCO</w:t>
            </w:r>
            <w:r>
              <w:rPr>
                <w:rFonts w:ascii="Arial" w:eastAsia="Arial" w:hAnsi="Arial" w:cs="Arial"/>
                <w:sz w:val="20"/>
                <w:szCs w:val="20"/>
                <w:vertAlign w:val="subscript"/>
              </w:rPr>
              <w:t>3</w:t>
            </w:r>
            <w:r>
              <w:rPr>
                <w:rFonts w:ascii="Arial" w:eastAsia="Arial" w:hAnsi="Arial" w:cs="Arial"/>
                <w:sz w:val="20"/>
                <w:szCs w:val="20"/>
              </w:rPr>
              <w:t xml:space="preserve"> (mmol/L)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16380663"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22.9 (4.0)</w:t>
            </w:r>
          </w:p>
        </w:tc>
      </w:tr>
      <w:tr w:rsidR="00310327" w14:paraId="08EBDABA" w14:textId="77777777" w:rsidTr="00261574">
        <w:trPr>
          <w:trHeight w:val="450"/>
          <w:jc w:val="center"/>
        </w:trPr>
        <w:tc>
          <w:tcPr>
            <w:tcW w:w="2580" w:type="dxa"/>
            <w:tcMar>
              <w:top w:w="0" w:type="dxa"/>
              <w:left w:w="100" w:type="dxa"/>
              <w:bottom w:w="0" w:type="dxa"/>
              <w:right w:w="100" w:type="dxa"/>
            </w:tcMar>
          </w:tcPr>
          <w:p w14:paraId="53DF1036"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 xml:space="preserve">Hematocrit (%)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2F7DD1F1"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29.0 (1.5)</w:t>
            </w:r>
          </w:p>
        </w:tc>
      </w:tr>
      <w:tr w:rsidR="00310327" w14:paraId="122E6766" w14:textId="77777777" w:rsidTr="00261574">
        <w:trPr>
          <w:trHeight w:val="450"/>
          <w:jc w:val="center"/>
        </w:trPr>
        <w:tc>
          <w:tcPr>
            <w:tcW w:w="2580" w:type="dxa"/>
            <w:tcMar>
              <w:top w:w="0" w:type="dxa"/>
              <w:left w:w="100" w:type="dxa"/>
              <w:bottom w:w="0" w:type="dxa"/>
              <w:right w:w="100" w:type="dxa"/>
            </w:tcMar>
          </w:tcPr>
          <w:p w14:paraId="5B32D2AF"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 xml:space="preserve">Hemoglobin (g/dL)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47C9577E"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9.9 (0.6)</w:t>
            </w:r>
          </w:p>
        </w:tc>
      </w:tr>
      <w:tr w:rsidR="00310327" w14:paraId="06ECC217" w14:textId="77777777" w:rsidTr="00261574">
        <w:trPr>
          <w:trHeight w:val="450"/>
          <w:jc w:val="center"/>
        </w:trPr>
        <w:tc>
          <w:tcPr>
            <w:tcW w:w="2580" w:type="dxa"/>
            <w:tcMar>
              <w:top w:w="0" w:type="dxa"/>
              <w:left w:w="100" w:type="dxa"/>
              <w:bottom w:w="0" w:type="dxa"/>
              <w:right w:w="100" w:type="dxa"/>
            </w:tcMar>
          </w:tcPr>
          <w:p w14:paraId="194179BE"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Sodium (</w:t>
            </w:r>
            <w:proofErr w:type="spellStart"/>
            <w:r>
              <w:rPr>
                <w:rFonts w:ascii="Arial" w:eastAsia="Arial" w:hAnsi="Arial" w:cs="Arial"/>
                <w:sz w:val="20"/>
                <w:szCs w:val="20"/>
              </w:rPr>
              <w:t>mEq</w:t>
            </w:r>
            <w:proofErr w:type="spellEnd"/>
            <w:r>
              <w:rPr>
                <w:rFonts w:ascii="Arial" w:eastAsia="Arial" w:hAnsi="Arial" w:cs="Arial"/>
                <w:sz w:val="20"/>
                <w:szCs w:val="20"/>
              </w:rPr>
              <w:t xml:space="preserve">/L)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7FE81EA6"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132.1 (3.1)</w:t>
            </w:r>
          </w:p>
        </w:tc>
      </w:tr>
      <w:tr w:rsidR="00310327" w14:paraId="6672302D" w14:textId="77777777" w:rsidTr="00261574">
        <w:trPr>
          <w:trHeight w:val="450"/>
          <w:jc w:val="center"/>
        </w:trPr>
        <w:tc>
          <w:tcPr>
            <w:tcW w:w="2580" w:type="dxa"/>
            <w:tcMar>
              <w:top w:w="0" w:type="dxa"/>
              <w:left w:w="100" w:type="dxa"/>
              <w:bottom w:w="0" w:type="dxa"/>
              <w:right w:w="100" w:type="dxa"/>
            </w:tcMar>
          </w:tcPr>
          <w:p w14:paraId="43DEA287"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 xml:space="preserve">Potassium (mmol/L)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4F0DFB65"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4.1 (0.1)</w:t>
            </w:r>
          </w:p>
        </w:tc>
      </w:tr>
      <w:tr w:rsidR="00310327" w14:paraId="15FDC1D5" w14:textId="77777777" w:rsidTr="00261574">
        <w:trPr>
          <w:trHeight w:val="450"/>
          <w:jc w:val="center"/>
        </w:trPr>
        <w:tc>
          <w:tcPr>
            <w:tcW w:w="2580" w:type="dxa"/>
            <w:tcMar>
              <w:top w:w="0" w:type="dxa"/>
              <w:left w:w="100" w:type="dxa"/>
              <w:bottom w:w="0" w:type="dxa"/>
              <w:right w:w="100" w:type="dxa"/>
            </w:tcMar>
          </w:tcPr>
          <w:p w14:paraId="45AF0A0F"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 xml:space="preserve">Calcium (mmol/L)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6721C7E0"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1.17 (0.19)</w:t>
            </w:r>
          </w:p>
        </w:tc>
      </w:tr>
      <w:tr w:rsidR="00310327" w14:paraId="3D06521B" w14:textId="77777777" w:rsidTr="00261574">
        <w:trPr>
          <w:trHeight w:val="450"/>
          <w:jc w:val="center"/>
        </w:trPr>
        <w:tc>
          <w:tcPr>
            <w:tcW w:w="2580" w:type="dxa"/>
            <w:tcMar>
              <w:top w:w="0" w:type="dxa"/>
              <w:left w:w="100" w:type="dxa"/>
              <w:bottom w:w="0" w:type="dxa"/>
              <w:right w:w="100" w:type="dxa"/>
            </w:tcMar>
          </w:tcPr>
          <w:p w14:paraId="4301B99B"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Chlorine (</w:t>
            </w:r>
            <w:proofErr w:type="spellStart"/>
            <w:r>
              <w:rPr>
                <w:rFonts w:ascii="Arial" w:eastAsia="Arial" w:hAnsi="Arial" w:cs="Arial"/>
                <w:sz w:val="20"/>
                <w:szCs w:val="20"/>
              </w:rPr>
              <w:t>mEq</w:t>
            </w:r>
            <w:proofErr w:type="spellEnd"/>
            <w:r>
              <w:rPr>
                <w:rFonts w:ascii="Arial" w:eastAsia="Arial" w:hAnsi="Arial" w:cs="Arial"/>
                <w:sz w:val="20"/>
                <w:szCs w:val="20"/>
              </w:rPr>
              <w:t xml:space="preserve">/L)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343A561C"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106 (4)</w:t>
            </w:r>
          </w:p>
        </w:tc>
      </w:tr>
      <w:tr w:rsidR="00310327" w14:paraId="79C9DB8E" w14:textId="77777777" w:rsidTr="00261574">
        <w:trPr>
          <w:trHeight w:val="450"/>
          <w:jc w:val="center"/>
        </w:trPr>
        <w:tc>
          <w:tcPr>
            <w:tcW w:w="2580" w:type="dxa"/>
            <w:tcMar>
              <w:top w:w="0" w:type="dxa"/>
              <w:left w:w="100" w:type="dxa"/>
              <w:bottom w:w="0" w:type="dxa"/>
              <w:right w:w="100" w:type="dxa"/>
            </w:tcMar>
          </w:tcPr>
          <w:p w14:paraId="368898CC"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 xml:space="preserve">Glucose (mg/dL) </w:t>
            </w:r>
            <w:r>
              <w:rPr>
                <w:rFonts w:ascii="Arial" w:eastAsia="Arial" w:hAnsi="Arial" w:cs="Arial"/>
                <w:sz w:val="20"/>
                <w:szCs w:val="20"/>
                <w:vertAlign w:val="superscript"/>
              </w:rPr>
              <w:t>§</w:t>
            </w:r>
          </w:p>
        </w:tc>
        <w:tc>
          <w:tcPr>
            <w:tcW w:w="1560" w:type="dxa"/>
            <w:tcMar>
              <w:top w:w="0" w:type="dxa"/>
              <w:left w:w="100" w:type="dxa"/>
              <w:bottom w:w="0" w:type="dxa"/>
              <w:right w:w="100" w:type="dxa"/>
            </w:tcMar>
          </w:tcPr>
          <w:p w14:paraId="315A8C6C"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74 (30)</w:t>
            </w:r>
          </w:p>
        </w:tc>
      </w:tr>
      <w:tr w:rsidR="00310327" w14:paraId="01E5A318" w14:textId="77777777" w:rsidTr="00261574">
        <w:trPr>
          <w:trHeight w:val="450"/>
          <w:jc w:val="center"/>
        </w:trPr>
        <w:tc>
          <w:tcPr>
            <w:tcW w:w="2580" w:type="dxa"/>
            <w:tcBorders>
              <w:bottom w:val="single" w:sz="8" w:space="0" w:color="000000"/>
            </w:tcBorders>
            <w:tcMar>
              <w:top w:w="0" w:type="dxa"/>
              <w:left w:w="100" w:type="dxa"/>
              <w:bottom w:w="0" w:type="dxa"/>
              <w:right w:w="100" w:type="dxa"/>
            </w:tcMar>
          </w:tcPr>
          <w:p w14:paraId="4FF8CBFF" w14:textId="77777777" w:rsidR="00310327" w:rsidRDefault="00310327" w:rsidP="00261574">
            <w:pPr>
              <w:spacing w:line="256" w:lineRule="auto"/>
              <w:jc w:val="center"/>
              <w:rPr>
                <w:rFonts w:ascii="Arial" w:eastAsia="Arial" w:hAnsi="Arial" w:cs="Arial"/>
                <w:sz w:val="20"/>
                <w:szCs w:val="20"/>
                <w:vertAlign w:val="superscript"/>
              </w:rPr>
            </w:pPr>
            <w:r>
              <w:rPr>
                <w:rFonts w:ascii="Arial" w:eastAsia="Arial" w:hAnsi="Arial" w:cs="Arial"/>
                <w:sz w:val="20"/>
                <w:szCs w:val="20"/>
              </w:rPr>
              <w:t xml:space="preserve">Lactate (mmol/L) </w:t>
            </w:r>
            <w:r>
              <w:rPr>
                <w:rFonts w:ascii="Arial" w:eastAsia="Arial" w:hAnsi="Arial" w:cs="Arial"/>
                <w:sz w:val="20"/>
                <w:szCs w:val="20"/>
                <w:vertAlign w:val="superscript"/>
              </w:rPr>
              <w:t>§</w:t>
            </w:r>
          </w:p>
        </w:tc>
        <w:tc>
          <w:tcPr>
            <w:tcW w:w="1560" w:type="dxa"/>
            <w:tcBorders>
              <w:bottom w:val="single" w:sz="8" w:space="0" w:color="000000"/>
            </w:tcBorders>
            <w:tcMar>
              <w:top w:w="0" w:type="dxa"/>
              <w:left w:w="100" w:type="dxa"/>
              <w:bottom w:w="0" w:type="dxa"/>
              <w:right w:w="100" w:type="dxa"/>
            </w:tcMar>
          </w:tcPr>
          <w:p w14:paraId="16B6E7C1" w14:textId="77777777" w:rsidR="00310327" w:rsidRDefault="00310327" w:rsidP="00261574">
            <w:pPr>
              <w:spacing w:line="256" w:lineRule="auto"/>
              <w:jc w:val="center"/>
              <w:rPr>
                <w:rFonts w:ascii="Arial" w:eastAsia="Arial" w:hAnsi="Arial" w:cs="Arial"/>
                <w:sz w:val="20"/>
                <w:szCs w:val="20"/>
              </w:rPr>
            </w:pPr>
            <w:r>
              <w:rPr>
                <w:rFonts w:ascii="Arial" w:eastAsia="Arial" w:hAnsi="Arial" w:cs="Arial"/>
                <w:sz w:val="20"/>
                <w:szCs w:val="20"/>
              </w:rPr>
              <w:t>0.98 (0.43)</w:t>
            </w:r>
          </w:p>
        </w:tc>
      </w:tr>
    </w:tbl>
    <w:p w14:paraId="61AE8A3C" w14:textId="77777777" w:rsidR="00310327" w:rsidRDefault="00310327" w:rsidP="00310327">
      <w:pPr>
        <w:spacing w:before="120" w:after="120" w:line="360" w:lineRule="auto"/>
        <w:jc w:val="both"/>
        <w:rPr>
          <w:rFonts w:ascii="Arial" w:eastAsia="Arial" w:hAnsi="Arial" w:cs="Arial"/>
          <w:sz w:val="18"/>
          <w:szCs w:val="18"/>
        </w:rPr>
      </w:pPr>
      <w:r>
        <w:rPr>
          <w:rFonts w:ascii="Arial" w:eastAsia="Arial" w:hAnsi="Arial" w:cs="Arial"/>
          <w:sz w:val="18"/>
          <w:szCs w:val="18"/>
        </w:rPr>
        <w:t xml:space="preserve">§ Values obtained between 34 and 153 minutes after the experiment under the same physiological conditions. </w:t>
      </w:r>
      <w:r>
        <w:rPr>
          <w:rFonts w:ascii="Arial" w:eastAsia="Arial" w:hAnsi="Arial" w:cs="Arial"/>
          <w:b/>
          <w:sz w:val="18"/>
          <w:szCs w:val="18"/>
        </w:rPr>
        <w:t>Abbreviations:</w:t>
      </w:r>
      <w:r>
        <w:rPr>
          <w:rFonts w:ascii="Arial" w:eastAsia="Arial" w:hAnsi="Arial" w:cs="Arial"/>
          <w:sz w:val="18"/>
          <w:szCs w:val="18"/>
        </w:rPr>
        <w:t xml:space="preserve"> peripheral capillary oxygen saturation, SpO</w:t>
      </w:r>
      <w:r>
        <w:rPr>
          <w:rFonts w:ascii="Arial" w:eastAsia="Arial" w:hAnsi="Arial" w:cs="Arial"/>
          <w:sz w:val="18"/>
          <w:szCs w:val="18"/>
          <w:vertAlign w:val="subscript"/>
        </w:rPr>
        <w:t>2</w:t>
      </w:r>
      <w:r>
        <w:rPr>
          <w:rFonts w:ascii="Arial" w:eastAsia="Arial" w:hAnsi="Arial" w:cs="Arial"/>
          <w:sz w:val="18"/>
          <w:szCs w:val="18"/>
        </w:rPr>
        <w:t>; end-tidal CO</w:t>
      </w:r>
      <w:r>
        <w:rPr>
          <w:rFonts w:ascii="Arial" w:eastAsia="Arial" w:hAnsi="Arial" w:cs="Arial"/>
          <w:sz w:val="18"/>
          <w:szCs w:val="18"/>
          <w:vertAlign w:val="subscript"/>
        </w:rPr>
        <w:t>2</w:t>
      </w:r>
      <w:r>
        <w:rPr>
          <w:rFonts w:ascii="Arial" w:eastAsia="Arial" w:hAnsi="Arial" w:cs="Arial"/>
          <w:sz w:val="18"/>
          <w:szCs w:val="18"/>
        </w:rPr>
        <w:t>, EtCO</w:t>
      </w:r>
      <w:r>
        <w:rPr>
          <w:rFonts w:ascii="Arial" w:eastAsia="Arial" w:hAnsi="Arial" w:cs="Arial"/>
          <w:sz w:val="18"/>
          <w:szCs w:val="18"/>
          <w:vertAlign w:val="subscript"/>
        </w:rPr>
        <w:t>2</w:t>
      </w:r>
      <w:r>
        <w:rPr>
          <w:rFonts w:ascii="Arial" w:eastAsia="Arial" w:hAnsi="Arial" w:cs="Arial"/>
          <w:sz w:val="18"/>
          <w:szCs w:val="18"/>
        </w:rPr>
        <w:t>; mean arterial pressure, MAP; partial pressure of carbon dioxide, pCO</w:t>
      </w:r>
      <w:r>
        <w:rPr>
          <w:rFonts w:ascii="Arial" w:eastAsia="Arial" w:hAnsi="Arial" w:cs="Arial"/>
          <w:sz w:val="18"/>
          <w:szCs w:val="18"/>
          <w:vertAlign w:val="subscript"/>
        </w:rPr>
        <w:t>2</w:t>
      </w:r>
      <w:r>
        <w:rPr>
          <w:rFonts w:ascii="Arial" w:eastAsia="Arial" w:hAnsi="Arial" w:cs="Arial"/>
          <w:sz w:val="18"/>
          <w:szCs w:val="18"/>
        </w:rPr>
        <w:t>; partial pressure of oxygen, pO</w:t>
      </w:r>
      <w:r>
        <w:rPr>
          <w:rFonts w:ascii="Arial" w:eastAsia="Arial" w:hAnsi="Arial" w:cs="Arial"/>
          <w:sz w:val="18"/>
          <w:szCs w:val="18"/>
          <w:vertAlign w:val="subscript"/>
        </w:rPr>
        <w:t>2</w:t>
      </w:r>
      <w:r>
        <w:rPr>
          <w:rFonts w:ascii="Arial" w:eastAsia="Arial" w:hAnsi="Arial" w:cs="Arial"/>
          <w:sz w:val="18"/>
          <w:szCs w:val="18"/>
        </w:rPr>
        <w:t>; median, med; interquartile range, IQR.</w:t>
      </w:r>
    </w:p>
    <w:p w14:paraId="60C4D4FE" w14:textId="1F6FCFC2" w:rsidR="00BF5E19" w:rsidRDefault="00C319AE" w:rsidP="00310327">
      <w:pPr>
        <w:rPr>
          <w:rFonts w:ascii="Arial" w:eastAsia="Arial" w:hAnsi="Arial" w:cs="Arial"/>
          <w:sz w:val="20"/>
          <w:szCs w:val="20"/>
        </w:rPr>
      </w:pPr>
      <w:r>
        <w:rPr>
          <w:rFonts w:ascii="Arial" w:eastAsia="Arial" w:hAnsi="Arial" w:cs="Arial"/>
          <w:sz w:val="20"/>
          <w:szCs w:val="20"/>
          <w:highlight w:val="yellow"/>
        </w:rPr>
        <w:br w:type="page"/>
      </w:r>
    </w:p>
    <w:p w14:paraId="67EA48DC" w14:textId="129E308B" w:rsidR="002F778A" w:rsidRDefault="002F778A" w:rsidP="00310327">
      <w:pPr>
        <w:rPr>
          <w:rFonts w:ascii="Arial" w:eastAsia="Arial" w:hAnsi="Arial" w:cs="Arial"/>
          <w:sz w:val="20"/>
          <w:szCs w:val="20"/>
        </w:rPr>
      </w:pPr>
      <w:r>
        <w:rPr>
          <w:noProof/>
        </w:rPr>
        <w:lastRenderedPageBreak/>
        <w:drawing>
          <wp:inline distT="114300" distB="114300" distL="114300" distR="114300" wp14:anchorId="59B8FF50" wp14:editId="719B8374">
            <wp:extent cx="5612130" cy="6921500"/>
            <wp:effectExtent l="0" t="0" r="127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612130" cy="6921500"/>
                    </a:xfrm>
                    <a:prstGeom prst="rect">
                      <a:avLst/>
                    </a:prstGeom>
                    <a:ln/>
                  </pic:spPr>
                </pic:pic>
              </a:graphicData>
            </a:graphic>
          </wp:inline>
        </w:drawing>
      </w:r>
    </w:p>
    <w:p w14:paraId="56164BA8" w14:textId="77777777" w:rsidR="002F778A" w:rsidRDefault="002F778A" w:rsidP="002F778A">
      <w:pPr>
        <w:spacing w:line="480" w:lineRule="auto"/>
        <w:jc w:val="both"/>
        <w:rPr>
          <w:rFonts w:ascii="Arial" w:eastAsia="Arial" w:hAnsi="Arial" w:cs="Arial"/>
          <w:sz w:val="20"/>
          <w:szCs w:val="20"/>
        </w:rPr>
      </w:pPr>
      <w:r w:rsidRPr="00A92E4E">
        <w:rPr>
          <w:rFonts w:ascii="Arial" w:eastAsia="Arial" w:hAnsi="Arial" w:cs="Arial"/>
          <w:b/>
          <w:sz w:val="20"/>
          <w:szCs w:val="20"/>
        </w:rPr>
        <w:t>Supplementary Figure 1. (a)</w:t>
      </w:r>
      <w:r w:rsidRPr="00A92E4E">
        <w:rPr>
          <w:rFonts w:ascii="Arial" w:eastAsia="Arial" w:hAnsi="Arial" w:cs="Arial"/>
          <w:sz w:val="20"/>
          <w:szCs w:val="20"/>
        </w:rPr>
        <w:t xml:space="preserve"> Photoacoustic imaging (PAI) linear spectral unmixing estimation of regional cerebral oxygen saturation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xml:space="preserve">%) at different depths within the gray matter of cerebral pig cortex. </w:t>
      </w:r>
      <w:r w:rsidRPr="00A92E4E">
        <w:rPr>
          <w:rFonts w:ascii="Arial" w:eastAsia="Arial" w:hAnsi="Arial" w:cs="Arial"/>
          <w:b/>
          <w:sz w:val="20"/>
          <w:szCs w:val="20"/>
        </w:rPr>
        <w:t>(b) &amp; (c)</w:t>
      </w:r>
      <w:r w:rsidRPr="00A92E4E">
        <w:rPr>
          <w:rFonts w:ascii="Arial" w:eastAsia="Arial" w:hAnsi="Arial" w:cs="Arial"/>
          <w:sz w:val="20"/>
          <w:szCs w:val="20"/>
        </w:rPr>
        <w:t xml:space="preserve"> Electrocorticographic (ECoG) (raw data and filtered signal) and PAI recordings were obtained to provide representative data of spreading depolarization (SD) development after the direct </w:t>
      </w:r>
      <w:r w:rsidRPr="00A92E4E">
        <w:rPr>
          <w:rFonts w:ascii="Arial" w:eastAsia="Arial" w:hAnsi="Arial" w:cs="Arial"/>
          <w:sz w:val="20"/>
          <w:szCs w:val="20"/>
        </w:rPr>
        <w:lastRenderedPageBreak/>
        <w:t>application of KCl.</w:t>
      </w:r>
      <w:r>
        <w:rPr>
          <w:rFonts w:ascii="Arial" w:eastAsia="Arial" w:hAnsi="Arial" w:cs="Arial"/>
          <w:sz w:val="20"/>
          <w:szCs w:val="20"/>
        </w:rPr>
        <w:t xml:space="preserve"> PAI signals correspond to ROIs in respective colors in (a)</w:t>
      </w:r>
      <w:r w:rsidRPr="00A92E4E">
        <w:rPr>
          <w:rFonts w:ascii="Arial" w:eastAsia="Arial" w:hAnsi="Arial" w:cs="Arial"/>
          <w:sz w:val="20"/>
          <w:szCs w:val="20"/>
        </w:rPr>
        <w:t xml:space="preserve"> </w:t>
      </w:r>
      <w:r w:rsidRPr="00A92E4E">
        <w:rPr>
          <w:rFonts w:ascii="Arial" w:eastAsia="Arial" w:hAnsi="Arial" w:cs="Arial"/>
          <w:b/>
          <w:sz w:val="20"/>
          <w:szCs w:val="20"/>
        </w:rPr>
        <w:t>(d)</w:t>
      </w:r>
      <w:r w:rsidRPr="00A92E4E">
        <w:rPr>
          <w:rFonts w:ascii="Arial" w:eastAsia="Arial" w:hAnsi="Arial" w:cs="Arial"/>
          <w:sz w:val="20"/>
          <w:szCs w:val="20"/>
        </w:rPr>
        <w:t xml:space="preserve"> SD wave components were identified through PAI, which measures the changes in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over time. Component II, also referred to as initial hypoxia, exhibits a baseline reduction preceding any hyperoxic phase or a decrease that occurs during a peak hyperoxia. Subsequently, Component III (peak hyperoxia) displays a predominant baseline elevation lasting under 3 minutes. Component IV (late hyperoxia) represents a sustained baseline elevation extending beyond 3 or a slowing of the descent phase following peak hyperoxia. Lastly, Component V (post SD hypoxia) features a baseline decline persisting for over 3 minutes.</w:t>
      </w:r>
    </w:p>
    <w:p w14:paraId="6ED45243" w14:textId="77777777" w:rsidR="002F778A" w:rsidRDefault="002F778A" w:rsidP="00310327">
      <w:pPr>
        <w:rPr>
          <w:rFonts w:ascii="Arial" w:eastAsia="Arial" w:hAnsi="Arial" w:cs="Arial"/>
          <w:sz w:val="20"/>
          <w:szCs w:val="20"/>
        </w:rPr>
      </w:pPr>
    </w:p>
    <w:p w14:paraId="7A2C07CF" w14:textId="3E09F272" w:rsidR="00BF5E19" w:rsidRDefault="00000000">
      <w:pPr>
        <w:spacing w:line="256" w:lineRule="auto"/>
        <w:jc w:val="both"/>
      </w:pPr>
      <w:r>
        <w:lastRenderedPageBreak/>
        <w:t xml:space="preserve"> </w:t>
      </w:r>
      <w:r w:rsidR="00310327">
        <w:rPr>
          <w:rFonts w:ascii="Arial" w:eastAsia="Arial" w:hAnsi="Arial" w:cs="Arial"/>
          <w:noProof/>
          <w:sz w:val="20"/>
          <w:szCs w:val="20"/>
        </w:rPr>
        <w:drawing>
          <wp:inline distT="114300" distB="114300" distL="114300" distR="114300" wp14:anchorId="1EA6D0B7" wp14:editId="00A1B308">
            <wp:extent cx="3844750" cy="5800725"/>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r="2264"/>
                    <a:stretch>
                      <a:fillRect/>
                    </a:stretch>
                  </pic:blipFill>
                  <pic:spPr>
                    <a:xfrm>
                      <a:off x="0" y="0"/>
                      <a:ext cx="3844750" cy="5800725"/>
                    </a:xfrm>
                    <a:prstGeom prst="rect">
                      <a:avLst/>
                    </a:prstGeom>
                    <a:ln/>
                  </pic:spPr>
                </pic:pic>
              </a:graphicData>
            </a:graphic>
          </wp:inline>
        </w:drawing>
      </w:r>
    </w:p>
    <w:p w14:paraId="5FA6D1F7" w14:textId="68626170" w:rsidR="00A92E4E" w:rsidRPr="00A92E4E" w:rsidRDefault="00A92E4E" w:rsidP="00A92E4E">
      <w:pPr>
        <w:spacing w:line="480" w:lineRule="auto"/>
        <w:jc w:val="both"/>
        <w:rPr>
          <w:rFonts w:ascii="Arial" w:eastAsia="Arial" w:hAnsi="Arial" w:cs="Arial"/>
          <w:sz w:val="20"/>
          <w:szCs w:val="20"/>
        </w:rPr>
      </w:pPr>
      <w:r w:rsidRPr="00A92E4E">
        <w:rPr>
          <w:rFonts w:ascii="Arial" w:eastAsia="Arial" w:hAnsi="Arial" w:cs="Arial"/>
          <w:b/>
          <w:sz w:val="20"/>
          <w:szCs w:val="20"/>
        </w:rPr>
        <w:t xml:space="preserve">Supplementary Figure 2. </w:t>
      </w:r>
      <w:r w:rsidRPr="00A92E4E">
        <w:rPr>
          <w:rFonts w:ascii="Arial" w:eastAsia="Arial" w:hAnsi="Arial" w:cs="Arial"/>
          <w:sz w:val="20"/>
          <w:szCs w:val="20"/>
        </w:rPr>
        <w:t>This figure displays the 12 most commonly observed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responses. The morphologies are categorized by response type and segmented into components: I (brief hyperoxia), II (initial hypoxia), III (peak hyperoxia), IV (late hyperoxia), and V (post-SD hypoxia). The color-coding differentiates between hyperoxic responses (Type A, red), mixed responses (Type B, yellow) and hypoxic responses (Type C, blue). The percentage displayed to the right of each plot indicates the proportion of total responses in which the respective morphology was observed.</w:t>
      </w:r>
    </w:p>
    <w:p w14:paraId="33A923AF" w14:textId="77777777" w:rsidR="00A92E4E" w:rsidRDefault="00A92E4E">
      <w:pPr>
        <w:spacing w:line="256" w:lineRule="auto"/>
        <w:jc w:val="both"/>
      </w:pPr>
    </w:p>
    <w:p w14:paraId="1C5BE259" w14:textId="6C1480CD" w:rsidR="00A92E4E" w:rsidRPr="00310327" w:rsidRDefault="00000000" w:rsidP="00310327">
      <w:pPr>
        <w:spacing w:line="256" w:lineRule="auto"/>
        <w:jc w:val="both"/>
      </w:pPr>
      <w:r>
        <w:t xml:space="preserve"> </w:t>
      </w:r>
    </w:p>
    <w:p w14:paraId="33325198" w14:textId="691316BB" w:rsidR="00A92E4E" w:rsidRPr="00A92E4E" w:rsidRDefault="00A92E4E" w:rsidP="00A92E4E">
      <w:pPr>
        <w:spacing w:line="480" w:lineRule="auto"/>
        <w:jc w:val="both"/>
        <w:rPr>
          <w:rFonts w:ascii="Arial" w:eastAsia="Arial" w:hAnsi="Arial" w:cs="Arial"/>
          <w:sz w:val="20"/>
          <w:szCs w:val="20"/>
        </w:rPr>
      </w:pPr>
      <w:r w:rsidRPr="00A92E4E">
        <w:rPr>
          <w:rFonts w:ascii="Arial" w:eastAsia="Arial" w:hAnsi="Arial" w:cs="Arial"/>
          <w:b/>
          <w:sz w:val="20"/>
          <w:szCs w:val="20"/>
        </w:rPr>
        <w:lastRenderedPageBreak/>
        <w:t>Supplementary Video 1.</w:t>
      </w:r>
      <w:r w:rsidRPr="00A92E4E">
        <w:rPr>
          <w:rFonts w:ascii="Arial" w:eastAsia="Arial" w:hAnsi="Arial" w:cs="Arial"/>
          <w:sz w:val="20"/>
          <w:szCs w:val="20"/>
        </w:rPr>
        <w:t xml:space="preserve"> This video provides a dynamic visualization of raw data capturing a spreading depolarization (SD) wave as observed through Photoacoustic Imaging (PAI). It displays temporal changes in regional cerebral oxygen saturation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across nine selected Regions of Interest (ROIs) within the cerebral cortex. Each ROI is depicted as a separate graph line, demonstrating its unique baseline r</w:t>
      </w:r>
      <w:r w:rsidRPr="00A92E4E">
        <w:rPr>
          <w:rFonts w:ascii="Arial" w:eastAsia="Arial" w:hAnsi="Arial" w:cs="Arial"/>
          <w:sz w:val="20"/>
          <w:szCs w:val="20"/>
          <w:vertAlign w:val="subscript"/>
        </w:rPr>
        <w:t>c</w:t>
      </w:r>
      <w:r w:rsidRPr="00A92E4E">
        <w:rPr>
          <w:rFonts w:ascii="Arial" w:eastAsia="Arial" w:hAnsi="Arial" w:cs="Arial"/>
          <w:sz w:val="20"/>
          <w:szCs w:val="20"/>
        </w:rPr>
        <w:t>SO</w:t>
      </w:r>
      <w:r w:rsidRPr="00A92E4E">
        <w:rPr>
          <w:rFonts w:ascii="Arial" w:eastAsia="Arial" w:hAnsi="Arial" w:cs="Arial"/>
          <w:sz w:val="20"/>
          <w:szCs w:val="20"/>
          <w:vertAlign w:val="subscript"/>
        </w:rPr>
        <w:t>2</w:t>
      </w:r>
      <w:r w:rsidRPr="00A92E4E">
        <w:rPr>
          <w:rFonts w:ascii="Arial" w:eastAsia="Arial" w:hAnsi="Arial" w:cs="Arial"/>
          <w:sz w:val="20"/>
          <w:szCs w:val="20"/>
        </w:rPr>
        <w:t>% value on the y-axis against the progression of time on the x-axis. This visualization allows for the examination of the heterogeneity and temporal dynamics of the SD wave impact on cerebral oxygenation at various cortical depths.</w:t>
      </w:r>
    </w:p>
    <w:p w14:paraId="4A3722E1" w14:textId="77777777" w:rsidR="00A92E4E" w:rsidRDefault="00A92E4E">
      <w:pPr>
        <w:spacing w:line="480" w:lineRule="auto"/>
        <w:jc w:val="both"/>
        <w:rPr>
          <w:rFonts w:ascii="Arial" w:eastAsia="Arial" w:hAnsi="Arial" w:cs="Arial"/>
          <w:sz w:val="20"/>
          <w:szCs w:val="20"/>
          <w:highlight w:val="yellow"/>
        </w:rPr>
      </w:pPr>
    </w:p>
    <w:sectPr w:rsidR="00A92E4E">
      <w:footerReference w:type="even" r:id="rId9"/>
      <w:footerReference w:type="default" r:id="rId10"/>
      <w:pgSz w:w="12240" w:h="15840"/>
      <w:pgMar w:top="1417" w:right="1701" w:bottom="1417" w:left="1701"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C3227" w14:textId="77777777" w:rsidR="007C618B" w:rsidRDefault="007C618B">
      <w:pPr>
        <w:spacing w:after="0" w:line="240" w:lineRule="auto"/>
      </w:pPr>
      <w:r>
        <w:separator/>
      </w:r>
    </w:p>
  </w:endnote>
  <w:endnote w:type="continuationSeparator" w:id="0">
    <w:p w14:paraId="7D929C63" w14:textId="77777777" w:rsidR="007C618B" w:rsidRDefault="007C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F217" w14:textId="77777777" w:rsidR="00BF5E19"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60867CC" w14:textId="77777777" w:rsidR="00BF5E19" w:rsidRDefault="00BF5E19">
    <w:pPr>
      <w:pBdr>
        <w:top w:val="nil"/>
        <w:left w:val="nil"/>
        <w:bottom w:val="nil"/>
        <w:right w:val="nil"/>
        <w:between w:val="nil"/>
      </w:pBdr>
      <w:tabs>
        <w:tab w:val="center" w:pos="4536"/>
        <w:tab w:val="right" w:pos="9072"/>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B79F" w14:textId="77777777" w:rsidR="00BF5E19"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71061">
      <w:rPr>
        <w:noProof/>
        <w:color w:val="000000"/>
      </w:rPr>
      <w:t>1</w:t>
    </w:r>
    <w:r>
      <w:rPr>
        <w:color w:val="000000"/>
      </w:rPr>
      <w:fldChar w:fldCharType="end"/>
    </w:r>
  </w:p>
  <w:p w14:paraId="47812AB3" w14:textId="77777777" w:rsidR="00BF5E19" w:rsidRDefault="00BF5E19">
    <w:pPr>
      <w:pBdr>
        <w:top w:val="nil"/>
        <w:left w:val="nil"/>
        <w:bottom w:val="nil"/>
        <w:right w:val="nil"/>
        <w:between w:val="nil"/>
      </w:pBdr>
      <w:tabs>
        <w:tab w:val="center" w:pos="4536"/>
        <w:tab w:val="right" w:pos="9072"/>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2D480" w14:textId="77777777" w:rsidR="007C618B" w:rsidRDefault="007C618B">
      <w:pPr>
        <w:spacing w:after="0" w:line="240" w:lineRule="auto"/>
      </w:pPr>
      <w:r>
        <w:separator/>
      </w:r>
    </w:p>
  </w:footnote>
  <w:footnote w:type="continuationSeparator" w:id="0">
    <w:p w14:paraId="6A8AE253" w14:textId="77777777" w:rsidR="007C618B" w:rsidRDefault="007C6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60A5"/>
    <w:multiLevelType w:val="multilevel"/>
    <w:tmpl w:val="B59A4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6E472D"/>
    <w:multiLevelType w:val="multilevel"/>
    <w:tmpl w:val="B2A25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BB97707"/>
    <w:multiLevelType w:val="multilevel"/>
    <w:tmpl w:val="190A1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494753">
    <w:abstractNumId w:val="2"/>
  </w:num>
  <w:num w:numId="2" w16cid:durableId="1783529197">
    <w:abstractNumId w:val="1"/>
  </w:num>
  <w:num w:numId="3" w16cid:durableId="472991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19"/>
    <w:rsid w:val="00066151"/>
    <w:rsid w:val="000D1469"/>
    <w:rsid w:val="000E0298"/>
    <w:rsid w:val="00171061"/>
    <w:rsid w:val="0017302E"/>
    <w:rsid w:val="001A7E39"/>
    <w:rsid w:val="001B3F41"/>
    <w:rsid w:val="001F4588"/>
    <w:rsid w:val="002B32D1"/>
    <w:rsid w:val="002F778A"/>
    <w:rsid w:val="00310327"/>
    <w:rsid w:val="00346B9E"/>
    <w:rsid w:val="00361CDC"/>
    <w:rsid w:val="00471DE5"/>
    <w:rsid w:val="004A65B5"/>
    <w:rsid w:val="0059509D"/>
    <w:rsid w:val="0067732C"/>
    <w:rsid w:val="006B5954"/>
    <w:rsid w:val="006C0A63"/>
    <w:rsid w:val="007C618B"/>
    <w:rsid w:val="007E3ED0"/>
    <w:rsid w:val="007F3D92"/>
    <w:rsid w:val="008F7E38"/>
    <w:rsid w:val="00900632"/>
    <w:rsid w:val="00950C84"/>
    <w:rsid w:val="009913ED"/>
    <w:rsid w:val="009C7607"/>
    <w:rsid w:val="00A36563"/>
    <w:rsid w:val="00A92E4E"/>
    <w:rsid w:val="00AF2670"/>
    <w:rsid w:val="00AF6329"/>
    <w:rsid w:val="00BB532F"/>
    <w:rsid w:val="00BF5E19"/>
    <w:rsid w:val="00C118EB"/>
    <w:rsid w:val="00C319AE"/>
    <w:rsid w:val="00C53E03"/>
    <w:rsid w:val="00CC2A9F"/>
    <w:rsid w:val="00D10E79"/>
    <w:rsid w:val="00D75760"/>
    <w:rsid w:val="00DB7832"/>
    <w:rsid w:val="00EF3D82"/>
    <w:rsid w:val="00FF05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1F3F8C3"/>
  <w15:docId w15:val="{FFB3B39D-3A3F-C844-BEA7-501B2FFC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Nmerodelnea">
    <w:name w:val="line number"/>
    <w:basedOn w:val="Fuentedeprrafopredeter"/>
    <w:uiPriority w:val="99"/>
    <w:semiHidden/>
    <w:unhideWhenUsed/>
    <w:rsid w:val="00171061"/>
  </w:style>
  <w:style w:type="paragraph" w:styleId="Revisin">
    <w:name w:val="Revision"/>
    <w:hidden/>
    <w:uiPriority w:val="99"/>
    <w:semiHidden/>
    <w:rsid w:val="00171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0072">
      <w:bodyDiv w:val="1"/>
      <w:marLeft w:val="0"/>
      <w:marRight w:val="0"/>
      <w:marTop w:val="0"/>
      <w:marBottom w:val="0"/>
      <w:divBdr>
        <w:top w:val="none" w:sz="0" w:space="0" w:color="auto"/>
        <w:left w:val="none" w:sz="0" w:space="0" w:color="auto"/>
        <w:bottom w:val="none" w:sz="0" w:space="0" w:color="auto"/>
        <w:right w:val="none" w:sz="0" w:space="0" w:color="auto"/>
      </w:divBdr>
      <w:divsChild>
        <w:div w:id="820852819">
          <w:marLeft w:val="0"/>
          <w:marRight w:val="0"/>
          <w:marTop w:val="0"/>
          <w:marBottom w:val="0"/>
          <w:divBdr>
            <w:top w:val="single" w:sz="2" w:space="0" w:color="D9D9E3"/>
            <w:left w:val="single" w:sz="2" w:space="0" w:color="D9D9E3"/>
            <w:bottom w:val="single" w:sz="2" w:space="0" w:color="D9D9E3"/>
            <w:right w:val="single" w:sz="2" w:space="0" w:color="D9D9E3"/>
          </w:divBdr>
          <w:divsChild>
            <w:div w:id="1248420201">
              <w:marLeft w:val="0"/>
              <w:marRight w:val="0"/>
              <w:marTop w:val="0"/>
              <w:marBottom w:val="0"/>
              <w:divBdr>
                <w:top w:val="single" w:sz="2" w:space="0" w:color="D9D9E3"/>
                <w:left w:val="single" w:sz="2" w:space="0" w:color="D9D9E3"/>
                <w:bottom w:val="single" w:sz="2" w:space="0" w:color="D9D9E3"/>
                <w:right w:val="single" w:sz="2" w:space="0" w:color="D9D9E3"/>
              </w:divBdr>
              <w:divsChild>
                <w:div w:id="1175725938">
                  <w:marLeft w:val="0"/>
                  <w:marRight w:val="0"/>
                  <w:marTop w:val="0"/>
                  <w:marBottom w:val="0"/>
                  <w:divBdr>
                    <w:top w:val="single" w:sz="2" w:space="0" w:color="D9D9E3"/>
                    <w:left w:val="single" w:sz="2" w:space="0" w:color="D9D9E3"/>
                    <w:bottom w:val="single" w:sz="2" w:space="0" w:color="D9D9E3"/>
                    <w:right w:val="single" w:sz="2" w:space="0" w:color="D9D9E3"/>
                  </w:divBdr>
                  <w:divsChild>
                    <w:div w:id="1819153234">
                      <w:marLeft w:val="0"/>
                      <w:marRight w:val="0"/>
                      <w:marTop w:val="0"/>
                      <w:marBottom w:val="0"/>
                      <w:divBdr>
                        <w:top w:val="single" w:sz="2" w:space="0" w:color="D9D9E3"/>
                        <w:left w:val="single" w:sz="2" w:space="0" w:color="D9D9E3"/>
                        <w:bottom w:val="single" w:sz="2" w:space="0" w:color="D9D9E3"/>
                        <w:right w:val="single" w:sz="2" w:space="0" w:color="D9D9E3"/>
                      </w:divBdr>
                      <w:divsChild>
                        <w:div w:id="1011838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56442074">
          <w:marLeft w:val="0"/>
          <w:marRight w:val="0"/>
          <w:marTop w:val="0"/>
          <w:marBottom w:val="0"/>
          <w:divBdr>
            <w:top w:val="single" w:sz="2" w:space="0" w:color="D9D9E3"/>
            <w:left w:val="single" w:sz="2" w:space="0" w:color="D9D9E3"/>
            <w:bottom w:val="single" w:sz="2" w:space="0" w:color="D9D9E3"/>
            <w:right w:val="single" w:sz="2" w:space="0" w:color="D9D9E3"/>
          </w:divBdr>
          <w:divsChild>
            <w:div w:id="1137332753">
              <w:marLeft w:val="0"/>
              <w:marRight w:val="0"/>
              <w:marTop w:val="0"/>
              <w:marBottom w:val="0"/>
              <w:divBdr>
                <w:top w:val="single" w:sz="2" w:space="0" w:color="D9D9E3"/>
                <w:left w:val="single" w:sz="2" w:space="0" w:color="D9D9E3"/>
                <w:bottom w:val="single" w:sz="2" w:space="0" w:color="D9D9E3"/>
                <w:right w:val="single" w:sz="2" w:space="0" w:color="D9D9E3"/>
              </w:divBdr>
              <w:divsChild>
                <w:div w:id="1528831997">
                  <w:marLeft w:val="0"/>
                  <w:marRight w:val="0"/>
                  <w:marTop w:val="0"/>
                  <w:marBottom w:val="0"/>
                  <w:divBdr>
                    <w:top w:val="single" w:sz="2" w:space="0" w:color="D9D9E3"/>
                    <w:left w:val="single" w:sz="2" w:space="0" w:color="D9D9E3"/>
                    <w:bottom w:val="single" w:sz="2" w:space="0" w:color="D9D9E3"/>
                    <w:right w:val="single" w:sz="2" w:space="0" w:color="D9D9E3"/>
                  </w:divBdr>
                  <w:divsChild>
                    <w:div w:id="868492166">
                      <w:marLeft w:val="0"/>
                      <w:marRight w:val="0"/>
                      <w:marTop w:val="0"/>
                      <w:marBottom w:val="0"/>
                      <w:divBdr>
                        <w:top w:val="single" w:sz="2" w:space="0" w:color="D9D9E3"/>
                        <w:left w:val="single" w:sz="2" w:space="0" w:color="D9D9E3"/>
                        <w:bottom w:val="single" w:sz="2" w:space="0" w:color="D9D9E3"/>
                        <w:right w:val="single" w:sz="2" w:space="0" w:color="D9D9E3"/>
                      </w:divBdr>
                      <w:divsChild>
                        <w:div w:id="17059828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879</Words>
  <Characters>4838</Characters>
  <Application>Microsoft Office Word</Application>
  <DocSecurity>0</DocSecurity>
  <Lines>40</Lines>
  <Paragraphs>11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Marcos Alejandro Suárez Gutiérrez</cp:lastModifiedBy>
  <cp:revision>3</cp:revision>
  <dcterms:created xsi:type="dcterms:W3CDTF">2023-11-23T20:38:00Z</dcterms:created>
  <dcterms:modified xsi:type="dcterms:W3CDTF">2023-11-23T20:39:00Z</dcterms:modified>
</cp:coreProperties>
</file>