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5163C" w14:textId="77777777" w:rsidR="00BF5E19" w:rsidRPr="00A36563" w:rsidRDefault="00000000">
      <w:pPr>
        <w:spacing w:line="480" w:lineRule="auto"/>
        <w:jc w:val="both"/>
        <w:rPr>
          <w:rFonts w:ascii="Arial" w:eastAsia="Arial" w:hAnsi="Arial" w:cs="Arial"/>
          <w:b/>
          <w:sz w:val="28"/>
          <w:szCs w:val="28"/>
        </w:rPr>
      </w:pPr>
      <w:r w:rsidRPr="00A36563">
        <w:rPr>
          <w:rFonts w:ascii="Arial" w:eastAsia="Arial" w:hAnsi="Arial" w:cs="Arial"/>
          <w:b/>
          <w:sz w:val="28"/>
          <w:szCs w:val="28"/>
        </w:rPr>
        <w:t>Materials and Methods</w:t>
      </w:r>
    </w:p>
    <w:p w14:paraId="1842E91F" w14:textId="6D7AFB1D" w:rsidR="00BF5E19" w:rsidRDefault="00000000">
      <w:pPr>
        <w:spacing w:line="480" w:lineRule="auto"/>
        <w:jc w:val="both"/>
        <w:rPr>
          <w:rFonts w:ascii="Arial" w:eastAsia="Arial" w:hAnsi="Arial" w:cs="Arial"/>
          <w:i/>
          <w:sz w:val="20"/>
          <w:szCs w:val="20"/>
        </w:rPr>
      </w:pPr>
      <w:r>
        <w:rPr>
          <w:rFonts w:ascii="Arial" w:eastAsia="Arial" w:hAnsi="Arial" w:cs="Arial"/>
          <w:i/>
          <w:sz w:val="20"/>
          <w:szCs w:val="20"/>
        </w:rPr>
        <w:t>Premedication and Anesthesia Protocol</w:t>
      </w:r>
    </w:p>
    <w:p w14:paraId="59F5FE43" w14:textId="77777777" w:rsidR="00BF5E19" w:rsidRDefault="00000000">
      <w:pPr>
        <w:spacing w:line="480" w:lineRule="auto"/>
        <w:jc w:val="both"/>
        <w:rPr>
          <w:rFonts w:ascii="Arial" w:eastAsia="Arial" w:hAnsi="Arial" w:cs="Arial"/>
          <w:sz w:val="20"/>
          <w:szCs w:val="20"/>
        </w:rPr>
      </w:pPr>
      <w:r>
        <w:rPr>
          <w:rFonts w:ascii="Arial" w:eastAsia="Arial" w:hAnsi="Arial" w:cs="Arial"/>
          <w:sz w:val="20"/>
          <w:szCs w:val="20"/>
        </w:rPr>
        <w:t>We administered Azaperone (Stresnil®, 4 mg/kg) and Midazolam (Dormicum®, 0.5-0.7 mg/kg) intramuscularly as premedication. Venous access was established, followed by induction of anesthesia with an intravenous bolus of Propofol (Disoprivan®, 5-7 mg/kg). Intubation was performed, and the animals were ventilated mechanically. Ventilation parameters were set to a flow rate of 2.5 l/min, a respiratory rate of 18 breaths/min, a fraction of inspired oxygen (FiO</w:t>
      </w:r>
      <w:r>
        <w:rPr>
          <w:rFonts w:ascii="Arial" w:eastAsia="Arial" w:hAnsi="Arial" w:cs="Arial"/>
          <w:sz w:val="20"/>
          <w:szCs w:val="20"/>
          <w:vertAlign w:val="subscript"/>
        </w:rPr>
        <w:t>2</w:t>
      </w:r>
      <w:r>
        <w:rPr>
          <w:rFonts w:ascii="Arial" w:eastAsia="Arial" w:hAnsi="Arial" w:cs="Arial"/>
          <w:sz w:val="20"/>
          <w:szCs w:val="20"/>
        </w:rPr>
        <w:t>) of 35%, and a tidal volume of 8-12 ml/kg. Anesthesia was maintained with Isoflurane (Isothesia®, 0.6–1.0% vol) and a continuous infusion of Midazolam at 0.5 mg/kg/h. Bolus doses of Propofol were administered as required to maintain an adequate depth of anesthesia.</w:t>
      </w:r>
    </w:p>
    <w:p w14:paraId="4D282C6D" w14:textId="71646CD9" w:rsidR="00BF5E19" w:rsidRDefault="00000000">
      <w:pPr>
        <w:spacing w:line="480" w:lineRule="auto"/>
        <w:jc w:val="both"/>
        <w:rPr>
          <w:rFonts w:ascii="Arial" w:eastAsia="Arial" w:hAnsi="Arial" w:cs="Arial"/>
          <w:b/>
          <w:sz w:val="20"/>
          <w:szCs w:val="20"/>
        </w:rPr>
      </w:pPr>
      <w:r>
        <w:rPr>
          <w:rFonts w:ascii="Arial" w:eastAsia="Arial" w:hAnsi="Arial" w:cs="Arial"/>
          <w:i/>
          <w:sz w:val="20"/>
          <w:szCs w:val="20"/>
        </w:rPr>
        <w:t>Physiological Monitoring</w:t>
      </w:r>
    </w:p>
    <w:p w14:paraId="193D3481" w14:textId="77777777" w:rsidR="00BF5E19" w:rsidRDefault="00000000">
      <w:pPr>
        <w:spacing w:line="480" w:lineRule="auto"/>
        <w:jc w:val="both"/>
        <w:rPr>
          <w:rFonts w:ascii="Arial" w:eastAsia="Arial" w:hAnsi="Arial" w:cs="Arial"/>
          <w:sz w:val="20"/>
          <w:szCs w:val="20"/>
        </w:rPr>
      </w:pPr>
      <w:r>
        <w:rPr>
          <w:rFonts w:ascii="Arial" w:eastAsia="Arial" w:hAnsi="Arial" w:cs="Arial"/>
          <w:sz w:val="20"/>
          <w:szCs w:val="20"/>
        </w:rPr>
        <w:t>Physiological parameters were continuously monitored to maintain homeostasis. Heart rate was kept at 60-120 beats per minute, mean arterial pressure (MAP) was maintained within a range of 60-90 mmHg, peripheral capillary oxygen saturation (SpO</w:t>
      </w:r>
      <w:r>
        <w:rPr>
          <w:rFonts w:ascii="Arial" w:eastAsia="Arial" w:hAnsi="Arial" w:cs="Arial"/>
          <w:sz w:val="20"/>
          <w:szCs w:val="20"/>
          <w:vertAlign w:val="subscript"/>
        </w:rPr>
        <w:t>2</w:t>
      </w:r>
      <w:r>
        <w:rPr>
          <w:rFonts w:ascii="Arial" w:eastAsia="Arial" w:hAnsi="Arial" w:cs="Arial"/>
          <w:sz w:val="20"/>
          <w:szCs w:val="20"/>
        </w:rPr>
        <w:t>) was sustained at levels &gt;90%, arterial partial pressure of carbon dioxide (pCO</w:t>
      </w:r>
      <w:r>
        <w:rPr>
          <w:rFonts w:ascii="Arial" w:eastAsia="Arial" w:hAnsi="Arial" w:cs="Arial"/>
          <w:sz w:val="20"/>
          <w:szCs w:val="20"/>
          <w:vertAlign w:val="subscript"/>
        </w:rPr>
        <w:t>2</w:t>
      </w:r>
      <w:r>
        <w:rPr>
          <w:rFonts w:ascii="Arial" w:eastAsia="Arial" w:hAnsi="Arial" w:cs="Arial"/>
          <w:sz w:val="20"/>
          <w:szCs w:val="20"/>
        </w:rPr>
        <w:t>) was regulated between 35-45 mmHg, blood glucose levels were kept &gt;60 mg/dL, and rectal temperature was controlled within the range of 36.0-37.5°C.</w:t>
      </w:r>
    </w:p>
    <w:p w14:paraId="5C1409B6" w14:textId="5AA6B979" w:rsidR="00BF5E19" w:rsidRPr="00C319AE" w:rsidRDefault="00000000">
      <w:pPr>
        <w:spacing w:line="480" w:lineRule="auto"/>
        <w:jc w:val="both"/>
        <w:rPr>
          <w:rFonts w:ascii="Arial" w:eastAsia="Arial" w:hAnsi="Arial" w:cs="Arial"/>
          <w:i/>
          <w:iCs/>
          <w:sz w:val="20"/>
          <w:szCs w:val="20"/>
        </w:rPr>
      </w:pPr>
      <w:r w:rsidRPr="00C319AE">
        <w:rPr>
          <w:rFonts w:ascii="Arial" w:eastAsia="Arial" w:hAnsi="Arial" w:cs="Arial"/>
          <w:i/>
          <w:iCs/>
          <w:sz w:val="20"/>
          <w:szCs w:val="20"/>
        </w:rPr>
        <w:t>Operative Procedure</w:t>
      </w:r>
    </w:p>
    <w:p w14:paraId="07C56496" w14:textId="77777777" w:rsidR="00BF5E19" w:rsidRDefault="00000000">
      <w:pPr>
        <w:spacing w:line="480" w:lineRule="auto"/>
        <w:jc w:val="both"/>
        <w:rPr>
          <w:rFonts w:ascii="Arial" w:eastAsia="Arial" w:hAnsi="Arial" w:cs="Arial"/>
          <w:sz w:val="20"/>
          <w:szCs w:val="20"/>
        </w:rPr>
      </w:pPr>
      <w:r>
        <w:rPr>
          <w:rFonts w:ascii="Arial" w:eastAsia="Arial" w:hAnsi="Arial" w:cs="Arial"/>
          <w:sz w:val="20"/>
          <w:szCs w:val="20"/>
        </w:rPr>
        <w:t xml:space="preserve">A custom frame was utilized to position the pig heads securely in a prone orientation. A craniotomy was executed, followed by excision of the dura mater, to reveal the cerebral hemispheres. Subsequently, the brains were subject to a preconditioning high-potassium Ringer's lactate solution (11 mmol/L) for one hour. To enhance imaging quality and prevent cortical reflection and dehydration, a paraffin pool was applied and replenished bihourly. Electrocorticography (ECoG) strips (Ad-tech, Racine, Wisconsin, USA) were positioned </w:t>
      </w:r>
      <w:proofErr w:type="spellStart"/>
      <w:r>
        <w:rPr>
          <w:rFonts w:ascii="Arial" w:eastAsia="Arial" w:hAnsi="Arial" w:cs="Arial"/>
          <w:sz w:val="20"/>
          <w:szCs w:val="20"/>
        </w:rPr>
        <w:t>subdurally</w:t>
      </w:r>
      <w:proofErr w:type="spellEnd"/>
      <w:r>
        <w:rPr>
          <w:rFonts w:ascii="Arial" w:eastAsia="Arial" w:hAnsi="Arial" w:cs="Arial"/>
          <w:sz w:val="20"/>
          <w:szCs w:val="20"/>
        </w:rPr>
        <w:t xml:space="preserve"> in contact with the parietal cortex. For photoacoustic imaging (PAI), after placing an Aquaflex Ultrasound Gel Pad and interposing a submicron gold leaf, the PAI transducer was aligned 1 cm from the sagittal midline over the </w:t>
      </w:r>
      <w:r>
        <w:rPr>
          <w:rFonts w:ascii="Arial" w:eastAsia="Arial" w:hAnsi="Arial" w:cs="Arial"/>
          <w:sz w:val="20"/>
          <w:szCs w:val="20"/>
        </w:rPr>
        <w:lastRenderedPageBreak/>
        <w:t>hemisphere of interest. Post-experiment, euthanasia was induced via an intravenous injection of 20 ml of 7.45% KCl under maintained anesthesia.</w:t>
      </w:r>
    </w:p>
    <w:p w14:paraId="3AB07D53" w14:textId="6252D4AA" w:rsidR="00BF5E19" w:rsidRPr="00C319AE" w:rsidRDefault="00000000">
      <w:pPr>
        <w:spacing w:line="480" w:lineRule="auto"/>
        <w:jc w:val="both"/>
        <w:rPr>
          <w:rFonts w:ascii="Arial" w:eastAsia="Arial" w:hAnsi="Arial" w:cs="Arial"/>
          <w:i/>
          <w:iCs/>
          <w:sz w:val="20"/>
          <w:szCs w:val="20"/>
        </w:rPr>
      </w:pPr>
      <w:r w:rsidRPr="00C319AE">
        <w:rPr>
          <w:rFonts w:ascii="Arial" w:eastAsia="Arial" w:hAnsi="Arial" w:cs="Arial"/>
          <w:i/>
          <w:iCs/>
          <w:sz w:val="20"/>
          <w:szCs w:val="20"/>
        </w:rPr>
        <w:t>ECoG and PAI Monitoring</w:t>
      </w:r>
    </w:p>
    <w:p w14:paraId="1FC4A0C9" w14:textId="77777777" w:rsidR="00BF5E19" w:rsidRDefault="00000000">
      <w:pPr>
        <w:spacing w:line="480" w:lineRule="auto"/>
        <w:jc w:val="both"/>
        <w:rPr>
          <w:rFonts w:ascii="Arial" w:eastAsia="Arial" w:hAnsi="Arial" w:cs="Arial"/>
          <w:sz w:val="20"/>
          <w:szCs w:val="20"/>
        </w:rPr>
      </w:pPr>
      <w:r>
        <w:rPr>
          <w:rFonts w:ascii="Arial" w:eastAsia="Arial" w:hAnsi="Arial" w:cs="Arial"/>
          <w:sz w:val="20"/>
          <w:szCs w:val="20"/>
        </w:rPr>
        <w:t xml:space="preserve">ECoG recordings were conducted using two strips of platinum electrodes, each with five contacts. Signals were digitized at a sampling rate of 1000 Hz across ten active channels using Octal Bio Amp amplifiers and a </w:t>
      </w:r>
      <w:proofErr w:type="spellStart"/>
      <w:r>
        <w:rPr>
          <w:rFonts w:ascii="Arial" w:eastAsia="Arial" w:hAnsi="Arial" w:cs="Arial"/>
          <w:sz w:val="20"/>
          <w:szCs w:val="20"/>
        </w:rPr>
        <w:t>PowerLab</w:t>
      </w:r>
      <w:proofErr w:type="spellEnd"/>
      <w:r>
        <w:rPr>
          <w:rFonts w:ascii="Arial" w:eastAsia="Arial" w:hAnsi="Arial" w:cs="Arial"/>
          <w:sz w:val="20"/>
          <w:szCs w:val="20"/>
        </w:rPr>
        <w:t xml:space="preserve"> 16/SP analog-to-digital converter (</w:t>
      </w:r>
      <w:proofErr w:type="spellStart"/>
      <w:r>
        <w:rPr>
          <w:rFonts w:ascii="Arial" w:eastAsia="Arial" w:hAnsi="Arial" w:cs="Arial"/>
          <w:sz w:val="20"/>
          <w:szCs w:val="20"/>
        </w:rPr>
        <w:t>ADInstruments</w:t>
      </w:r>
      <w:proofErr w:type="spellEnd"/>
      <w:r>
        <w:rPr>
          <w:rFonts w:ascii="Arial" w:eastAsia="Arial" w:hAnsi="Arial" w:cs="Arial"/>
          <w:sz w:val="20"/>
          <w:szCs w:val="20"/>
        </w:rPr>
        <w:t xml:space="preserve"> Inc., Dunedin, New Zealand). An Ag/AgCl reference electrode was positioned subcutaneously below the malar bone.</w:t>
      </w:r>
    </w:p>
    <w:p w14:paraId="55590B5F" w14:textId="77777777" w:rsidR="00BF5E19" w:rsidRDefault="00000000">
      <w:pPr>
        <w:spacing w:line="480" w:lineRule="auto"/>
        <w:jc w:val="both"/>
        <w:rPr>
          <w:rFonts w:ascii="Arial" w:eastAsia="Arial" w:hAnsi="Arial" w:cs="Arial"/>
          <w:sz w:val="20"/>
          <w:szCs w:val="20"/>
        </w:rPr>
      </w:pPr>
      <w:r>
        <w:rPr>
          <w:rFonts w:ascii="Arial" w:eastAsia="Arial" w:hAnsi="Arial" w:cs="Arial"/>
          <w:sz w:val="20"/>
          <w:szCs w:val="20"/>
        </w:rPr>
        <w:t>The PAI setup comprised a 128-channel ultrasound system (DiPhAs, Fraunhofer IBMT, St. Ingbert, Germany) with a linear 128-element transducer (L7-Xtech, Vermon, Tours, France) operating at a central frequency of 7.5 MHz, and a NIR fast-tuning optical parametric oscillator laser (Phocus Mobile, Opotek, Carlsbad, USA). The interposed gold leaf minimized artifacts from light absorption by the ultrasound transducer.</w:t>
      </w:r>
    </w:p>
    <w:p w14:paraId="541618DF" w14:textId="4FE0FC77" w:rsidR="00BF5E19" w:rsidRPr="00C319AE" w:rsidRDefault="00000000">
      <w:pPr>
        <w:spacing w:line="480" w:lineRule="auto"/>
        <w:jc w:val="both"/>
        <w:rPr>
          <w:rFonts w:ascii="Arial" w:eastAsia="Arial" w:hAnsi="Arial" w:cs="Arial"/>
          <w:i/>
          <w:iCs/>
          <w:sz w:val="20"/>
          <w:szCs w:val="20"/>
        </w:rPr>
      </w:pPr>
      <w:r w:rsidRPr="00C319AE">
        <w:rPr>
          <w:rFonts w:ascii="Arial" w:eastAsia="Arial" w:hAnsi="Arial" w:cs="Arial"/>
          <w:i/>
          <w:iCs/>
          <w:sz w:val="20"/>
          <w:szCs w:val="20"/>
        </w:rPr>
        <w:t>Spreading Depolarizations (SD) Induction</w:t>
      </w:r>
    </w:p>
    <w:p w14:paraId="6EC50949" w14:textId="77777777" w:rsidR="00BF5E19" w:rsidRDefault="00000000">
      <w:pPr>
        <w:spacing w:line="480" w:lineRule="auto"/>
        <w:jc w:val="both"/>
        <w:rPr>
          <w:rFonts w:ascii="Arial" w:eastAsia="Arial" w:hAnsi="Arial" w:cs="Arial"/>
          <w:b/>
          <w:sz w:val="20"/>
          <w:szCs w:val="20"/>
        </w:rPr>
      </w:pPr>
      <w:r>
        <w:rPr>
          <w:rFonts w:ascii="Arial" w:eastAsia="Arial" w:hAnsi="Arial" w:cs="Arial"/>
          <w:sz w:val="20"/>
          <w:szCs w:val="20"/>
        </w:rPr>
        <w:t xml:space="preserve">SDs were elicited by the topical application of 1-2 μl of 1 M KCl to the cerebral cortex. If an SD was not observed within 10-20 minutes, a second application was performed. Visualization during the experiment was facilitated by the Medical Imaging Interaction Toolkit (MITK) </w:t>
      </w:r>
      <w:r w:rsidRPr="00A36563">
        <w:rPr>
          <w:rFonts w:ascii="Arial" w:eastAsia="Arial" w:hAnsi="Arial" w:cs="Arial"/>
          <w:sz w:val="20"/>
          <w:szCs w:val="20"/>
        </w:rPr>
        <w:t>software [1],</w:t>
      </w:r>
      <w:r>
        <w:rPr>
          <w:rFonts w:ascii="Arial" w:eastAsia="Arial" w:hAnsi="Arial" w:cs="Arial"/>
          <w:sz w:val="20"/>
          <w:szCs w:val="20"/>
        </w:rPr>
        <w:t xml:space="preserve"> which was used to guide the placement of the KCl. Monitoring via both ECoG and PAI commenced, with a median recording duration of 36 minutes post-stimulation.</w:t>
      </w:r>
    </w:p>
    <w:p w14:paraId="18023367" w14:textId="77777777" w:rsidR="00BF5E19" w:rsidRDefault="00000000">
      <w:pPr>
        <w:spacing w:line="480" w:lineRule="auto"/>
        <w:jc w:val="both"/>
        <w:rPr>
          <w:rFonts w:ascii="Arial" w:eastAsia="Arial" w:hAnsi="Arial" w:cs="Arial"/>
          <w:b/>
          <w:sz w:val="20"/>
          <w:szCs w:val="20"/>
        </w:rPr>
      </w:pPr>
      <w:r>
        <w:rPr>
          <w:rFonts w:ascii="Arial" w:eastAsia="Arial" w:hAnsi="Arial" w:cs="Arial"/>
          <w:b/>
          <w:sz w:val="20"/>
          <w:szCs w:val="20"/>
        </w:rPr>
        <w:t>Data analysis</w:t>
      </w:r>
    </w:p>
    <w:p w14:paraId="277AAFE4" w14:textId="77777777" w:rsidR="00BF5E19" w:rsidRPr="00C319AE" w:rsidRDefault="00000000">
      <w:pPr>
        <w:spacing w:before="240" w:line="480" w:lineRule="auto"/>
        <w:jc w:val="both"/>
        <w:rPr>
          <w:rFonts w:ascii="Arial" w:eastAsia="Arial" w:hAnsi="Arial" w:cs="Arial"/>
          <w:sz w:val="20"/>
          <w:szCs w:val="20"/>
        </w:rPr>
      </w:pPr>
      <w:r w:rsidRPr="00C319AE">
        <w:rPr>
          <w:rFonts w:ascii="Arial" w:eastAsia="Arial" w:hAnsi="Arial" w:cs="Arial"/>
          <w:i/>
          <w:sz w:val="20"/>
          <w:szCs w:val="20"/>
        </w:rPr>
        <w:t>ECoG-Based Identification of SD</w:t>
      </w:r>
    </w:p>
    <w:p w14:paraId="28BA7D85" w14:textId="77777777" w:rsidR="00BF5E19" w:rsidRPr="00C319AE" w:rsidRDefault="00000000">
      <w:pPr>
        <w:spacing w:before="240" w:after="240" w:line="480" w:lineRule="auto"/>
        <w:jc w:val="both"/>
        <w:rPr>
          <w:rFonts w:ascii="Arial" w:eastAsia="Arial" w:hAnsi="Arial" w:cs="Arial"/>
          <w:sz w:val="20"/>
          <w:szCs w:val="20"/>
        </w:rPr>
      </w:pPr>
      <w:r w:rsidRPr="00C319AE">
        <w:rPr>
          <w:rFonts w:ascii="Arial" w:eastAsia="Arial" w:hAnsi="Arial" w:cs="Arial"/>
          <w:sz w:val="20"/>
          <w:szCs w:val="20"/>
        </w:rPr>
        <w:t>SDs were verified through analysis of ECoG data utilizing the Labchart-7 platform (</w:t>
      </w:r>
      <w:proofErr w:type="spellStart"/>
      <w:r w:rsidRPr="00C319AE">
        <w:rPr>
          <w:rFonts w:ascii="Arial" w:eastAsia="Arial" w:hAnsi="Arial" w:cs="Arial"/>
          <w:sz w:val="20"/>
          <w:szCs w:val="20"/>
        </w:rPr>
        <w:t>ADInstruments</w:t>
      </w:r>
      <w:proofErr w:type="spellEnd"/>
      <w:r w:rsidRPr="00C319AE">
        <w:rPr>
          <w:rFonts w:ascii="Arial" w:eastAsia="Arial" w:hAnsi="Arial" w:cs="Arial"/>
          <w:sz w:val="20"/>
          <w:szCs w:val="20"/>
        </w:rPr>
        <w:t xml:space="preserve"> Inc., New Zealand), as per the guidelines prescribed by the Co-operative Studies on Brain Injury Depolarizations (COSBID) [2]. This process ensured the identification of SD events was consistent with recognized standards in the field.</w:t>
      </w:r>
    </w:p>
    <w:p w14:paraId="156E19EE" w14:textId="77777777" w:rsidR="00BF5E19" w:rsidRDefault="00000000">
      <w:pPr>
        <w:spacing w:before="240" w:line="480" w:lineRule="auto"/>
        <w:jc w:val="both"/>
        <w:rPr>
          <w:rFonts w:ascii="Arial" w:eastAsia="Arial" w:hAnsi="Arial" w:cs="Arial"/>
          <w:i/>
          <w:sz w:val="20"/>
          <w:szCs w:val="20"/>
        </w:rPr>
      </w:pPr>
      <w:r>
        <w:rPr>
          <w:rFonts w:ascii="Arial" w:eastAsia="Arial" w:hAnsi="Arial" w:cs="Arial"/>
          <w:i/>
          <w:sz w:val="20"/>
          <w:szCs w:val="20"/>
        </w:rPr>
        <w:t xml:space="preserve">PAI data analysis </w:t>
      </w:r>
    </w:p>
    <w:p w14:paraId="3BE5854B" w14:textId="77777777" w:rsidR="00BF5E19" w:rsidRDefault="00000000">
      <w:pPr>
        <w:spacing w:line="480" w:lineRule="auto"/>
        <w:ind w:firstLine="700"/>
        <w:jc w:val="both"/>
        <w:rPr>
          <w:rFonts w:ascii="Arial" w:eastAsia="Arial" w:hAnsi="Arial" w:cs="Arial"/>
          <w:i/>
          <w:sz w:val="20"/>
          <w:szCs w:val="20"/>
          <w:u w:val="single"/>
        </w:rPr>
      </w:pPr>
      <w:r>
        <w:rPr>
          <w:rFonts w:ascii="Arial" w:eastAsia="Arial" w:hAnsi="Arial" w:cs="Arial"/>
          <w:i/>
          <w:sz w:val="20"/>
          <w:szCs w:val="20"/>
          <w:u w:val="single"/>
        </w:rPr>
        <w:lastRenderedPageBreak/>
        <w:t xml:space="preserve">Estimation of Oxygen Saturation </w:t>
      </w:r>
    </w:p>
    <w:p w14:paraId="6F37732C" w14:textId="77777777" w:rsidR="00BF5E19" w:rsidRPr="00AF6329" w:rsidRDefault="00000000">
      <w:pPr>
        <w:spacing w:before="240" w:after="240" w:line="480" w:lineRule="auto"/>
        <w:jc w:val="both"/>
        <w:rPr>
          <w:rFonts w:ascii="Arial" w:eastAsia="Arial" w:hAnsi="Arial" w:cs="Arial"/>
          <w:sz w:val="20"/>
          <w:szCs w:val="20"/>
        </w:rPr>
      </w:pPr>
      <w:r w:rsidRPr="00AF6329">
        <w:rPr>
          <w:rFonts w:ascii="Arial" w:eastAsia="Arial" w:hAnsi="Arial" w:cs="Arial"/>
          <w:sz w:val="20"/>
          <w:szCs w:val="20"/>
        </w:rPr>
        <w:t>The quantification of oxyhemoglobin (HbO</w:t>
      </w:r>
      <w:r w:rsidRPr="00AF6329">
        <w:rPr>
          <w:rFonts w:ascii="Arial" w:eastAsia="Arial" w:hAnsi="Arial" w:cs="Arial"/>
          <w:sz w:val="20"/>
          <w:szCs w:val="20"/>
          <w:vertAlign w:val="subscript"/>
        </w:rPr>
        <w:t>2</w:t>
      </w:r>
      <w:r w:rsidRPr="00AF6329">
        <w:rPr>
          <w:rFonts w:ascii="Arial" w:eastAsia="Arial" w:hAnsi="Arial" w:cs="Arial"/>
          <w:sz w:val="20"/>
          <w:szCs w:val="20"/>
        </w:rPr>
        <w:t>) and deoxyhemoglobin (Hb) concentrations via PAI leverages the technique of linear spectral unmixing to resolve regional cerebral oxygen saturation (r</w:t>
      </w:r>
      <w:r w:rsidRPr="00AF6329">
        <w:rPr>
          <w:rFonts w:ascii="Arial" w:eastAsia="Arial" w:hAnsi="Arial" w:cs="Arial"/>
          <w:sz w:val="20"/>
          <w:szCs w:val="20"/>
          <w:vertAlign w:val="subscript"/>
        </w:rPr>
        <w:t>c</w:t>
      </w:r>
      <w:r w:rsidRPr="00AF6329">
        <w:rPr>
          <w:rFonts w:ascii="Arial" w:eastAsia="Arial" w:hAnsi="Arial" w:cs="Arial"/>
          <w:sz w:val="20"/>
          <w:szCs w:val="20"/>
        </w:rPr>
        <w:t>SO</w:t>
      </w:r>
      <w:r w:rsidRPr="00AF6329">
        <w:rPr>
          <w:rFonts w:ascii="Arial" w:eastAsia="Arial" w:hAnsi="Arial" w:cs="Arial"/>
          <w:sz w:val="20"/>
          <w:szCs w:val="20"/>
          <w:vertAlign w:val="subscript"/>
        </w:rPr>
        <w:t>2</w:t>
      </w:r>
      <w:r w:rsidRPr="00AF6329">
        <w:rPr>
          <w:rFonts w:ascii="Arial" w:eastAsia="Arial" w:hAnsi="Arial" w:cs="Arial"/>
          <w:sz w:val="20"/>
          <w:szCs w:val="20"/>
        </w:rPr>
        <w:t>%). The r</w:t>
      </w:r>
      <w:r w:rsidRPr="00AF6329">
        <w:rPr>
          <w:rFonts w:ascii="Arial" w:eastAsia="Arial" w:hAnsi="Arial" w:cs="Arial"/>
          <w:sz w:val="20"/>
          <w:szCs w:val="20"/>
          <w:vertAlign w:val="subscript"/>
        </w:rPr>
        <w:t>c</w:t>
      </w:r>
      <w:r w:rsidRPr="00AF6329">
        <w:rPr>
          <w:rFonts w:ascii="Arial" w:eastAsia="Arial" w:hAnsi="Arial" w:cs="Arial"/>
          <w:sz w:val="20"/>
          <w:szCs w:val="20"/>
        </w:rPr>
        <w:t>SO</w:t>
      </w:r>
      <w:r w:rsidRPr="00AF6329">
        <w:rPr>
          <w:rFonts w:ascii="Arial" w:eastAsia="Arial" w:hAnsi="Arial" w:cs="Arial"/>
          <w:sz w:val="20"/>
          <w:szCs w:val="20"/>
          <w:vertAlign w:val="subscript"/>
        </w:rPr>
        <w:t>2</w:t>
      </w:r>
      <w:r w:rsidRPr="00AF6329">
        <w:rPr>
          <w:rFonts w:ascii="Arial" w:eastAsia="Arial" w:hAnsi="Arial" w:cs="Arial"/>
          <w:sz w:val="20"/>
          <w:szCs w:val="20"/>
        </w:rPr>
        <w:t>% is calculated using the equation r</w:t>
      </w:r>
      <w:r w:rsidRPr="00AF6329">
        <w:rPr>
          <w:rFonts w:ascii="Arial" w:eastAsia="Arial" w:hAnsi="Arial" w:cs="Arial"/>
          <w:sz w:val="20"/>
          <w:szCs w:val="20"/>
          <w:vertAlign w:val="subscript"/>
        </w:rPr>
        <w:t>c</w:t>
      </w:r>
      <w:r w:rsidRPr="00AF6329">
        <w:rPr>
          <w:rFonts w:ascii="Arial" w:eastAsia="Arial" w:hAnsi="Arial" w:cs="Arial"/>
          <w:sz w:val="20"/>
          <w:szCs w:val="20"/>
        </w:rPr>
        <w:t>SO</w:t>
      </w:r>
      <w:r w:rsidRPr="00AF6329">
        <w:rPr>
          <w:rFonts w:ascii="Arial" w:eastAsia="Arial" w:hAnsi="Arial" w:cs="Arial"/>
          <w:sz w:val="20"/>
          <w:szCs w:val="20"/>
          <w:vertAlign w:val="subscript"/>
        </w:rPr>
        <w:t>2</w:t>
      </w:r>
      <w:r w:rsidRPr="00AF6329">
        <w:rPr>
          <w:rFonts w:ascii="Arial" w:eastAsia="Arial" w:hAnsi="Arial" w:cs="Arial"/>
          <w:sz w:val="20"/>
          <w:szCs w:val="20"/>
        </w:rPr>
        <w:t>% = CHbO</w:t>
      </w:r>
      <w:r w:rsidRPr="00AF6329">
        <w:rPr>
          <w:rFonts w:ascii="Arial" w:eastAsia="Arial" w:hAnsi="Arial" w:cs="Arial"/>
          <w:sz w:val="20"/>
          <w:szCs w:val="20"/>
          <w:vertAlign w:val="subscript"/>
        </w:rPr>
        <w:t xml:space="preserve">2 </w:t>
      </w:r>
      <w:r w:rsidRPr="00AF6329">
        <w:rPr>
          <w:rFonts w:ascii="Arial" w:eastAsia="Arial" w:hAnsi="Arial" w:cs="Arial"/>
          <w:sz w:val="20"/>
          <w:szCs w:val="20"/>
        </w:rPr>
        <w:t>/ (CHbO</w:t>
      </w:r>
      <w:r w:rsidRPr="00AF6329">
        <w:rPr>
          <w:rFonts w:ascii="Arial" w:eastAsia="Arial" w:hAnsi="Arial" w:cs="Arial"/>
          <w:sz w:val="20"/>
          <w:szCs w:val="20"/>
          <w:vertAlign w:val="subscript"/>
        </w:rPr>
        <w:t xml:space="preserve">2 </w:t>
      </w:r>
      <w:r w:rsidRPr="00AF6329">
        <w:rPr>
          <w:rFonts w:ascii="Arial" w:eastAsia="Arial" w:hAnsi="Arial" w:cs="Arial"/>
          <w:sz w:val="20"/>
          <w:szCs w:val="20"/>
        </w:rPr>
        <w:t xml:space="preserve">+ </w:t>
      </w:r>
      <w:proofErr w:type="spellStart"/>
      <w:r w:rsidRPr="00AF6329">
        <w:rPr>
          <w:rFonts w:ascii="Arial" w:eastAsia="Arial" w:hAnsi="Arial" w:cs="Arial"/>
          <w:sz w:val="20"/>
          <w:szCs w:val="20"/>
        </w:rPr>
        <w:t>CHb</w:t>
      </w:r>
      <w:proofErr w:type="spellEnd"/>
      <w:r w:rsidRPr="00AF6329">
        <w:rPr>
          <w:rFonts w:ascii="Arial" w:eastAsia="Arial" w:hAnsi="Arial" w:cs="Arial"/>
          <w:sz w:val="20"/>
          <w:szCs w:val="20"/>
        </w:rPr>
        <w:t>), with C representing the concentration of each hemoglobin form.</w:t>
      </w:r>
    </w:p>
    <w:p w14:paraId="3D4A5286" w14:textId="77777777" w:rsidR="00BF5E19" w:rsidRPr="00AF6329" w:rsidRDefault="00000000">
      <w:pPr>
        <w:spacing w:before="240" w:after="240" w:line="480" w:lineRule="auto"/>
        <w:jc w:val="both"/>
        <w:rPr>
          <w:rFonts w:ascii="Arial" w:eastAsia="Arial" w:hAnsi="Arial" w:cs="Arial"/>
          <w:sz w:val="20"/>
          <w:szCs w:val="20"/>
        </w:rPr>
      </w:pPr>
      <w:r w:rsidRPr="00AF6329">
        <w:rPr>
          <w:rFonts w:ascii="Arial" w:eastAsia="Arial" w:hAnsi="Arial" w:cs="Arial"/>
          <w:sz w:val="20"/>
          <w:szCs w:val="20"/>
        </w:rPr>
        <w:t xml:space="preserve">Nine regions of interest (ROIs) within the cerebral cortex were systematically chosen for analysis, organized into a 3x3 grid with dimensions of 4.00 mm x 5.25 mm across varying cortical depths delineated as 0.80 mm to 1.70 mm for depth 1, 1.95 mm to 2.85 mm for depth 2, and 3.10 mm to 4.00 mm for depth 3. The arrangement of ROIs is visualized in </w:t>
      </w:r>
      <w:r w:rsidRPr="00AF6329">
        <w:rPr>
          <w:rFonts w:ascii="Arial" w:eastAsia="Arial" w:hAnsi="Arial" w:cs="Arial"/>
          <w:b/>
          <w:sz w:val="20"/>
          <w:szCs w:val="20"/>
        </w:rPr>
        <w:t>Supplementary Figure 1a (Online Resource 4)</w:t>
      </w:r>
      <w:r w:rsidRPr="00AF6329">
        <w:rPr>
          <w:rFonts w:ascii="Arial" w:eastAsia="Arial" w:hAnsi="Arial" w:cs="Arial"/>
          <w:sz w:val="20"/>
          <w:szCs w:val="20"/>
        </w:rPr>
        <w:t>. PAI data were corrected for inter-frame motion artifacts attributable to physiological movements such as respiration and pulsatile brain swelling, thus ensuring spatial accuracy over time [3]. Subsequent temporal plotting of r</w:t>
      </w:r>
      <w:r w:rsidRPr="00AF6329">
        <w:rPr>
          <w:rFonts w:ascii="Arial" w:eastAsia="Arial" w:hAnsi="Arial" w:cs="Arial"/>
          <w:sz w:val="20"/>
          <w:szCs w:val="20"/>
          <w:vertAlign w:val="subscript"/>
        </w:rPr>
        <w:t>c</w:t>
      </w:r>
      <w:r w:rsidRPr="00AF6329">
        <w:rPr>
          <w:rFonts w:ascii="Arial" w:eastAsia="Arial" w:hAnsi="Arial" w:cs="Arial"/>
          <w:sz w:val="20"/>
          <w:szCs w:val="20"/>
        </w:rPr>
        <w:t>SO</w:t>
      </w:r>
      <w:r w:rsidRPr="00AF6329">
        <w:rPr>
          <w:rFonts w:ascii="Arial" w:eastAsia="Arial" w:hAnsi="Arial" w:cs="Arial"/>
          <w:sz w:val="20"/>
          <w:szCs w:val="20"/>
          <w:vertAlign w:val="subscript"/>
        </w:rPr>
        <w:t>2</w:t>
      </w:r>
      <w:r w:rsidRPr="00AF6329">
        <w:rPr>
          <w:rFonts w:ascii="Arial" w:eastAsia="Arial" w:hAnsi="Arial" w:cs="Arial"/>
          <w:sz w:val="20"/>
          <w:szCs w:val="20"/>
        </w:rPr>
        <w:t>% facilitated detailed analysis across different cortical depths.</w:t>
      </w:r>
    </w:p>
    <w:p w14:paraId="674CBC1D" w14:textId="77777777" w:rsidR="00BF5E19" w:rsidRDefault="00000000">
      <w:pPr>
        <w:spacing w:before="240" w:after="240" w:line="480" w:lineRule="auto"/>
        <w:ind w:firstLine="720"/>
        <w:jc w:val="both"/>
        <w:rPr>
          <w:rFonts w:ascii="Arial" w:eastAsia="Arial" w:hAnsi="Arial" w:cs="Arial"/>
          <w:i/>
          <w:sz w:val="20"/>
          <w:szCs w:val="20"/>
          <w:u w:val="single"/>
        </w:rPr>
      </w:pPr>
      <w:r>
        <w:rPr>
          <w:rFonts w:ascii="Arial" w:eastAsia="Arial" w:hAnsi="Arial" w:cs="Arial"/>
          <w:i/>
          <w:sz w:val="20"/>
          <w:szCs w:val="20"/>
          <w:u w:val="single"/>
        </w:rPr>
        <w:t>Characterization of r</w:t>
      </w:r>
      <w:r>
        <w:rPr>
          <w:rFonts w:ascii="Arial" w:eastAsia="Arial" w:hAnsi="Arial" w:cs="Arial"/>
          <w:i/>
          <w:sz w:val="20"/>
          <w:szCs w:val="20"/>
          <w:u w:val="single"/>
          <w:vertAlign w:val="subscript"/>
        </w:rPr>
        <w:t>c</w:t>
      </w:r>
      <w:r>
        <w:rPr>
          <w:rFonts w:ascii="Arial" w:eastAsia="Arial" w:hAnsi="Arial" w:cs="Arial"/>
          <w:i/>
          <w:sz w:val="20"/>
          <w:szCs w:val="20"/>
          <w:u w:val="single"/>
        </w:rPr>
        <w:t>SO</w:t>
      </w:r>
      <w:r>
        <w:rPr>
          <w:rFonts w:ascii="Arial" w:eastAsia="Arial" w:hAnsi="Arial" w:cs="Arial"/>
          <w:i/>
          <w:sz w:val="20"/>
          <w:szCs w:val="20"/>
          <w:u w:val="single"/>
          <w:vertAlign w:val="subscript"/>
        </w:rPr>
        <w:t>2</w:t>
      </w:r>
      <w:r>
        <w:rPr>
          <w:rFonts w:ascii="Arial" w:eastAsia="Arial" w:hAnsi="Arial" w:cs="Arial"/>
          <w:i/>
          <w:sz w:val="20"/>
          <w:szCs w:val="20"/>
          <w:u w:val="single"/>
        </w:rPr>
        <w:t>% Fluctuations Associated with SD</w:t>
      </w:r>
    </w:p>
    <w:p w14:paraId="05D991C9" w14:textId="627BEAD1" w:rsidR="00BF5E19" w:rsidRDefault="00000000">
      <w:pPr>
        <w:spacing w:before="240" w:after="240" w:line="480" w:lineRule="auto"/>
        <w:jc w:val="both"/>
        <w:rPr>
          <w:rFonts w:ascii="Arial" w:eastAsia="Arial" w:hAnsi="Arial" w:cs="Arial"/>
          <w:sz w:val="20"/>
          <w:szCs w:val="20"/>
        </w:rPr>
      </w:pPr>
      <w:r w:rsidRPr="00AF6329">
        <w:rPr>
          <w:rFonts w:ascii="Arial" w:eastAsia="Arial" w:hAnsi="Arial" w:cs="Arial"/>
          <w:sz w:val="20"/>
          <w:szCs w:val="20"/>
        </w:rPr>
        <w:t>r</w:t>
      </w:r>
      <w:r w:rsidRPr="00AF6329">
        <w:rPr>
          <w:rFonts w:ascii="Arial" w:eastAsia="Arial" w:hAnsi="Arial" w:cs="Arial"/>
          <w:sz w:val="20"/>
          <w:szCs w:val="20"/>
          <w:vertAlign w:val="subscript"/>
        </w:rPr>
        <w:t>c</w:t>
      </w:r>
      <w:r w:rsidRPr="00AF6329">
        <w:rPr>
          <w:rFonts w:ascii="Arial" w:eastAsia="Arial" w:hAnsi="Arial" w:cs="Arial"/>
          <w:sz w:val="20"/>
          <w:szCs w:val="20"/>
        </w:rPr>
        <w:t>SO</w:t>
      </w:r>
      <w:r w:rsidRPr="00AF6329">
        <w:rPr>
          <w:rFonts w:ascii="Arial" w:eastAsia="Arial" w:hAnsi="Arial" w:cs="Arial"/>
          <w:sz w:val="20"/>
          <w:szCs w:val="20"/>
          <w:vertAlign w:val="subscript"/>
        </w:rPr>
        <w:t>2</w:t>
      </w:r>
      <w:r w:rsidRPr="00AF6329">
        <w:rPr>
          <w:rFonts w:ascii="Arial" w:eastAsia="Arial" w:hAnsi="Arial" w:cs="Arial"/>
          <w:sz w:val="20"/>
          <w:szCs w:val="20"/>
        </w:rPr>
        <w:t xml:space="preserve">% fluctuations were temporally correlated with ECoG-detected SD events, as exemplified in </w:t>
      </w:r>
      <w:r w:rsidRPr="00AF6329">
        <w:rPr>
          <w:rFonts w:ascii="Arial" w:eastAsia="Arial" w:hAnsi="Arial" w:cs="Arial"/>
          <w:b/>
          <w:sz w:val="20"/>
          <w:szCs w:val="20"/>
        </w:rPr>
        <w:t>Supplementary Figures 1b and 1c (Online Resource 4)</w:t>
      </w:r>
      <w:r w:rsidRPr="00AF6329">
        <w:rPr>
          <w:rFonts w:ascii="Arial" w:eastAsia="Arial" w:hAnsi="Arial" w:cs="Arial"/>
          <w:sz w:val="20"/>
          <w:szCs w:val="20"/>
        </w:rPr>
        <w:t>. An r</w:t>
      </w:r>
      <w:r w:rsidRPr="00AF6329">
        <w:rPr>
          <w:rFonts w:ascii="Arial" w:eastAsia="Arial" w:hAnsi="Arial" w:cs="Arial"/>
          <w:sz w:val="20"/>
          <w:szCs w:val="20"/>
          <w:vertAlign w:val="subscript"/>
        </w:rPr>
        <w:t>c</w:t>
      </w:r>
      <w:r w:rsidRPr="00AF6329">
        <w:rPr>
          <w:rFonts w:ascii="Arial" w:eastAsia="Arial" w:hAnsi="Arial" w:cs="Arial"/>
          <w:sz w:val="20"/>
          <w:szCs w:val="20"/>
        </w:rPr>
        <w:t>SO</w:t>
      </w:r>
      <w:r w:rsidRPr="00AF6329">
        <w:rPr>
          <w:rFonts w:ascii="Arial" w:eastAsia="Arial" w:hAnsi="Arial" w:cs="Arial"/>
          <w:sz w:val="20"/>
          <w:szCs w:val="20"/>
          <w:vertAlign w:val="subscript"/>
        </w:rPr>
        <w:t>2</w:t>
      </w:r>
      <w:r w:rsidRPr="00AF6329">
        <w:rPr>
          <w:rFonts w:ascii="Arial" w:eastAsia="Arial" w:hAnsi="Arial" w:cs="Arial"/>
          <w:sz w:val="20"/>
          <w:szCs w:val="20"/>
        </w:rPr>
        <w:t xml:space="preserve">% response was initiated upon deviation from baseline levels and concluded upon return to these levels. </w:t>
      </w:r>
      <w:r w:rsidR="00AF6329" w:rsidRPr="00AF6329">
        <w:rPr>
          <w:rFonts w:ascii="Arial" w:eastAsia="Arial" w:hAnsi="Arial" w:cs="Arial"/>
          <w:sz w:val="20"/>
          <w:szCs w:val="20"/>
        </w:rPr>
        <w:t>The baseline</w:t>
      </w:r>
      <w:r w:rsidRPr="00AF6329">
        <w:rPr>
          <w:rFonts w:ascii="Arial" w:eastAsia="Arial" w:hAnsi="Arial" w:cs="Arial"/>
          <w:sz w:val="20"/>
          <w:szCs w:val="20"/>
        </w:rPr>
        <w:t xml:space="preserve"> was established differently for the initial r</w:t>
      </w:r>
      <w:r w:rsidRPr="00AF6329">
        <w:rPr>
          <w:rFonts w:ascii="Arial" w:eastAsia="Arial" w:hAnsi="Arial" w:cs="Arial"/>
          <w:sz w:val="20"/>
          <w:szCs w:val="20"/>
          <w:vertAlign w:val="subscript"/>
        </w:rPr>
        <w:t>c</w:t>
      </w:r>
      <w:r w:rsidRPr="00AF6329">
        <w:rPr>
          <w:rFonts w:ascii="Arial" w:eastAsia="Arial" w:hAnsi="Arial" w:cs="Arial"/>
          <w:sz w:val="20"/>
          <w:szCs w:val="20"/>
        </w:rPr>
        <w:t>SO</w:t>
      </w:r>
      <w:r w:rsidRPr="00AF6329">
        <w:rPr>
          <w:rFonts w:ascii="Arial" w:eastAsia="Arial" w:hAnsi="Arial" w:cs="Arial"/>
          <w:sz w:val="20"/>
          <w:szCs w:val="20"/>
          <w:vertAlign w:val="subscript"/>
        </w:rPr>
        <w:t>2</w:t>
      </w:r>
      <w:r w:rsidRPr="00AF6329">
        <w:rPr>
          <w:rFonts w:ascii="Arial" w:eastAsia="Arial" w:hAnsi="Arial" w:cs="Arial"/>
          <w:sz w:val="20"/>
          <w:szCs w:val="20"/>
        </w:rPr>
        <w:t xml:space="preserve">% response (preceding period average) versus subsequent responses (preceding 5-minute interval average). </w:t>
      </w:r>
      <w:r w:rsidR="00AF6329" w:rsidRPr="00AF6329">
        <w:rPr>
          <w:rFonts w:ascii="Arial" w:eastAsia="Arial" w:hAnsi="Arial" w:cs="Arial"/>
          <w:sz w:val="20"/>
          <w:szCs w:val="20"/>
        </w:rPr>
        <w:t>The incidence</w:t>
      </w:r>
      <w:r w:rsidRPr="00AF6329">
        <w:rPr>
          <w:rFonts w:ascii="Arial" w:eastAsia="Arial" w:hAnsi="Arial" w:cs="Arial"/>
          <w:sz w:val="20"/>
          <w:szCs w:val="20"/>
        </w:rPr>
        <w:t>, duration (min), and amplitude (Δ) of these responses were quantified using Image J 1.53k software.</w:t>
      </w:r>
    </w:p>
    <w:p w14:paraId="06BA790E" w14:textId="1D42EF7D" w:rsidR="00BF5E19" w:rsidRPr="00AF6329" w:rsidRDefault="00000000">
      <w:pPr>
        <w:spacing w:before="240" w:after="240" w:line="480" w:lineRule="auto"/>
        <w:jc w:val="both"/>
        <w:rPr>
          <w:rFonts w:ascii="Arial" w:eastAsia="Arial" w:hAnsi="Arial" w:cs="Arial"/>
          <w:sz w:val="20"/>
          <w:szCs w:val="20"/>
        </w:rPr>
      </w:pPr>
      <w:r w:rsidRPr="00AF6329">
        <w:rPr>
          <w:rFonts w:ascii="Arial" w:eastAsia="Arial" w:hAnsi="Arial" w:cs="Arial"/>
          <w:sz w:val="20"/>
          <w:szCs w:val="20"/>
        </w:rPr>
        <w:t>Pathways and kinetics of initial r</w:t>
      </w:r>
      <w:r w:rsidRPr="00AF6329">
        <w:rPr>
          <w:rFonts w:ascii="Arial" w:eastAsia="Arial" w:hAnsi="Arial" w:cs="Arial"/>
          <w:sz w:val="20"/>
          <w:szCs w:val="20"/>
          <w:vertAlign w:val="subscript"/>
        </w:rPr>
        <w:t>c</w:t>
      </w:r>
      <w:r w:rsidRPr="00AF6329">
        <w:rPr>
          <w:rFonts w:ascii="Arial" w:eastAsia="Arial" w:hAnsi="Arial" w:cs="Arial"/>
          <w:sz w:val="20"/>
          <w:szCs w:val="20"/>
        </w:rPr>
        <w:t>SO</w:t>
      </w:r>
      <w:r w:rsidRPr="00AF6329">
        <w:rPr>
          <w:rFonts w:ascii="Arial" w:eastAsia="Arial" w:hAnsi="Arial" w:cs="Arial"/>
          <w:sz w:val="20"/>
          <w:szCs w:val="20"/>
          <w:vertAlign w:val="subscript"/>
        </w:rPr>
        <w:t>2</w:t>
      </w:r>
      <w:r w:rsidRPr="00AF6329">
        <w:rPr>
          <w:rFonts w:ascii="Arial" w:eastAsia="Arial" w:hAnsi="Arial" w:cs="Arial"/>
          <w:sz w:val="20"/>
          <w:szCs w:val="20"/>
        </w:rPr>
        <w:t>% responses were extrapolated from sequential observations within ROIs, with the initial response's propagation speed being a particular focus, calculated using inter-ROI central distances. Analysis only included initial responses to preclude data confounding.</w:t>
      </w:r>
    </w:p>
    <w:p w14:paraId="3AC2C7EE" w14:textId="77777777" w:rsidR="00BF5E19" w:rsidRDefault="00000000">
      <w:pPr>
        <w:spacing w:line="480" w:lineRule="auto"/>
        <w:ind w:firstLine="700"/>
        <w:jc w:val="both"/>
        <w:rPr>
          <w:rFonts w:ascii="Arial" w:eastAsia="Arial" w:hAnsi="Arial" w:cs="Arial"/>
          <w:i/>
          <w:sz w:val="20"/>
          <w:szCs w:val="20"/>
          <w:u w:val="single"/>
        </w:rPr>
      </w:pPr>
      <w:r>
        <w:rPr>
          <w:rFonts w:ascii="Arial" w:eastAsia="Arial" w:hAnsi="Arial" w:cs="Arial"/>
          <w:i/>
          <w:sz w:val="20"/>
          <w:szCs w:val="20"/>
          <w:u w:val="single"/>
        </w:rPr>
        <w:t xml:space="preserve">Components of the </w:t>
      </w:r>
      <w:r>
        <w:rPr>
          <w:rFonts w:ascii="Arial" w:eastAsia="Arial" w:hAnsi="Arial" w:cs="Arial"/>
          <w:sz w:val="20"/>
          <w:szCs w:val="20"/>
          <w:u w:val="single"/>
        </w:rPr>
        <w:t>r</w:t>
      </w:r>
      <w:r>
        <w:rPr>
          <w:rFonts w:ascii="Arial" w:eastAsia="Arial" w:hAnsi="Arial" w:cs="Arial"/>
          <w:sz w:val="20"/>
          <w:szCs w:val="20"/>
          <w:u w:val="single"/>
          <w:vertAlign w:val="subscript"/>
        </w:rPr>
        <w:t>c</w:t>
      </w:r>
      <w:r>
        <w:rPr>
          <w:rFonts w:ascii="Arial" w:eastAsia="Arial" w:hAnsi="Arial" w:cs="Arial"/>
          <w:sz w:val="20"/>
          <w:szCs w:val="20"/>
          <w:u w:val="single"/>
        </w:rPr>
        <w:t>SO</w:t>
      </w:r>
      <w:r>
        <w:rPr>
          <w:rFonts w:ascii="Arial" w:eastAsia="Arial" w:hAnsi="Arial" w:cs="Arial"/>
          <w:sz w:val="20"/>
          <w:szCs w:val="20"/>
          <w:u w:val="single"/>
          <w:vertAlign w:val="subscript"/>
        </w:rPr>
        <w:t>2</w:t>
      </w:r>
      <w:r>
        <w:rPr>
          <w:rFonts w:ascii="Arial" w:eastAsia="Arial" w:hAnsi="Arial" w:cs="Arial"/>
          <w:sz w:val="20"/>
          <w:szCs w:val="20"/>
          <w:u w:val="single"/>
        </w:rPr>
        <w:t>%</w:t>
      </w:r>
      <w:r>
        <w:rPr>
          <w:rFonts w:ascii="Arial" w:eastAsia="Arial" w:hAnsi="Arial" w:cs="Arial"/>
          <w:i/>
          <w:sz w:val="20"/>
          <w:szCs w:val="20"/>
          <w:u w:val="single"/>
        </w:rPr>
        <w:t xml:space="preserve"> response</w:t>
      </w:r>
    </w:p>
    <w:p w14:paraId="5D7CD7FD" w14:textId="02FD9975" w:rsidR="00BF5E19" w:rsidRDefault="00000000">
      <w:pPr>
        <w:spacing w:line="480" w:lineRule="auto"/>
        <w:jc w:val="both"/>
        <w:rPr>
          <w:rFonts w:ascii="Arial" w:eastAsia="Arial" w:hAnsi="Arial" w:cs="Arial"/>
          <w:sz w:val="20"/>
          <w:szCs w:val="20"/>
        </w:rPr>
      </w:pPr>
      <w:r w:rsidRPr="00AF6329">
        <w:rPr>
          <w:rFonts w:ascii="Arial" w:eastAsia="Arial" w:hAnsi="Arial" w:cs="Arial"/>
          <w:sz w:val="20"/>
          <w:szCs w:val="20"/>
        </w:rPr>
        <w:lastRenderedPageBreak/>
        <w:t>Each response was dissected into distinct 'components' reflecting either an increase or decrease in r</w:t>
      </w:r>
      <w:r w:rsidRPr="00AF6329">
        <w:rPr>
          <w:rFonts w:ascii="Arial" w:eastAsia="Arial" w:hAnsi="Arial" w:cs="Arial"/>
          <w:sz w:val="20"/>
          <w:szCs w:val="20"/>
          <w:vertAlign w:val="subscript"/>
        </w:rPr>
        <w:t>c</w:t>
      </w:r>
      <w:r w:rsidRPr="00AF6329">
        <w:rPr>
          <w:rFonts w:ascii="Arial" w:eastAsia="Arial" w:hAnsi="Arial" w:cs="Arial"/>
          <w:sz w:val="20"/>
          <w:szCs w:val="20"/>
        </w:rPr>
        <w:t>SO</w:t>
      </w:r>
      <w:r w:rsidRPr="00AF6329">
        <w:rPr>
          <w:rFonts w:ascii="Arial" w:eastAsia="Arial" w:hAnsi="Arial" w:cs="Arial"/>
          <w:sz w:val="20"/>
          <w:szCs w:val="20"/>
          <w:vertAlign w:val="subscript"/>
        </w:rPr>
        <w:t>2</w:t>
      </w:r>
      <w:r w:rsidRPr="00AF6329">
        <w:rPr>
          <w:rFonts w:ascii="Arial" w:eastAsia="Arial" w:hAnsi="Arial" w:cs="Arial"/>
          <w:sz w:val="20"/>
          <w:szCs w:val="20"/>
        </w:rPr>
        <w:t>% relative to the baseline. We</w:t>
      </w:r>
      <w:r>
        <w:rPr>
          <w:rFonts w:ascii="Arial" w:eastAsia="Arial" w:hAnsi="Arial" w:cs="Arial"/>
          <w:sz w:val="20"/>
          <w:szCs w:val="20"/>
        </w:rPr>
        <w:t xml:space="preserve"> analyzed the following characteristics of these components using the Image J 1.53k Software program: occurrence, duration (min), and amplitude (Δ r</w:t>
      </w:r>
      <w:r>
        <w:rPr>
          <w:rFonts w:ascii="Arial" w:eastAsia="Arial" w:hAnsi="Arial" w:cs="Arial"/>
          <w:sz w:val="20"/>
          <w:szCs w:val="20"/>
          <w:vertAlign w:val="subscript"/>
        </w:rPr>
        <w:t>c</w:t>
      </w:r>
      <w:r>
        <w:rPr>
          <w:rFonts w:ascii="Arial" w:eastAsia="Arial" w:hAnsi="Arial" w:cs="Arial"/>
          <w:sz w:val="20"/>
          <w:szCs w:val="20"/>
        </w:rPr>
        <w:t>SO</w:t>
      </w:r>
      <w:r>
        <w:rPr>
          <w:rFonts w:ascii="Arial" w:eastAsia="Arial" w:hAnsi="Arial" w:cs="Arial"/>
          <w:sz w:val="20"/>
          <w:szCs w:val="20"/>
          <w:vertAlign w:val="subscript"/>
        </w:rPr>
        <w:t>2</w:t>
      </w:r>
      <w:r>
        <w:rPr>
          <w:rFonts w:ascii="Arial" w:eastAsia="Arial" w:hAnsi="Arial" w:cs="Arial"/>
          <w:sz w:val="20"/>
          <w:szCs w:val="20"/>
        </w:rPr>
        <w:t>%).</w:t>
      </w:r>
    </w:p>
    <w:p w14:paraId="1976FFA5" w14:textId="77777777" w:rsidR="00BF5E19" w:rsidRDefault="00000000">
      <w:pPr>
        <w:spacing w:line="480" w:lineRule="auto"/>
        <w:jc w:val="both"/>
        <w:rPr>
          <w:rFonts w:ascii="Arial" w:eastAsia="Arial" w:hAnsi="Arial" w:cs="Arial"/>
          <w:sz w:val="20"/>
          <w:szCs w:val="20"/>
        </w:rPr>
      </w:pPr>
      <w:r>
        <w:rPr>
          <w:rFonts w:ascii="Arial" w:eastAsia="Arial" w:hAnsi="Arial" w:cs="Arial"/>
          <w:sz w:val="20"/>
          <w:szCs w:val="20"/>
        </w:rPr>
        <w:t>In reminiscence of the principal hemodynamic components described by Ayata et al. [4] in response to an SD, we categorized four distinct components based on their r</w:t>
      </w:r>
      <w:r>
        <w:rPr>
          <w:rFonts w:ascii="Arial" w:eastAsia="Arial" w:hAnsi="Arial" w:cs="Arial"/>
          <w:sz w:val="20"/>
          <w:szCs w:val="20"/>
          <w:vertAlign w:val="subscript"/>
        </w:rPr>
        <w:t>c</w:t>
      </w:r>
      <w:r>
        <w:rPr>
          <w:rFonts w:ascii="Arial" w:eastAsia="Arial" w:hAnsi="Arial" w:cs="Arial"/>
          <w:sz w:val="20"/>
          <w:szCs w:val="20"/>
        </w:rPr>
        <w:t>SO</w:t>
      </w:r>
      <w:r>
        <w:rPr>
          <w:rFonts w:ascii="Arial" w:eastAsia="Arial" w:hAnsi="Arial" w:cs="Arial"/>
          <w:sz w:val="20"/>
          <w:szCs w:val="20"/>
          <w:vertAlign w:val="subscript"/>
        </w:rPr>
        <w:t>2</w:t>
      </w:r>
      <w:r>
        <w:rPr>
          <w:rFonts w:ascii="Arial" w:eastAsia="Arial" w:hAnsi="Arial" w:cs="Arial"/>
          <w:sz w:val="20"/>
          <w:szCs w:val="20"/>
        </w:rPr>
        <w:t>% levels and duration. Components were classified as hyperoxic if r</w:t>
      </w:r>
      <w:r>
        <w:rPr>
          <w:rFonts w:ascii="Arial" w:eastAsia="Arial" w:hAnsi="Arial" w:cs="Arial"/>
          <w:sz w:val="20"/>
          <w:szCs w:val="20"/>
          <w:vertAlign w:val="subscript"/>
        </w:rPr>
        <w:t>c</w:t>
      </w:r>
      <w:r>
        <w:rPr>
          <w:rFonts w:ascii="Arial" w:eastAsia="Arial" w:hAnsi="Arial" w:cs="Arial"/>
          <w:sz w:val="20"/>
          <w:szCs w:val="20"/>
        </w:rPr>
        <w:t>SO</w:t>
      </w:r>
      <w:r>
        <w:rPr>
          <w:rFonts w:ascii="Arial" w:eastAsia="Arial" w:hAnsi="Arial" w:cs="Arial"/>
          <w:sz w:val="20"/>
          <w:szCs w:val="20"/>
          <w:vertAlign w:val="subscript"/>
        </w:rPr>
        <w:t>2</w:t>
      </w:r>
      <w:r>
        <w:rPr>
          <w:rFonts w:ascii="Arial" w:eastAsia="Arial" w:hAnsi="Arial" w:cs="Arial"/>
          <w:sz w:val="20"/>
          <w:szCs w:val="20"/>
        </w:rPr>
        <w:t>% was above the baseline level and hypoxic below the baseline level. Peak and long-lasting components were distinguished with a 3-minute cut-off point according to the usual duration of peak hyperemia (up to 3 min) and late hyperemia (4 to 8 min) described within the hemodynamic response to SDs. Thus, we defined the following components</w:t>
      </w:r>
      <w:r>
        <w:rPr>
          <w:rFonts w:ascii="Arial" w:eastAsia="Arial" w:hAnsi="Arial" w:cs="Arial"/>
          <w:b/>
          <w:sz w:val="20"/>
          <w:szCs w:val="20"/>
        </w:rPr>
        <w:t xml:space="preserve"> </w:t>
      </w:r>
      <w:r>
        <w:rPr>
          <w:rFonts w:ascii="Arial" w:eastAsia="Arial" w:hAnsi="Arial" w:cs="Arial"/>
          <w:sz w:val="20"/>
          <w:szCs w:val="20"/>
        </w:rPr>
        <w:t xml:space="preserve">(refer </w:t>
      </w:r>
      <w:r w:rsidRPr="00A92E4E">
        <w:rPr>
          <w:rFonts w:ascii="Arial" w:eastAsia="Arial" w:hAnsi="Arial" w:cs="Arial"/>
          <w:sz w:val="20"/>
          <w:szCs w:val="20"/>
        </w:rPr>
        <w:t xml:space="preserve">to </w:t>
      </w:r>
      <w:r w:rsidRPr="00A92E4E">
        <w:rPr>
          <w:rFonts w:ascii="Arial" w:eastAsia="Arial" w:hAnsi="Arial" w:cs="Arial"/>
          <w:b/>
          <w:sz w:val="20"/>
          <w:szCs w:val="20"/>
        </w:rPr>
        <w:t>Supplementary Figure 1d</w:t>
      </w:r>
      <w:r w:rsidRPr="00A92E4E">
        <w:rPr>
          <w:rFonts w:ascii="Arial" w:eastAsia="Arial" w:hAnsi="Arial" w:cs="Arial"/>
          <w:sz w:val="20"/>
          <w:szCs w:val="20"/>
        </w:rPr>
        <w:t xml:space="preserve"> within</w:t>
      </w:r>
      <w:r>
        <w:rPr>
          <w:rFonts w:ascii="Arial" w:eastAsia="Arial" w:hAnsi="Arial" w:cs="Arial"/>
          <w:sz w:val="20"/>
          <w:szCs w:val="20"/>
        </w:rPr>
        <w:t xml:space="preserve"> the </w:t>
      </w:r>
      <w:r>
        <w:rPr>
          <w:rFonts w:ascii="Arial" w:eastAsia="Arial" w:hAnsi="Arial" w:cs="Arial"/>
          <w:b/>
          <w:sz w:val="20"/>
          <w:szCs w:val="20"/>
        </w:rPr>
        <w:t>Online Resource 4</w:t>
      </w:r>
      <w:r>
        <w:rPr>
          <w:rFonts w:ascii="Arial" w:eastAsia="Arial" w:hAnsi="Arial" w:cs="Arial"/>
          <w:sz w:val="20"/>
          <w:szCs w:val="20"/>
        </w:rPr>
        <w:t>):</w:t>
      </w:r>
    </w:p>
    <w:p w14:paraId="053A24A7" w14:textId="77777777" w:rsidR="00BF5E19" w:rsidRPr="00AF6329" w:rsidRDefault="00000000">
      <w:pPr>
        <w:spacing w:line="480" w:lineRule="auto"/>
        <w:ind w:left="700"/>
        <w:jc w:val="both"/>
        <w:rPr>
          <w:rFonts w:ascii="Arial" w:eastAsia="Arial" w:hAnsi="Arial" w:cs="Arial"/>
          <w:sz w:val="20"/>
          <w:szCs w:val="20"/>
        </w:rPr>
      </w:pPr>
      <w:r w:rsidRPr="00AF6329">
        <w:rPr>
          <w:rFonts w:ascii="Arial" w:eastAsia="Arial" w:hAnsi="Arial" w:cs="Arial"/>
          <w:sz w:val="20"/>
          <w:szCs w:val="20"/>
        </w:rPr>
        <w:t>• Initial hypoxia (Component II): a baseline reduction preceding any hyperoxic phase or a decrease that occurs during a peak hyperoxia.</w:t>
      </w:r>
    </w:p>
    <w:p w14:paraId="229CC7A1" w14:textId="77777777" w:rsidR="00BF5E19" w:rsidRPr="00AF6329" w:rsidRDefault="00000000">
      <w:pPr>
        <w:spacing w:line="480" w:lineRule="auto"/>
        <w:ind w:left="700"/>
        <w:jc w:val="both"/>
        <w:rPr>
          <w:rFonts w:ascii="Arial" w:eastAsia="Arial" w:hAnsi="Arial" w:cs="Arial"/>
          <w:sz w:val="20"/>
          <w:szCs w:val="20"/>
        </w:rPr>
      </w:pPr>
      <w:r w:rsidRPr="00AF6329">
        <w:rPr>
          <w:rFonts w:ascii="Arial" w:eastAsia="Arial" w:hAnsi="Arial" w:cs="Arial"/>
          <w:sz w:val="20"/>
          <w:szCs w:val="20"/>
        </w:rPr>
        <w:t>• Peak hyperoxia (Component III): a predominant baseline elevation lasting under 3 minutes.</w:t>
      </w:r>
    </w:p>
    <w:p w14:paraId="73A31E5D" w14:textId="77777777" w:rsidR="00BF5E19" w:rsidRPr="00AF6329" w:rsidRDefault="00000000">
      <w:pPr>
        <w:spacing w:line="480" w:lineRule="auto"/>
        <w:ind w:left="700"/>
        <w:jc w:val="both"/>
        <w:rPr>
          <w:rFonts w:ascii="Arial" w:eastAsia="Arial" w:hAnsi="Arial" w:cs="Arial"/>
          <w:sz w:val="20"/>
          <w:szCs w:val="20"/>
        </w:rPr>
      </w:pPr>
      <w:r w:rsidRPr="00AF6329">
        <w:rPr>
          <w:rFonts w:ascii="Arial" w:eastAsia="Arial" w:hAnsi="Arial" w:cs="Arial"/>
          <w:sz w:val="20"/>
          <w:szCs w:val="20"/>
        </w:rPr>
        <w:t>• Late hyperoxia (Component IV): a sustained baseline elevation extending beyond 3 or a slowing of the descent phase following peak hyperoxia.</w:t>
      </w:r>
    </w:p>
    <w:p w14:paraId="53D0BC70" w14:textId="77777777" w:rsidR="00BF5E19" w:rsidRPr="00AF6329" w:rsidRDefault="00000000">
      <w:pPr>
        <w:spacing w:line="480" w:lineRule="auto"/>
        <w:ind w:left="700"/>
        <w:jc w:val="both"/>
        <w:rPr>
          <w:rFonts w:ascii="Arial" w:eastAsia="Arial" w:hAnsi="Arial" w:cs="Arial"/>
          <w:sz w:val="20"/>
          <w:szCs w:val="20"/>
        </w:rPr>
      </w:pPr>
      <w:r w:rsidRPr="00AF6329">
        <w:rPr>
          <w:rFonts w:ascii="Arial" w:eastAsia="Arial" w:hAnsi="Arial" w:cs="Arial"/>
          <w:sz w:val="20"/>
          <w:szCs w:val="20"/>
        </w:rPr>
        <w:t>• Post-SD hypoxia (Component V): a baseline decline persisting for over 3 minutes.</w:t>
      </w:r>
    </w:p>
    <w:p w14:paraId="09D9E8D6" w14:textId="729688CC" w:rsidR="00BF5E19" w:rsidRDefault="00000000">
      <w:pPr>
        <w:spacing w:line="480" w:lineRule="auto"/>
        <w:jc w:val="both"/>
        <w:rPr>
          <w:rFonts w:ascii="Arial" w:eastAsia="Arial" w:hAnsi="Arial" w:cs="Arial"/>
          <w:sz w:val="20"/>
          <w:szCs w:val="20"/>
        </w:rPr>
      </w:pPr>
      <w:r>
        <w:rPr>
          <w:rFonts w:ascii="Arial" w:eastAsia="Arial" w:hAnsi="Arial" w:cs="Arial"/>
          <w:sz w:val="20"/>
          <w:szCs w:val="20"/>
        </w:rPr>
        <w:t xml:space="preserve">Furthermore, we identified other components to a lesser extent. Brief hyperoxia (Component I) was characterized as an increase occurring before peak or late hyperoxia. Peak hypoxia was defined as a predominant decrease below the baseline level lasting less than 3 min and not followed by hyperoxia (peak or late). Finally, nonspecific variations encompassed changes that did not meet the criteria for the components mentioned above. As an additional analysis, we identified the different morphologies of the rcSO2% responses considering the combination of all the </w:t>
      </w:r>
      <w:r w:rsidR="00AF6329">
        <w:rPr>
          <w:rFonts w:ascii="Arial" w:eastAsia="Arial" w:hAnsi="Arial" w:cs="Arial"/>
          <w:sz w:val="20"/>
          <w:szCs w:val="20"/>
        </w:rPr>
        <w:t xml:space="preserve">aforementioned </w:t>
      </w:r>
      <w:r>
        <w:rPr>
          <w:rFonts w:ascii="Arial" w:eastAsia="Arial" w:hAnsi="Arial" w:cs="Arial"/>
          <w:sz w:val="20"/>
          <w:szCs w:val="20"/>
        </w:rPr>
        <w:t>components.</w:t>
      </w:r>
    </w:p>
    <w:p w14:paraId="07C60C8C" w14:textId="77777777" w:rsidR="00BF5E19" w:rsidRDefault="00000000">
      <w:pPr>
        <w:spacing w:line="480" w:lineRule="auto"/>
        <w:ind w:firstLine="700"/>
        <w:jc w:val="both"/>
        <w:rPr>
          <w:rFonts w:ascii="Arial" w:eastAsia="Arial" w:hAnsi="Arial" w:cs="Arial"/>
          <w:i/>
          <w:sz w:val="20"/>
          <w:szCs w:val="20"/>
          <w:u w:val="single"/>
        </w:rPr>
      </w:pPr>
      <w:r>
        <w:rPr>
          <w:rFonts w:ascii="Arial" w:eastAsia="Arial" w:hAnsi="Arial" w:cs="Arial"/>
          <w:i/>
          <w:sz w:val="20"/>
          <w:szCs w:val="20"/>
          <w:u w:val="single"/>
        </w:rPr>
        <w:t xml:space="preserve">Classification of </w:t>
      </w:r>
      <w:r>
        <w:rPr>
          <w:rFonts w:ascii="Arial" w:eastAsia="Arial" w:hAnsi="Arial" w:cs="Arial"/>
          <w:sz w:val="20"/>
          <w:szCs w:val="20"/>
          <w:u w:val="single"/>
        </w:rPr>
        <w:t>r</w:t>
      </w:r>
      <w:r>
        <w:rPr>
          <w:rFonts w:ascii="Arial" w:eastAsia="Arial" w:hAnsi="Arial" w:cs="Arial"/>
          <w:sz w:val="20"/>
          <w:szCs w:val="20"/>
          <w:u w:val="single"/>
          <w:vertAlign w:val="subscript"/>
        </w:rPr>
        <w:t>c</w:t>
      </w:r>
      <w:r>
        <w:rPr>
          <w:rFonts w:ascii="Arial" w:eastAsia="Arial" w:hAnsi="Arial" w:cs="Arial"/>
          <w:sz w:val="20"/>
          <w:szCs w:val="20"/>
          <w:u w:val="single"/>
        </w:rPr>
        <w:t>SO</w:t>
      </w:r>
      <w:r>
        <w:rPr>
          <w:rFonts w:ascii="Arial" w:eastAsia="Arial" w:hAnsi="Arial" w:cs="Arial"/>
          <w:sz w:val="20"/>
          <w:szCs w:val="20"/>
          <w:u w:val="single"/>
          <w:vertAlign w:val="subscript"/>
        </w:rPr>
        <w:t>2</w:t>
      </w:r>
      <w:r>
        <w:rPr>
          <w:rFonts w:ascii="Arial" w:eastAsia="Arial" w:hAnsi="Arial" w:cs="Arial"/>
          <w:sz w:val="20"/>
          <w:szCs w:val="20"/>
          <w:u w:val="single"/>
        </w:rPr>
        <w:t>%</w:t>
      </w:r>
      <w:r>
        <w:rPr>
          <w:rFonts w:ascii="Arial" w:eastAsia="Arial" w:hAnsi="Arial" w:cs="Arial"/>
          <w:i/>
          <w:sz w:val="20"/>
          <w:szCs w:val="20"/>
          <w:u w:val="single"/>
        </w:rPr>
        <w:t xml:space="preserve"> Response Types</w:t>
      </w:r>
    </w:p>
    <w:p w14:paraId="53DC102E" w14:textId="77777777" w:rsidR="00BF5E19" w:rsidRPr="00AF6329" w:rsidRDefault="00000000">
      <w:pPr>
        <w:spacing w:before="240" w:after="240" w:line="480" w:lineRule="auto"/>
        <w:jc w:val="both"/>
        <w:rPr>
          <w:rFonts w:ascii="Arial" w:eastAsia="Arial" w:hAnsi="Arial" w:cs="Arial"/>
          <w:sz w:val="20"/>
          <w:szCs w:val="20"/>
        </w:rPr>
      </w:pPr>
      <w:r w:rsidRPr="00AF6329">
        <w:rPr>
          <w:rFonts w:ascii="Arial" w:eastAsia="Arial" w:hAnsi="Arial" w:cs="Arial"/>
          <w:sz w:val="20"/>
          <w:szCs w:val="20"/>
        </w:rPr>
        <w:lastRenderedPageBreak/>
        <w:t>The aggregate of the predominant components (III, IV, V, and peak hypoxia) yielded three distinct response classifications:</w:t>
      </w:r>
    </w:p>
    <w:p w14:paraId="3C658CD4" w14:textId="77777777" w:rsidR="00BF5E19" w:rsidRPr="00AF6329" w:rsidRDefault="00000000">
      <w:pPr>
        <w:numPr>
          <w:ilvl w:val="0"/>
          <w:numId w:val="1"/>
        </w:numPr>
        <w:spacing w:before="240" w:after="0" w:line="480" w:lineRule="auto"/>
        <w:jc w:val="both"/>
        <w:rPr>
          <w:rFonts w:ascii="Arial" w:eastAsia="Arial" w:hAnsi="Arial" w:cs="Arial"/>
          <w:sz w:val="20"/>
          <w:szCs w:val="20"/>
        </w:rPr>
      </w:pPr>
      <w:r w:rsidRPr="00AF6329">
        <w:rPr>
          <w:rFonts w:ascii="Arial" w:eastAsia="Arial" w:hAnsi="Arial" w:cs="Arial"/>
          <w:sz w:val="20"/>
          <w:szCs w:val="20"/>
        </w:rPr>
        <w:t>Hyperoxic (type A): Isolated or combined occurrences of Components III and IV.</w:t>
      </w:r>
    </w:p>
    <w:p w14:paraId="1ED86BDF" w14:textId="77777777" w:rsidR="00BF5E19" w:rsidRPr="00AF6329" w:rsidRDefault="00000000">
      <w:pPr>
        <w:numPr>
          <w:ilvl w:val="0"/>
          <w:numId w:val="1"/>
        </w:numPr>
        <w:spacing w:after="0" w:line="480" w:lineRule="auto"/>
        <w:jc w:val="both"/>
        <w:rPr>
          <w:rFonts w:ascii="Arial" w:eastAsia="Arial" w:hAnsi="Arial" w:cs="Arial"/>
          <w:sz w:val="20"/>
          <w:szCs w:val="20"/>
        </w:rPr>
      </w:pPr>
      <w:r w:rsidRPr="00AF6329">
        <w:rPr>
          <w:rFonts w:ascii="Arial" w:eastAsia="Arial" w:hAnsi="Arial" w:cs="Arial"/>
          <w:sz w:val="20"/>
          <w:szCs w:val="20"/>
        </w:rPr>
        <w:t>Mixed (type B): Any hyperoxic component (III or/and IV)  preceding a hypoxic phase (V or peak hypoxia).</w:t>
      </w:r>
    </w:p>
    <w:p w14:paraId="6FAF0F18" w14:textId="77777777" w:rsidR="00BF5E19" w:rsidRPr="00AF6329" w:rsidRDefault="00000000">
      <w:pPr>
        <w:numPr>
          <w:ilvl w:val="0"/>
          <w:numId w:val="1"/>
        </w:numPr>
        <w:spacing w:after="240" w:line="480" w:lineRule="auto"/>
        <w:jc w:val="both"/>
        <w:rPr>
          <w:rFonts w:ascii="Arial" w:eastAsia="Arial" w:hAnsi="Arial" w:cs="Arial"/>
          <w:sz w:val="20"/>
          <w:szCs w:val="20"/>
        </w:rPr>
      </w:pPr>
      <w:r w:rsidRPr="00AF6329">
        <w:rPr>
          <w:rFonts w:ascii="Arial" w:eastAsia="Arial" w:hAnsi="Arial" w:cs="Arial"/>
          <w:sz w:val="20"/>
          <w:szCs w:val="20"/>
        </w:rPr>
        <w:t>Hypoxic (type C): Isolated instances of Component V or peak hypoxia.</w:t>
      </w:r>
    </w:p>
    <w:p w14:paraId="29E2F7B1" w14:textId="77777777" w:rsidR="00BF5E19" w:rsidRPr="00AF6329" w:rsidRDefault="00000000">
      <w:pPr>
        <w:spacing w:before="240" w:after="240" w:line="480" w:lineRule="auto"/>
        <w:jc w:val="both"/>
        <w:rPr>
          <w:rFonts w:ascii="Arial" w:eastAsia="Arial" w:hAnsi="Arial" w:cs="Arial"/>
          <w:sz w:val="20"/>
          <w:szCs w:val="20"/>
        </w:rPr>
      </w:pPr>
      <w:r w:rsidRPr="00AF6329">
        <w:rPr>
          <w:rFonts w:ascii="Arial" w:eastAsia="Arial" w:hAnsi="Arial" w:cs="Arial"/>
          <w:sz w:val="20"/>
          <w:szCs w:val="20"/>
        </w:rPr>
        <w:t>Quantitative features of these responses, including incidence, duration (min), and amplitude extremes (Δr</w:t>
      </w:r>
      <w:r w:rsidRPr="00AF6329">
        <w:rPr>
          <w:rFonts w:ascii="Arial" w:eastAsia="Arial" w:hAnsi="Arial" w:cs="Arial"/>
          <w:sz w:val="20"/>
          <w:szCs w:val="20"/>
          <w:vertAlign w:val="subscript"/>
        </w:rPr>
        <w:t>c</w:t>
      </w:r>
      <w:r w:rsidRPr="00AF6329">
        <w:rPr>
          <w:rFonts w:ascii="Arial" w:eastAsia="Arial" w:hAnsi="Arial" w:cs="Arial"/>
          <w:sz w:val="20"/>
          <w:szCs w:val="20"/>
        </w:rPr>
        <w:t>SO</w:t>
      </w:r>
      <w:r w:rsidRPr="00AF6329">
        <w:rPr>
          <w:rFonts w:ascii="Arial" w:eastAsia="Arial" w:hAnsi="Arial" w:cs="Arial"/>
          <w:sz w:val="20"/>
          <w:szCs w:val="20"/>
          <w:vertAlign w:val="subscript"/>
        </w:rPr>
        <w:t>2</w:t>
      </w:r>
      <w:r w:rsidRPr="00AF6329">
        <w:rPr>
          <w:rFonts w:ascii="Arial" w:eastAsia="Arial" w:hAnsi="Arial" w:cs="Arial"/>
          <w:sz w:val="20"/>
          <w:szCs w:val="20"/>
        </w:rPr>
        <w:t>%), were documented using the Image J 1.53k platform.</w:t>
      </w:r>
    </w:p>
    <w:p w14:paraId="03451167" w14:textId="77777777" w:rsidR="00BF5E19" w:rsidRDefault="00000000">
      <w:pPr>
        <w:spacing w:before="240" w:after="240" w:line="480" w:lineRule="auto"/>
        <w:jc w:val="both"/>
        <w:rPr>
          <w:rFonts w:ascii="Arial" w:eastAsia="Arial" w:hAnsi="Arial" w:cs="Arial"/>
          <w:b/>
          <w:sz w:val="20"/>
          <w:szCs w:val="20"/>
        </w:rPr>
      </w:pPr>
      <w:r>
        <w:rPr>
          <w:rFonts w:ascii="Arial" w:eastAsia="Arial" w:hAnsi="Arial" w:cs="Arial"/>
          <w:b/>
          <w:sz w:val="20"/>
          <w:szCs w:val="20"/>
        </w:rPr>
        <w:t>Histological analysis</w:t>
      </w:r>
    </w:p>
    <w:p w14:paraId="0BB95691" w14:textId="2266151D" w:rsidR="00BF5E19" w:rsidRDefault="00000000">
      <w:pPr>
        <w:spacing w:before="240" w:after="240" w:line="480" w:lineRule="auto"/>
        <w:jc w:val="both"/>
        <w:rPr>
          <w:rFonts w:ascii="Arial" w:eastAsia="Arial" w:hAnsi="Arial" w:cs="Arial"/>
          <w:b/>
          <w:sz w:val="20"/>
          <w:szCs w:val="20"/>
        </w:rPr>
      </w:pPr>
      <w:r w:rsidRPr="007F3D92">
        <w:rPr>
          <w:rFonts w:ascii="Arial" w:eastAsia="Arial" w:hAnsi="Arial" w:cs="Arial"/>
          <w:sz w:val="20"/>
          <w:szCs w:val="20"/>
        </w:rPr>
        <w:t>Serial sections (3 µm thickness) were cut and stained with hematoxylin and eosin. The histological sections were scanned and evaluated using specific software (</w:t>
      </w:r>
      <w:proofErr w:type="spellStart"/>
      <w:r w:rsidRPr="007F3D92">
        <w:rPr>
          <w:rFonts w:ascii="Arial" w:eastAsia="Arial" w:hAnsi="Arial" w:cs="Arial"/>
          <w:sz w:val="20"/>
          <w:szCs w:val="20"/>
        </w:rPr>
        <w:t>Aperio</w:t>
      </w:r>
      <w:proofErr w:type="spellEnd"/>
      <w:r w:rsidRPr="007F3D92">
        <w:rPr>
          <w:rFonts w:ascii="Arial" w:eastAsia="Arial" w:hAnsi="Arial" w:cs="Arial"/>
          <w:sz w:val="20"/>
          <w:szCs w:val="20"/>
        </w:rPr>
        <w:t xml:space="preserve">, </w:t>
      </w:r>
      <w:proofErr w:type="spellStart"/>
      <w:r w:rsidRPr="007F3D92">
        <w:rPr>
          <w:rFonts w:ascii="Arial" w:eastAsia="Arial" w:hAnsi="Arial" w:cs="Arial"/>
          <w:sz w:val="20"/>
          <w:szCs w:val="20"/>
        </w:rPr>
        <w:t>Imagescope</w:t>
      </w:r>
      <w:proofErr w:type="spellEnd"/>
      <w:r w:rsidRPr="007F3D92">
        <w:rPr>
          <w:rFonts w:ascii="Arial" w:eastAsia="Arial" w:hAnsi="Arial" w:cs="Arial"/>
          <w:sz w:val="20"/>
          <w:szCs w:val="20"/>
        </w:rPr>
        <w:t xml:space="preserve">). </w:t>
      </w:r>
      <w:r w:rsidR="007F3D92" w:rsidRPr="007F3D92">
        <w:rPr>
          <w:rFonts w:ascii="Arial" w:eastAsia="Arial" w:hAnsi="Arial" w:cs="Arial"/>
          <w:sz w:val="20"/>
          <w:szCs w:val="20"/>
        </w:rPr>
        <w:t>The neuronal layers were assessed quantitatively and qualitatively to classify the histological layers of the cerebral gray matter and white matter</w:t>
      </w:r>
      <w:r w:rsidRPr="007F3D92">
        <w:rPr>
          <w:rFonts w:ascii="Arial" w:eastAsia="Arial" w:hAnsi="Arial" w:cs="Arial"/>
          <w:sz w:val="20"/>
          <w:szCs w:val="20"/>
        </w:rPr>
        <w:t xml:space="preserve">, considering the orientation of the cerebral convolutions. Brain sections were conducted on 6 animals, distinct from the subjects under investigation in this study but matching in terms of race, gender, and age. We identified </w:t>
      </w:r>
      <w:r w:rsidR="007F3D92" w:rsidRPr="007F3D92">
        <w:rPr>
          <w:rFonts w:ascii="Arial" w:eastAsia="Arial" w:hAnsi="Arial" w:cs="Arial"/>
          <w:sz w:val="20"/>
          <w:szCs w:val="20"/>
        </w:rPr>
        <w:t xml:space="preserve">a </w:t>
      </w:r>
      <w:r w:rsidRPr="007F3D92">
        <w:rPr>
          <w:rFonts w:ascii="Arial" w:eastAsia="Arial" w:hAnsi="Arial" w:cs="Arial"/>
          <w:sz w:val="20"/>
          <w:szCs w:val="20"/>
        </w:rPr>
        <w:t>heterogeneity of neuronal cells across the layers at various depths.</w:t>
      </w:r>
    </w:p>
    <w:p w14:paraId="603AAA5B" w14:textId="77777777" w:rsidR="00BF5E19" w:rsidRDefault="00000000">
      <w:pPr>
        <w:spacing w:before="240" w:line="480" w:lineRule="auto"/>
        <w:jc w:val="both"/>
        <w:rPr>
          <w:rFonts w:ascii="Arial" w:eastAsia="Arial" w:hAnsi="Arial" w:cs="Arial"/>
          <w:b/>
          <w:sz w:val="20"/>
          <w:szCs w:val="20"/>
        </w:rPr>
      </w:pPr>
      <w:r>
        <w:rPr>
          <w:rFonts w:ascii="Arial" w:eastAsia="Arial" w:hAnsi="Arial" w:cs="Arial"/>
          <w:b/>
          <w:sz w:val="20"/>
          <w:szCs w:val="20"/>
        </w:rPr>
        <w:t>Statistical analysis</w:t>
      </w:r>
    </w:p>
    <w:p w14:paraId="45A63FF0" w14:textId="77777777" w:rsidR="00BF5E19" w:rsidRDefault="00000000">
      <w:pPr>
        <w:spacing w:before="240" w:after="240" w:line="480" w:lineRule="auto"/>
        <w:jc w:val="both"/>
        <w:rPr>
          <w:rFonts w:ascii="Arial" w:eastAsia="Arial" w:hAnsi="Arial" w:cs="Arial"/>
          <w:sz w:val="20"/>
          <w:szCs w:val="20"/>
        </w:rPr>
      </w:pPr>
      <w:r w:rsidRPr="007F3D92">
        <w:rPr>
          <w:rFonts w:ascii="Arial" w:eastAsia="Arial" w:hAnsi="Arial" w:cs="Arial"/>
          <w:sz w:val="20"/>
          <w:szCs w:val="20"/>
        </w:rPr>
        <w:t>The normality of data distributions was ascertained via the Kolmogorov–Smirnov test. Descriptive statistics for normally distributed variables were presented as mean (m) ± standard deviation (Std), while those not normally distributed were presented as median (med) and interquartile ranges (IQR). Comparative analysis of non-normally distributed quantitative variables was performed using the Kruskal-Wallis test with Dunn-Bonferroni post hoc adjustments or the Mann-Whitney U test for two independent samples. Categorical variables underwent Chi-square evaluation. Statistical processes were executed using IBM SPSS Statistics 28.0.0.0 (SPSS Inc., Chicago, Illinois, USA), with a p-value threshold of &lt;0.05 demarcating statistical significance. All statistical tests were two-sided.</w:t>
      </w:r>
    </w:p>
    <w:p w14:paraId="15EFB168" w14:textId="77777777" w:rsidR="00BF5E19" w:rsidRDefault="00000000">
      <w:pPr>
        <w:spacing w:line="480" w:lineRule="auto"/>
        <w:jc w:val="both"/>
        <w:rPr>
          <w:rFonts w:ascii="Arial" w:eastAsia="Arial" w:hAnsi="Arial" w:cs="Arial"/>
          <w:b/>
        </w:rPr>
      </w:pPr>
      <w:r>
        <w:rPr>
          <w:rFonts w:ascii="Arial" w:eastAsia="Arial" w:hAnsi="Arial" w:cs="Arial"/>
          <w:b/>
        </w:rPr>
        <w:lastRenderedPageBreak/>
        <w:t>References</w:t>
      </w:r>
    </w:p>
    <w:p w14:paraId="2775A6BE" w14:textId="77777777" w:rsidR="00BF5E19" w:rsidRPr="007F3D92" w:rsidRDefault="00000000">
      <w:pPr>
        <w:numPr>
          <w:ilvl w:val="0"/>
          <w:numId w:val="2"/>
        </w:numPr>
        <w:spacing w:after="0" w:line="480" w:lineRule="auto"/>
        <w:jc w:val="both"/>
        <w:rPr>
          <w:rFonts w:ascii="Arial" w:eastAsia="Arial" w:hAnsi="Arial" w:cs="Arial"/>
          <w:sz w:val="20"/>
          <w:szCs w:val="20"/>
        </w:rPr>
      </w:pPr>
      <w:r w:rsidRPr="007F3D92">
        <w:rPr>
          <w:rFonts w:ascii="Arial" w:eastAsia="Arial" w:hAnsi="Arial" w:cs="Arial"/>
          <w:sz w:val="20"/>
          <w:szCs w:val="20"/>
          <w:lang w:val="de-DE"/>
        </w:rPr>
        <w:t xml:space="preserve">Nolden M, </w:t>
      </w:r>
      <w:proofErr w:type="spellStart"/>
      <w:r w:rsidRPr="007F3D92">
        <w:rPr>
          <w:rFonts w:ascii="Arial" w:eastAsia="Arial" w:hAnsi="Arial" w:cs="Arial"/>
          <w:sz w:val="20"/>
          <w:szCs w:val="20"/>
          <w:lang w:val="de-DE"/>
        </w:rPr>
        <w:t>Zelzer</w:t>
      </w:r>
      <w:proofErr w:type="spellEnd"/>
      <w:r w:rsidRPr="007F3D92">
        <w:rPr>
          <w:rFonts w:ascii="Arial" w:eastAsia="Arial" w:hAnsi="Arial" w:cs="Arial"/>
          <w:sz w:val="20"/>
          <w:szCs w:val="20"/>
          <w:lang w:val="de-DE"/>
        </w:rPr>
        <w:t xml:space="preserve"> S, </w:t>
      </w:r>
      <w:proofErr w:type="spellStart"/>
      <w:r w:rsidRPr="007F3D92">
        <w:rPr>
          <w:rFonts w:ascii="Arial" w:eastAsia="Arial" w:hAnsi="Arial" w:cs="Arial"/>
          <w:sz w:val="20"/>
          <w:szCs w:val="20"/>
          <w:lang w:val="de-DE"/>
        </w:rPr>
        <w:t>Seitel</w:t>
      </w:r>
      <w:proofErr w:type="spellEnd"/>
      <w:r w:rsidRPr="007F3D92">
        <w:rPr>
          <w:rFonts w:ascii="Arial" w:eastAsia="Arial" w:hAnsi="Arial" w:cs="Arial"/>
          <w:sz w:val="20"/>
          <w:szCs w:val="20"/>
          <w:lang w:val="de-DE"/>
        </w:rPr>
        <w:t xml:space="preserve"> A, Wald D, Müller M, Franz AM, et al. </w:t>
      </w:r>
      <w:r w:rsidRPr="007F3D92">
        <w:rPr>
          <w:rFonts w:ascii="Arial" w:eastAsia="Arial" w:hAnsi="Arial" w:cs="Arial"/>
          <w:sz w:val="20"/>
          <w:szCs w:val="20"/>
        </w:rPr>
        <w:t xml:space="preserve">The Medical Imaging Interaction Toolkit: challenges and advances: 10 Years of open-source development. Int J </w:t>
      </w:r>
      <w:proofErr w:type="spellStart"/>
      <w:r w:rsidRPr="007F3D92">
        <w:rPr>
          <w:rFonts w:ascii="Arial" w:eastAsia="Arial" w:hAnsi="Arial" w:cs="Arial"/>
          <w:sz w:val="20"/>
          <w:szCs w:val="20"/>
        </w:rPr>
        <w:t>Comput</w:t>
      </w:r>
      <w:proofErr w:type="spellEnd"/>
      <w:r w:rsidRPr="007F3D92">
        <w:rPr>
          <w:rFonts w:ascii="Arial" w:eastAsia="Arial" w:hAnsi="Arial" w:cs="Arial"/>
          <w:sz w:val="20"/>
          <w:szCs w:val="20"/>
        </w:rPr>
        <w:t xml:space="preserve"> Assist </w:t>
      </w:r>
      <w:proofErr w:type="spellStart"/>
      <w:r w:rsidRPr="007F3D92">
        <w:rPr>
          <w:rFonts w:ascii="Arial" w:eastAsia="Arial" w:hAnsi="Arial" w:cs="Arial"/>
          <w:sz w:val="20"/>
          <w:szCs w:val="20"/>
        </w:rPr>
        <w:t>Radiol</w:t>
      </w:r>
      <w:proofErr w:type="spellEnd"/>
      <w:r w:rsidRPr="007F3D92">
        <w:rPr>
          <w:rFonts w:ascii="Arial" w:eastAsia="Arial" w:hAnsi="Arial" w:cs="Arial"/>
          <w:sz w:val="20"/>
          <w:szCs w:val="20"/>
        </w:rPr>
        <w:t xml:space="preserve"> Surg [Internet]. 2013;8(4):607–20. Disponible </w:t>
      </w:r>
      <w:proofErr w:type="spellStart"/>
      <w:r w:rsidRPr="007F3D92">
        <w:rPr>
          <w:rFonts w:ascii="Arial" w:eastAsia="Arial" w:hAnsi="Arial" w:cs="Arial"/>
          <w:sz w:val="20"/>
          <w:szCs w:val="20"/>
        </w:rPr>
        <w:t>en</w:t>
      </w:r>
      <w:proofErr w:type="spellEnd"/>
      <w:r w:rsidRPr="007F3D92">
        <w:rPr>
          <w:rFonts w:ascii="Arial" w:eastAsia="Arial" w:hAnsi="Arial" w:cs="Arial"/>
          <w:sz w:val="20"/>
          <w:szCs w:val="20"/>
        </w:rPr>
        <w:t>: doi:10.1007/s11548-013-0840-8</w:t>
      </w:r>
    </w:p>
    <w:p w14:paraId="678A9732" w14:textId="77777777" w:rsidR="00BF5E19" w:rsidRDefault="00000000">
      <w:pPr>
        <w:numPr>
          <w:ilvl w:val="0"/>
          <w:numId w:val="2"/>
        </w:numPr>
        <w:pBdr>
          <w:top w:val="nil"/>
          <w:left w:val="nil"/>
          <w:bottom w:val="nil"/>
          <w:right w:val="nil"/>
          <w:between w:val="nil"/>
        </w:pBdr>
        <w:spacing w:after="0" w:line="480" w:lineRule="auto"/>
        <w:jc w:val="both"/>
        <w:rPr>
          <w:rFonts w:ascii="Arial" w:eastAsia="Arial" w:hAnsi="Arial" w:cs="Arial"/>
          <w:sz w:val="20"/>
          <w:szCs w:val="20"/>
        </w:rPr>
      </w:pPr>
      <w:r w:rsidRPr="001A7E39">
        <w:rPr>
          <w:rFonts w:ascii="Arial" w:eastAsia="Arial" w:hAnsi="Arial" w:cs="Arial"/>
          <w:sz w:val="20"/>
          <w:szCs w:val="20"/>
          <w:lang w:val="es-MX"/>
        </w:rPr>
        <w:t xml:space="preserve">Dreier JP, Fabricius M, Ayata C, et al. </w:t>
      </w:r>
      <w:r>
        <w:rPr>
          <w:rFonts w:ascii="Arial" w:eastAsia="Arial" w:hAnsi="Arial" w:cs="Arial"/>
          <w:sz w:val="20"/>
          <w:szCs w:val="20"/>
        </w:rPr>
        <w:t xml:space="preserve">Recording, analysis, and interpretation of spreading depolarizations in </w:t>
      </w:r>
      <w:proofErr w:type="spellStart"/>
      <w:r>
        <w:rPr>
          <w:rFonts w:ascii="Arial" w:eastAsia="Arial" w:hAnsi="Arial" w:cs="Arial"/>
          <w:sz w:val="20"/>
          <w:szCs w:val="20"/>
        </w:rPr>
        <w:t>neurointensive</w:t>
      </w:r>
      <w:proofErr w:type="spellEnd"/>
      <w:r>
        <w:rPr>
          <w:rFonts w:ascii="Arial" w:eastAsia="Arial" w:hAnsi="Arial" w:cs="Arial"/>
          <w:sz w:val="20"/>
          <w:szCs w:val="20"/>
        </w:rPr>
        <w:t xml:space="preserve"> care: Review and recommendations of the COSBID research group. Journal of Cerebral Blood Flow and Metabolism. 2017;37(5):1595-1625. doi:10.1177/0271678X16654496</w:t>
      </w:r>
    </w:p>
    <w:p w14:paraId="4AD740A4" w14:textId="77777777" w:rsidR="00BF5E19" w:rsidRDefault="00000000">
      <w:pPr>
        <w:numPr>
          <w:ilvl w:val="0"/>
          <w:numId w:val="2"/>
        </w:numPr>
        <w:pBdr>
          <w:top w:val="nil"/>
          <w:left w:val="nil"/>
          <w:bottom w:val="nil"/>
          <w:right w:val="nil"/>
          <w:between w:val="nil"/>
        </w:pBdr>
        <w:spacing w:after="0" w:line="480" w:lineRule="auto"/>
        <w:jc w:val="both"/>
        <w:rPr>
          <w:rFonts w:ascii="Arial" w:eastAsia="Arial" w:hAnsi="Arial" w:cs="Arial"/>
          <w:sz w:val="20"/>
          <w:szCs w:val="20"/>
        </w:rPr>
      </w:pPr>
      <w:r w:rsidRPr="00A36563">
        <w:rPr>
          <w:rFonts w:ascii="Arial" w:eastAsia="Arial" w:hAnsi="Arial" w:cs="Arial"/>
          <w:sz w:val="20"/>
          <w:szCs w:val="20"/>
          <w:lang w:val="de-DE"/>
        </w:rPr>
        <w:t xml:space="preserve"> </w:t>
      </w:r>
      <w:r w:rsidRPr="00171061">
        <w:rPr>
          <w:rFonts w:ascii="Arial" w:eastAsia="Arial" w:hAnsi="Arial" w:cs="Arial"/>
          <w:sz w:val="20"/>
          <w:szCs w:val="20"/>
          <w:lang w:val="de-DE"/>
        </w:rPr>
        <w:t xml:space="preserve">Kirchner T, </w:t>
      </w:r>
      <w:proofErr w:type="spellStart"/>
      <w:r w:rsidRPr="00171061">
        <w:rPr>
          <w:rFonts w:ascii="Arial" w:eastAsia="Arial" w:hAnsi="Arial" w:cs="Arial"/>
          <w:sz w:val="20"/>
          <w:szCs w:val="20"/>
          <w:lang w:val="de-DE"/>
        </w:rPr>
        <w:t>Gröhl</w:t>
      </w:r>
      <w:proofErr w:type="spellEnd"/>
      <w:r w:rsidRPr="00171061">
        <w:rPr>
          <w:rFonts w:ascii="Arial" w:eastAsia="Arial" w:hAnsi="Arial" w:cs="Arial"/>
          <w:sz w:val="20"/>
          <w:szCs w:val="20"/>
          <w:lang w:val="de-DE"/>
        </w:rPr>
        <w:t xml:space="preserve"> J, Herrera MA, et al. </w:t>
      </w:r>
      <w:proofErr w:type="spellStart"/>
      <w:r>
        <w:rPr>
          <w:rFonts w:ascii="Arial" w:eastAsia="Arial" w:hAnsi="Arial" w:cs="Arial"/>
          <w:sz w:val="20"/>
          <w:szCs w:val="20"/>
        </w:rPr>
        <w:t>Photoacoustics</w:t>
      </w:r>
      <w:proofErr w:type="spellEnd"/>
      <w:r>
        <w:rPr>
          <w:rFonts w:ascii="Arial" w:eastAsia="Arial" w:hAnsi="Arial" w:cs="Arial"/>
          <w:sz w:val="20"/>
          <w:szCs w:val="20"/>
        </w:rPr>
        <w:t xml:space="preserve"> can image spreading depolarization deep in gyrencephalic brain. Sci Rep. 2019;9(1). doi:10.1038/s41598-019-44935-4</w:t>
      </w:r>
    </w:p>
    <w:p w14:paraId="3ED7A780" w14:textId="77777777" w:rsidR="00BF5E19" w:rsidRDefault="00000000">
      <w:pPr>
        <w:numPr>
          <w:ilvl w:val="0"/>
          <w:numId w:val="2"/>
        </w:numPr>
        <w:pBdr>
          <w:top w:val="nil"/>
          <w:left w:val="nil"/>
          <w:bottom w:val="nil"/>
          <w:right w:val="nil"/>
          <w:between w:val="nil"/>
        </w:pBdr>
        <w:spacing w:line="480" w:lineRule="auto"/>
        <w:jc w:val="both"/>
        <w:rPr>
          <w:rFonts w:ascii="Arial" w:eastAsia="Arial" w:hAnsi="Arial" w:cs="Arial"/>
          <w:sz w:val="20"/>
          <w:szCs w:val="20"/>
        </w:rPr>
      </w:pPr>
      <w:r>
        <w:rPr>
          <w:rFonts w:ascii="Arial" w:eastAsia="Arial" w:hAnsi="Arial" w:cs="Arial"/>
          <w:sz w:val="20"/>
          <w:szCs w:val="20"/>
        </w:rPr>
        <w:t xml:space="preserve">Ayata C, Lauritzen M. SPREADING DEPRESSION, SPREADING DEPOLARIZATIONS, AND THE CEREBRAL VASCULATURE. </w:t>
      </w:r>
      <w:proofErr w:type="spellStart"/>
      <w:r>
        <w:rPr>
          <w:rFonts w:ascii="Arial" w:eastAsia="Arial" w:hAnsi="Arial" w:cs="Arial"/>
          <w:sz w:val="20"/>
          <w:szCs w:val="20"/>
        </w:rPr>
        <w:t>Physiol</w:t>
      </w:r>
      <w:proofErr w:type="spellEnd"/>
      <w:r>
        <w:rPr>
          <w:rFonts w:ascii="Arial" w:eastAsia="Arial" w:hAnsi="Arial" w:cs="Arial"/>
          <w:sz w:val="20"/>
          <w:szCs w:val="20"/>
        </w:rPr>
        <w:t xml:space="preserve"> Rev. 2015;95:953-993. doi:10.1152/physrev.00027.2014.-Spreading</w:t>
      </w:r>
    </w:p>
    <w:p w14:paraId="7A2C07CF" w14:textId="1F5D71AC" w:rsidR="00BF5E19" w:rsidRPr="004B1B66" w:rsidRDefault="00C319AE" w:rsidP="004B1B66">
      <w:pPr>
        <w:rPr>
          <w:rFonts w:ascii="Arial" w:eastAsia="Arial" w:hAnsi="Arial" w:cs="Arial"/>
          <w:sz w:val="20"/>
          <w:szCs w:val="20"/>
        </w:rPr>
      </w:pPr>
      <w:r>
        <w:rPr>
          <w:rFonts w:ascii="Arial" w:eastAsia="Arial" w:hAnsi="Arial" w:cs="Arial"/>
          <w:sz w:val="20"/>
          <w:szCs w:val="20"/>
        </w:rPr>
        <w:br w:type="page"/>
      </w:r>
    </w:p>
    <w:p w14:paraId="063493DA" w14:textId="04FD435D" w:rsidR="00BF5E19" w:rsidRDefault="00000000">
      <w:pPr>
        <w:spacing w:line="256" w:lineRule="auto"/>
        <w:jc w:val="both"/>
      </w:pPr>
      <w:r>
        <w:rPr>
          <w:noProof/>
        </w:rPr>
        <w:lastRenderedPageBreak/>
        <w:drawing>
          <wp:inline distT="114300" distB="114300" distL="114300" distR="114300" wp14:anchorId="75C6DEB6" wp14:editId="695AF2D6">
            <wp:extent cx="5612130" cy="69215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5612130" cy="6921500"/>
                    </a:xfrm>
                    <a:prstGeom prst="rect">
                      <a:avLst/>
                    </a:prstGeom>
                    <a:ln/>
                  </pic:spPr>
                </pic:pic>
              </a:graphicData>
            </a:graphic>
          </wp:inline>
        </w:drawing>
      </w:r>
    </w:p>
    <w:p w14:paraId="2A18CB38" w14:textId="77777777" w:rsidR="00BF5E19" w:rsidRDefault="00000000">
      <w:pPr>
        <w:spacing w:line="256" w:lineRule="auto"/>
        <w:jc w:val="both"/>
      </w:pPr>
      <w:r>
        <w:t xml:space="preserve"> </w:t>
      </w:r>
    </w:p>
    <w:p w14:paraId="33325198" w14:textId="62FDCAC3" w:rsidR="00A92E4E" w:rsidRPr="00A92E4E" w:rsidRDefault="00000000" w:rsidP="004B1B66">
      <w:pPr>
        <w:spacing w:line="256" w:lineRule="auto"/>
        <w:jc w:val="both"/>
        <w:rPr>
          <w:rFonts w:ascii="Arial" w:eastAsia="Arial" w:hAnsi="Arial" w:cs="Arial"/>
          <w:sz w:val="20"/>
          <w:szCs w:val="20"/>
        </w:rPr>
      </w:pPr>
      <w:r>
        <w:t xml:space="preserve"> </w:t>
      </w:r>
    </w:p>
    <w:p w14:paraId="78206807" w14:textId="77777777" w:rsidR="004B1B66" w:rsidRDefault="004B1B66" w:rsidP="004B1B66">
      <w:pPr>
        <w:spacing w:line="480" w:lineRule="auto"/>
        <w:jc w:val="both"/>
        <w:rPr>
          <w:rFonts w:ascii="Arial" w:eastAsia="Arial" w:hAnsi="Arial" w:cs="Arial"/>
          <w:b/>
          <w:sz w:val="20"/>
          <w:szCs w:val="20"/>
        </w:rPr>
      </w:pPr>
    </w:p>
    <w:p w14:paraId="0E43C670" w14:textId="77777777" w:rsidR="004B1B66" w:rsidRDefault="004B1B66" w:rsidP="004B1B66">
      <w:pPr>
        <w:spacing w:line="480" w:lineRule="auto"/>
        <w:jc w:val="both"/>
        <w:rPr>
          <w:rFonts w:ascii="Arial" w:eastAsia="Arial" w:hAnsi="Arial" w:cs="Arial"/>
          <w:sz w:val="20"/>
          <w:szCs w:val="20"/>
        </w:rPr>
      </w:pPr>
      <w:r w:rsidRPr="00A92E4E">
        <w:rPr>
          <w:rFonts w:ascii="Arial" w:eastAsia="Arial" w:hAnsi="Arial" w:cs="Arial"/>
          <w:b/>
          <w:sz w:val="20"/>
          <w:szCs w:val="20"/>
        </w:rPr>
        <w:lastRenderedPageBreak/>
        <w:t>Supplementary Figure 1. (a)</w:t>
      </w:r>
      <w:r w:rsidRPr="00A92E4E">
        <w:rPr>
          <w:rFonts w:ascii="Arial" w:eastAsia="Arial" w:hAnsi="Arial" w:cs="Arial"/>
          <w:sz w:val="20"/>
          <w:szCs w:val="20"/>
        </w:rPr>
        <w:t xml:space="preserve"> Photoacoustic imaging (PAI) linear spectral unmixing estimation of regional cerebral oxygen saturation (r</w:t>
      </w:r>
      <w:r w:rsidRPr="00A92E4E">
        <w:rPr>
          <w:rFonts w:ascii="Arial" w:eastAsia="Arial" w:hAnsi="Arial" w:cs="Arial"/>
          <w:sz w:val="20"/>
          <w:szCs w:val="20"/>
          <w:vertAlign w:val="subscript"/>
        </w:rPr>
        <w:t>c</w:t>
      </w:r>
      <w:r w:rsidRPr="00A92E4E">
        <w:rPr>
          <w:rFonts w:ascii="Arial" w:eastAsia="Arial" w:hAnsi="Arial" w:cs="Arial"/>
          <w:sz w:val="20"/>
          <w:szCs w:val="20"/>
        </w:rPr>
        <w:t>SO</w:t>
      </w:r>
      <w:r w:rsidRPr="00A92E4E">
        <w:rPr>
          <w:rFonts w:ascii="Arial" w:eastAsia="Arial" w:hAnsi="Arial" w:cs="Arial"/>
          <w:sz w:val="20"/>
          <w:szCs w:val="20"/>
          <w:vertAlign w:val="subscript"/>
        </w:rPr>
        <w:t>2</w:t>
      </w:r>
      <w:r w:rsidRPr="00A92E4E">
        <w:rPr>
          <w:rFonts w:ascii="Arial" w:eastAsia="Arial" w:hAnsi="Arial" w:cs="Arial"/>
          <w:sz w:val="20"/>
          <w:szCs w:val="20"/>
        </w:rPr>
        <w:t xml:space="preserve">%) at different depths within the gray matter of cerebral pig cortex. </w:t>
      </w:r>
      <w:r w:rsidRPr="00A92E4E">
        <w:rPr>
          <w:rFonts w:ascii="Arial" w:eastAsia="Arial" w:hAnsi="Arial" w:cs="Arial"/>
          <w:b/>
          <w:sz w:val="20"/>
          <w:szCs w:val="20"/>
        </w:rPr>
        <w:t>(b) &amp; (c)</w:t>
      </w:r>
      <w:r w:rsidRPr="00A92E4E">
        <w:rPr>
          <w:rFonts w:ascii="Arial" w:eastAsia="Arial" w:hAnsi="Arial" w:cs="Arial"/>
          <w:sz w:val="20"/>
          <w:szCs w:val="20"/>
        </w:rPr>
        <w:t xml:space="preserve"> Electrocorticographic (ECoG) (raw data and filtered signal) and PAI recordings were obtained to provide representative data of spreading depolarization (SD) development after the direct application of KCl.</w:t>
      </w:r>
      <w:r>
        <w:rPr>
          <w:rFonts w:ascii="Arial" w:eastAsia="Arial" w:hAnsi="Arial" w:cs="Arial"/>
          <w:sz w:val="20"/>
          <w:szCs w:val="20"/>
        </w:rPr>
        <w:t xml:space="preserve"> PAI signals correspond to ROIs in respective colors in (a)</w:t>
      </w:r>
      <w:r w:rsidRPr="00A92E4E">
        <w:rPr>
          <w:rFonts w:ascii="Arial" w:eastAsia="Arial" w:hAnsi="Arial" w:cs="Arial"/>
          <w:sz w:val="20"/>
          <w:szCs w:val="20"/>
        </w:rPr>
        <w:t xml:space="preserve"> </w:t>
      </w:r>
      <w:r w:rsidRPr="00A92E4E">
        <w:rPr>
          <w:rFonts w:ascii="Arial" w:eastAsia="Arial" w:hAnsi="Arial" w:cs="Arial"/>
          <w:b/>
          <w:sz w:val="20"/>
          <w:szCs w:val="20"/>
        </w:rPr>
        <w:t>(d)</w:t>
      </w:r>
      <w:r w:rsidRPr="00A92E4E">
        <w:rPr>
          <w:rFonts w:ascii="Arial" w:eastAsia="Arial" w:hAnsi="Arial" w:cs="Arial"/>
          <w:sz w:val="20"/>
          <w:szCs w:val="20"/>
        </w:rPr>
        <w:t xml:space="preserve"> SD wave components were identified through PAI, which measures the changes in r</w:t>
      </w:r>
      <w:r w:rsidRPr="00A92E4E">
        <w:rPr>
          <w:rFonts w:ascii="Arial" w:eastAsia="Arial" w:hAnsi="Arial" w:cs="Arial"/>
          <w:sz w:val="20"/>
          <w:szCs w:val="20"/>
          <w:vertAlign w:val="subscript"/>
        </w:rPr>
        <w:t>c</w:t>
      </w:r>
      <w:r w:rsidRPr="00A92E4E">
        <w:rPr>
          <w:rFonts w:ascii="Arial" w:eastAsia="Arial" w:hAnsi="Arial" w:cs="Arial"/>
          <w:sz w:val="20"/>
          <w:szCs w:val="20"/>
        </w:rPr>
        <w:t>SO</w:t>
      </w:r>
      <w:r w:rsidRPr="00A92E4E">
        <w:rPr>
          <w:rFonts w:ascii="Arial" w:eastAsia="Arial" w:hAnsi="Arial" w:cs="Arial"/>
          <w:sz w:val="20"/>
          <w:szCs w:val="20"/>
          <w:vertAlign w:val="subscript"/>
        </w:rPr>
        <w:t>2</w:t>
      </w:r>
      <w:r w:rsidRPr="00A92E4E">
        <w:rPr>
          <w:rFonts w:ascii="Arial" w:eastAsia="Arial" w:hAnsi="Arial" w:cs="Arial"/>
          <w:sz w:val="20"/>
          <w:szCs w:val="20"/>
        </w:rPr>
        <w:t>% over time. Component II, also referred to as initial hypoxia, exhibits a baseline reduction preceding any hyperoxic phase or a decrease that occurs during a peak hyperoxia. Subsequently, Component III (peak hyperoxia) displays a predominant baseline elevation lasting under 3 minutes. Component IV (late hyperoxia) represents a sustained baseline elevation extending beyond 3 or a slowing of the descent phase following peak hyperoxia. Lastly, Component V (post SD hypoxia) features a baseline decline persisting for over 3 minutes.</w:t>
      </w:r>
    </w:p>
    <w:p w14:paraId="4A3722E1" w14:textId="77777777" w:rsidR="00A92E4E" w:rsidRDefault="00A92E4E">
      <w:pPr>
        <w:spacing w:line="480" w:lineRule="auto"/>
        <w:jc w:val="both"/>
        <w:rPr>
          <w:rFonts w:ascii="Arial" w:eastAsia="Arial" w:hAnsi="Arial" w:cs="Arial"/>
          <w:sz w:val="20"/>
          <w:szCs w:val="20"/>
          <w:highlight w:val="yellow"/>
        </w:rPr>
      </w:pPr>
    </w:p>
    <w:sectPr w:rsidR="00A92E4E">
      <w:footerReference w:type="even" r:id="rId8"/>
      <w:footerReference w:type="default" r:id="rId9"/>
      <w:pgSz w:w="12240" w:h="15840"/>
      <w:pgMar w:top="1417" w:right="1701" w:bottom="1417" w:left="1701" w:header="708" w:footer="708"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D94B3" w14:textId="77777777" w:rsidR="00B27048" w:rsidRDefault="00B27048">
      <w:pPr>
        <w:spacing w:after="0" w:line="240" w:lineRule="auto"/>
      </w:pPr>
      <w:r>
        <w:separator/>
      </w:r>
    </w:p>
  </w:endnote>
  <w:endnote w:type="continuationSeparator" w:id="0">
    <w:p w14:paraId="46C8AB7A" w14:textId="77777777" w:rsidR="00B27048" w:rsidRDefault="00B27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4F217" w14:textId="77777777" w:rsidR="00BF5E19" w:rsidRDefault="00000000">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60867CC" w14:textId="77777777" w:rsidR="00BF5E19" w:rsidRDefault="00BF5E19">
    <w:pPr>
      <w:pBdr>
        <w:top w:val="nil"/>
        <w:left w:val="nil"/>
        <w:bottom w:val="nil"/>
        <w:right w:val="nil"/>
        <w:between w:val="nil"/>
      </w:pBdr>
      <w:tabs>
        <w:tab w:val="center" w:pos="4536"/>
        <w:tab w:val="right" w:pos="9072"/>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B79F" w14:textId="77777777" w:rsidR="00BF5E19" w:rsidRDefault="00000000">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71061">
      <w:rPr>
        <w:noProof/>
        <w:color w:val="000000"/>
      </w:rPr>
      <w:t>1</w:t>
    </w:r>
    <w:r>
      <w:rPr>
        <w:color w:val="000000"/>
      </w:rPr>
      <w:fldChar w:fldCharType="end"/>
    </w:r>
  </w:p>
  <w:p w14:paraId="47812AB3" w14:textId="77777777" w:rsidR="00BF5E19" w:rsidRDefault="00BF5E19">
    <w:pPr>
      <w:pBdr>
        <w:top w:val="nil"/>
        <w:left w:val="nil"/>
        <w:bottom w:val="nil"/>
        <w:right w:val="nil"/>
        <w:between w:val="nil"/>
      </w:pBdr>
      <w:tabs>
        <w:tab w:val="center" w:pos="4536"/>
        <w:tab w:val="right" w:pos="9072"/>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26A9B" w14:textId="77777777" w:rsidR="00B27048" w:rsidRDefault="00B27048">
      <w:pPr>
        <w:spacing w:after="0" w:line="240" w:lineRule="auto"/>
      </w:pPr>
      <w:r>
        <w:separator/>
      </w:r>
    </w:p>
  </w:footnote>
  <w:footnote w:type="continuationSeparator" w:id="0">
    <w:p w14:paraId="79465987" w14:textId="77777777" w:rsidR="00B27048" w:rsidRDefault="00B270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960A5"/>
    <w:multiLevelType w:val="multilevel"/>
    <w:tmpl w:val="B59A4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6E472D"/>
    <w:multiLevelType w:val="multilevel"/>
    <w:tmpl w:val="B2A25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BB97707"/>
    <w:multiLevelType w:val="multilevel"/>
    <w:tmpl w:val="190A1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5494753">
    <w:abstractNumId w:val="2"/>
  </w:num>
  <w:num w:numId="2" w16cid:durableId="1783529197">
    <w:abstractNumId w:val="1"/>
  </w:num>
  <w:num w:numId="3" w16cid:durableId="472991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19"/>
    <w:rsid w:val="00066151"/>
    <w:rsid w:val="000D1469"/>
    <w:rsid w:val="000E0298"/>
    <w:rsid w:val="00171061"/>
    <w:rsid w:val="0017302E"/>
    <w:rsid w:val="001A7E39"/>
    <w:rsid w:val="001B3F41"/>
    <w:rsid w:val="001F4588"/>
    <w:rsid w:val="002B32D1"/>
    <w:rsid w:val="00346B9E"/>
    <w:rsid w:val="00361CDC"/>
    <w:rsid w:val="00471DE5"/>
    <w:rsid w:val="004B1B66"/>
    <w:rsid w:val="0059509D"/>
    <w:rsid w:val="0067732C"/>
    <w:rsid w:val="006B5954"/>
    <w:rsid w:val="006C0A63"/>
    <w:rsid w:val="007E3ED0"/>
    <w:rsid w:val="007F3D92"/>
    <w:rsid w:val="008F7E38"/>
    <w:rsid w:val="00900632"/>
    <w:rsid w:val="00950C84"/>
    <w:rsid w:val="009913ED"/>
    <w:rsid w:val="009C7607"/>
    <w:rsid w:val="00A36563"/>
    <w:rsid w:val="00A92E4E"/>
    <w:rsid w:val="00AF2670"/>
    <w:rsid w:val="00AF6329"/>
    <w:rsid w:val="00B27048"/>
    <w:rsid w:val="00BB532F"/>
    <w:rsid w:val="00BF5E19"/>
    <w:rsid w:val="00C118EB"/>
    <w:rsid w:val="00C319AE"/>
    <w:rsid w:val="00C53E03"/>
    <w:rsid w:val="00CC2A9F"/>
    <w:rsid w:val="00D10E79"/>
    <w:rsid w:val="00D75760"/>
    <w:rsid w:val="00DB7832"/>
    <w:rsid w:val="00EF3D82"/>
    <w:rsid w:val="00FF05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1F3F8C3"/>
  <w15:docId w15:val="{FFB3B39D-3A3F-C844-BEA7-501B2FFC3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styleId="Nmerodelnea">
    <w:name w:val="line number"/>
    <w:basedOn w:val="Fuentedeprrafopredeter"/>
    <w:uiPriority w:val="99"/>
    <w:semiHidden/>
    <w:unhideWhenUsed/>
    <w:rsid w:val="00171061"/>
  </w:style>
  <w:style w:type="paragraph" w:styleId="Revisin">
    <w:name w:val="Revision"/>
    <w:hidden/>
    <w:uiPriority w:val="99"/>
    <w:semiHidden/>
    <w:rsid w:val="001710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40072">
      <w:bodyDiv w:val="1"/>
      <w:marLeft w:val="0"/>
      <w:marRight w:val="0"/>
      <w:marTop w:val="0"/>
      <w:marBottom w:val="0"/>
      <w:divBdr>
        <w:top w:val="none" w:sz="0" w:space="0" w:color="auto"/>
        <w:left w:val="none" w:sz="0" w:space="0" w:color="auto"/>
        <w:bottom w:val="none" w:sz="0" w:space="0" w:color="auto"/>
        <w:right w:val="none" w:sz="0" w:space="0" w:color="auto"/>
      </w:divBdr>
      <w:divsChild>
        <w:div w:id="820852819">
          <w:marLeft w:val="0"/>
          <w:marRight w:val="0"/>
          <w:marTop w:val="0"/>
          <w:marBottom w:val="0"/>
          <w:divBdr>
            <w:top w:val="single" w:sz="2" w:space="0" w:color="D9D9E3"/>
            <w:left w:val="single" w:sz="2" w:space="0" w:color="D9D9E3"/>
            <w:bottom w:val="single" w:sz="2" w:space="0" w:color="D9D9E3"/>
            <w:right w:val="single" w:sz="2" w:space="0" w:color="D9D9E3"/>
          </w:divBdr>
          <w:divsChild>
            <w:div w:id="1248420201">
              <w:marLeft w:val="0"/>
              <w:marRight w:val="0"/>
              <w:marTop w:val="0"/>
              <w:marBottom w:val="0"/>
              <w:divBdr>
                <w:top w:val="single" w:sz="2" w:space="0" w:color="D9D9E3"/>
                <w:left w:val="single" w:sz="2" w:space="0" w:color="D9D9E3"/>
                <w:bottom w:val="single" w:sz="2" w:space="0" w:color="D9D9E3"/>
                <w:right w:val="single" w:sz="2" w:space="0" w:color="D9D9E3"/>
              </w:divBdr>
              <w:divsChild>
                <w:div w:id="1175725938">
                  <w:marLeft w:val="0"/>
                  <w:marRight w:val="0"/>
                  <w:marTop w:val="0"/>
                  <w:marBottom w:val="0"/>
                  <w:divBdr>
                    <w:top w:val="single" w:sz="2" w:space="0" w:color="D9D9E3"/>
                    <w:left w:val="single" w:sz="2" w:space="0" w:color="D9D9E3"/>
                    <w:bottom w:val="single" w:sz="2" w:space="0" w:color="D9D9E3"/>
                    <w:right w:val="single" w:sz="2" w:space="0" w:color="D9D9E3"/>
                  </w:divBdr>
                  <w:divsChild>
                    <w:div w:id="1819153234">
                      <w:marLeft w:val="0"/>
                      <w:marRight w:val="0"/>
                      <w:marTop w:val="0"/>
                      <w:marBottom w:val="0"/>
                      <w:divBdr>
                        <w:top w:val="single" w:sz="2" w:space="0" w:color="D9D9E3"/>
                        <w:left w:val="single" w:sz="2" w:space="0" w:color="D9D9E3"/>
                        <w:bottom w:val="single" w:sz="2" w:space="0" w:color="D9D9E3"/>
                        <w:right w:val="single" w:sz="2" w:space="0" w:color="D9D9E3"/>
                      </w:divBdr>
                      <w:divsChild>
                        <w:div w:id="10118387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56442074">
          <w:marLeft w:val="0"/>
          <w:marRight w:val="0"/>
          <w:marTop w:val="0"/>
          <w:marBottom w:val="0"/>
          <w:divBdr>
            <w:top w:val="single" w:sz="2" w:space="0" w:color="D9D9E3"/>
            <w:left w:val="single" w:sz="2" w:space="0" w:color="D9D9E3"/>
            <w:bottom w:val="single" w:sz="2" w:space="0" w:color="D9D9E3"/>
            <w:right w:val="single" w:sz="2" w:space="0" w:color="D9D9E3"/>
          </w:divBdr>
          <w:divsChild>
            <w:div w:id="1137332753">
              <w:marLeft w:val="0"/>
              <w:marRight w:val="0"/>
              <w:marTop w:val="0"/>
              <w:marBottom w:val="0"/>
              <w:divBdr>
                <w:top w:val="single" w:sz="2" w:space="0" w:color="D9D9E3"/>
                <w:left w:val="single" w:sz="2" w:space="0" w:color="D9D9E3"/>
                <w:bottom w:val="single" w:sz="2" w:space="0" w:color="D9D9E3"/>
                <w:right w:val="single" w:sz="2" w:space="0" w:color="D9D9E3"/>
              </w:divBdr>
              <w:divsChild>
                <w:div w:id="1528831997">
                  <w:marLeft w:val="0"/>
                  <w:marRight w:val="0"/>
                  <w:marTop w:val="0"/>
                  <w:marBottom w:val="0"/>
                  <w:divBdr>
                    <w:top w:val="single" w:sz="2" w:space="0" w:color="D9D9E3"/>
                    <w:left w:val="single" w:sz="2" w:space="0" w:color="D9D9E3"/>
                    <w:bottom w:val="single" w:sz="2" w:space="0" w:color="D9D9E3"/>
                    <w:right w:val="single" w:sz="2" w:space="0" w:color="D9D9E3"/>
                  </w:divBdr>
                  <w:divsChild>
                    <w:div w:id="868492166">
                      <w:marLeft w:val="0"/>
                      <w:marRight w:val="0"/>
                      <w:marTop w:val="0"/>
                      <w:marBottom w:val="0"/>
                      <w:divBdr>
                        <w:top w:val="single" w:sz="2" w:space="0" w:color="D9D9E3"/>
                        <w:left w:val="single" w:sz="2" w:space="0" w:color="D9D9E3"/>
                        <w:bottom w:val="single" w:sz="2" w:space="0" w:color="D9D9E3"/>
                        <w:right w:val="single" w:sz="2" w:space="0" w:color="D9D9E3"/>
                      </w:divBdr>
                      <w:divsChild>
                        <w:div w:id="17059828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1840</Words>
  <Characters>10125</Characters>
  <Application>Microsoft Office Word</Application>
  <DocSecurity>0</DocSecurity>
  <Lines>84</Lines>
  <Paragraphs>23</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Marcos Alejandro Suárez Gutiérrez</cp:lastModifiedBy>
  <cp:revision>2</cp:revision>
  <dcterms:created xsi:type="dcterms:W3CDTF">2023-11-23T20:32:00Z</dcterms:created>
  <dcterms:modified xsi:type="dcterms:W3CDTF">2023-11-23T20:32:00Z</dcterms:modified>
</cp:coreProperties>
</file>