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4F36E" w14:textId="7C187BCD" w:rsidR="0040762F" w:rsidRDefault="0040762F" w:rsidP="0040762F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Supplementary materials </w:t>
      </w:r>
    </w:p>
    <w:p w14:paraId="17DB6A27" w14:textId="77777777" w:rsidR="0040762F" w:rsidRDefault="0040762F" w:rsidP="0040762F">
      <w:pPr>
        <w:spacing w:before="100" w:beforeAutospacing="1" w:after="100" w:afterAutospacing="1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Supplementary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Table 1: Table showing the percentage of conserved amino acids shared between the known and predicted target </w:t>
      </w:r>
      <w:proofErr w:type="gramStart"/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pairs</w:t>
      </w:r>
      <w:proofErr w:type="gramEnd"/>
    </w:p>
    <w:tbl>
      <w:tblPr>
        <w:tblStyle w:val="GridTable1Light1"/>
        <w:tblpPr w:leftFromText="180" w:rightFromText="180" w:vertAnchor="text" w:horzAnchor="margin" w:tblpY="55"/>
        <w:tblW w:w="9160" w:type="dxa"/>
        <w:tblInd w:w="0" w:type="dxa"/>
        <w:tblLook w:val="04A0" w:firstRow="1" w:lastRow="0" w:firstColumn="1" w:lastColumn="0" w:noHBand="0" w:noVBand="1"/>
      </w:tblPr>
      <w:tblGrid>
        <w:gridCol w:w="4580"/>
        <w:gridCol w:w="4580"/>
      </w:tblGrid>
      <w:tr w:rsidR="0040762F" w14:paraId="036AAA8A" w14:textId="77777777" w:rsidTr="004076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0" w:type="dxa"/>
            <w:tcBorders>
              <w:top w:val="single" w:sz="4" w:space="0" w:color="999999"/>
              <w:left w:val="nil"/>
              <w:bottom w:val="single" w:sz="4" w:space="0" w:color="auto"/>
              <w:right w:val="nil"/>
            </w:tcBorders>
            <w:hideMark/>
          </w:tcPr>
          <w:p w14:paraId="57840D91" w14:textId="77777777" w:rsidR="0040762F" w:rsidRDefault="0040762F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Percentage of shared conserved amino acids </w:t>
            </w:r>
          </w:p>
        </w:tc>
        <w:tc>
          <w:tcPr>
            <w:tcW w:w="4580" w:type="dxa"/>
            <w:tcBorders>
              <w:top w:val="single" w:sz="4" w:space="0" w:color="999999"/>
              <w:left w:val="nil"/>
              <w:bottom w:val="single" w:sz="4" w:space="0" w:color="auto"/>
              <w:right w:val="nil"/>
            </w:tcBorders>
            <w:hideMark/>
          </w:tcPr>
          <w:p w14:paraId="000964BF" w14:textId="77777777" w:rsidR="0040762F" w:rsidRDefault="0040762F">
            <w:pPr>
              <w:spacing w:before="100" w:beforeAutospacing="1"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Number of known – predicted target pairs </w:t>
            </w:r>
          </w:p>
        </w:tc>
      </w:tr>
      <w:tr w:rsidR="0040762F" w14:paraId="416D6044" w14:textId="77777777" w:rsidTr="0040762F">
        <w:trPr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E1D179F" w14:textId="77777777" w:rsidR="0040762F" w:rsidRDefault="0040762F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90-100%</w:t>
            </w:r>
          </w:p>
        </w:tc>
        <w:tc>
          <w:tcPr>
            <w:tcW w:w="458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D200BB1" w14:textId="77777777" w:rsidR="0040762F" w:rsidRDefault="0040762F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54</w:t>
            </w:r>
          </w:p>
        </w:tc>
      </w:tr>
      <w:tr w:rsidR="0040762F" w14:paraId="5BC8EA58" w14:textId="77777777" w:rsidTr="0040762F">
        <w:trPr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12D7D0" w14:textId="77777777" w:rsidR="0040762F" w:rsidRDefault="0040762F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70-90%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EE0881" w14:textId="77777777" w:rsidR="0040762F" w:rsidRDefault="0040762F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15</w:t>
            </w:r>
          </w:p>
        </w:tc>
      </w:tr>
      <w:tr w:rsidR="0040762F" w14:paraId="40B9D514" w14:textId="77777777" w:rsidTr="0040762F">
        <w:trPr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D315A0" w14:textId="77777777" w:rsidR="0040762F" w:rsidRDefault="0040762F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50-70%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F164EE" w14:textId="77777777" w:rsidR="0040762F" w:rsidRDefault="0040762F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49</w:t>
            </w:r>
          </w:p>
        </w:tc>
      </w:tr>
      <w:tr w:rsidR="0040762F" w14:paraId="20702463" w14:textId="77777777" w:rsidTr="0040762F">
        <w:trPr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303935" w14:textId="77777777" w:rsidR="0040762F" w:rsidRDefault="0040762F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30-50%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0F7108" w14:textId="77777777" w:rsidR="0040762F" w:rsidRDefault="0040762F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18</w:t>
            </w:r>
          </w:p>
        </w:tc>
      </w:tr>
      <w:tr w:rsidR="0040762F" w14:paraId="0D3C7120" w14:textId="77777777" w:rsidTr="0040762F">
        <w:trPr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930B3B3" w14:textId="77777777" w:rsidR="0040762F" w:rsidRDefault="0040762F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&lt;30%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C6A8350" w14:textId="77777777" w:rsidR="0040762F" w:rsidRDefault="0040762F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5</w:t>
            </w:r>
          </w:p>
        </w:tc>
      </w:tr>
    </w:tbl>
    <w:p w14:paraId="62CCA307" w14:textId="77777777" w:rsidR="0040762F" w:rsidRDefault="0040762F" w:rsidP="0040762F">
      <w:pPr>
        <w:spacing w:before="100" w:beforeAutospacing="1" w:after="100" w:afterAutospacing="1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34462628" w14:textId="77777777" w:rsidR="0040762F" w:rsidRDefault="0040762F" w:rsidP="0040762F">
      <w:pPr>
        <w:keepNext/>
        <w:keepLines/>
        <w:spacing w:before="40"/>
        <w:outlineLvl w:val="1"/>
        <w:rPr>
          <w:rFonts w:ascii="Times New Roman" w:eastAsia="Times New Roman" w:hAnsi="Times New Roman" w:cs="Times New Roman"/>
          <w:color w:val="2F5496"/>
          <w:sz w:val="26"/>
          <w:szCs w:val="26"/>
          <w:lang w:eastAsia="en-US"/>
        </w:rPr>
      </w:pPr>
    </w:p>
    <w:p w14:paraId="023294D7" w14:textId="3DA84980" w:rsidR="0040762F" w:rsidRDefault="0040762F" w:rsidP="0040762F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  <w:lang w:val="en-GB" w:eastAsia="en-US"/>
        </w:rPr>
      </w:pPr>
      <w:r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725C91D6" wp14:editId="11351D0E">
            <wp:extent cx="4781550" cy="7439025"/>
            <wp:effectExtent l="0" t="0" r="0" b="0"/>
            <wp:docPr id="1199047183" name="Picture 4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Grp="1"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743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84BA72" w14:textId="77777777" w:rsidR="0040762F" w:rsidRDefault="0040762F" w:rsidP="0040762F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b/>
          <w:bCs/>
          <w:sz w:val="20"/>
          <w:szCs w:val="20"/>
          <w:lang w:val="en-GB" w:eastAsia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GB" w:eastAsia="en-US"/>
        </w:rPr>
        <w:lastRenderedPageBreak/>
        <w:t>Supplementary Fig. 1. Comparative Analysis of Functional and Structural Amino Acid Similarities Between Human Tubulin Beta-1 Chain (Q9H4B7) and its Predicted Plasmodium falciparum Counterpart (PF3D7_1008700).</w:t>
      </w:r>
    </w:p>
    <w:p w14:paraId="23F1860E" w14:textId="171A72B0" w:rsidR="0040762F" w:rsidRDefault="0040762F" w:rsidP="0040762F">
      <w:pPr>
        <w:spacing w:before="100" w:beforeAutospacing="1" w:after="100" w:afterAutospacing="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6453B44E" wp14:editId="412DDA3F">
            <wp:extent cx="5876925" cy="5876925"/>
            <wp:effectExtent l="0" t="0" r="0" b="0"/>
            <wp:docPr id="211185674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587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B07B04" w14:textId="77777777" w:rsidR="0040762F" w:rsidRDefault="0040762F" w:rsidP="0040762F">
      <w:pPr>
        <w:spacing w:before="100" w:beforeAutospacing="1" w:after="100" w:afterAutospacing="1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Supplementary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Fig. </w:t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>2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. Histogram of showing the frequency distribution of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druggability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indices of all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P. falciparum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Pf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>) protein targets that were similar to known targets (A</w:t>
      </w:r>
      <w:proofErr w:type="gramStart"/>
      <w:r>
        <w:rPr>
          <w:rFonts w:ascii="Times New Roman" w:hAnsi="Times New Roman" w:cs="Times New Roman"/>
          <w:b/>
          <w:bCs/>
          <w:sz w:val="20"/>
          <w:szCs w:val="20"/>
        </w:rPr>
        <w:t>),  and</w:t>
      </w:r>
      <w:proofErr w:type="gram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for the most similar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P. falciparum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protein for each drug (B).</w:t>
      </w:r>
    </w:p>
    <w:p w14:paraId="246BF736" w14:textId="7E8854B9" w:rsidR="0040762F" w:rsidRDefault="0040762F" w:rsidP="0040762F">
      <w:pPr>
        <w:spacing w:before="100" w:beforeAutospacing="1" w:after="100" w:afterAutospacing="1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7A38EE06" wp14:editId="4CC00B8F">
            <wp:extent cx="5734050" cy="5734050"/>
            <wp:effectExtent l="0" t="0" r="0" b="0"/>
            <wp:docPr id="158742850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573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F79347" w14:textId="77777777" w:rsidR="0040762F" w:rsidRDefault="0040762F" w:rsidP="0040762F">
      <w:pPr>
        <w:spacing w:before="100" w:beforeAutospacing="1" w:after="100" w:afterAutospacing="1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Supplementary </w:t>
      </w:r>
      <w:r>
        <w:rPr>
          <w:rFonts w:ascii="Times New Roman" w:hAnsi="Times New Roman" w:cs="Times New Roman"/>
          <w:b/>
          <w:bCs/>
          <w:sz w:val="20"/>
          <w:szCs w:val="20"/>
        </w:rPr>
        <w:t>Fig.</w:t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3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. Histogram showing the frequency distribution of essentiality categories of all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P. falciparum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protein targets that were </w:t>
      </w:r>
      <w:proofErr w:type="gramStart"/>
      <w:r>
        <w:rPr>
          <w:rFonts w:ascii="Times New Roman" w:hAnsi="Times New Roman" w:cs="Times New Roman"/>
          <w:b/>
          <w:bCs/>
          <w:sz w:val="20"/>
          <w:szCs w:val="20"/>
        </w:rPr>
        <w:t>similar to</w:t>
      </w:r>
      <w:proofErr w:type="gram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known targets (A), and for the most similar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P. falciparum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protein for to each drug (B).</w:t>
      </w:r>
    </w:p>
    <w:p w14:paraId="20DA01A2" w14:textId="655E796F" w:rsidR="0040762F" w:rsidRDefault="0040762F" w:rsidP="0040762F">
      <w:pPr>
        <w:spacing w:before="100" w:beforeAutospacing="1" w:after="100" w:afterAutospacing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75104646" wp14:editId="085CA624">
            <wp:extent cx="5943600" cy="5048250"/>
            <wp:effectExtent l="0" t="0" r="0" b="0"/>
            <wp:docPr id="19060020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4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7D5A79" w14:textId="77777777" w:rsidR="0040762F" w:rsidRDefault="0040762F" w:rsidP="0040762F">
      <w:pPr>
        <w:spacing w:before="100" w:beforeAutospacing="1" w:after="100" w:afterAutospacing="1"/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Supplementary </w:t>
      </w:r>
      <w:r>
        <w:rPr>
          <w:rFonts w:ascii="Times New Roman" w:hAnsi="Times New Roman" w:cs="Times New Roman"/>
          <w:b/>
          <w:bCs/>
          <w:sz w:val="20"/>
          <w:szCs w:val="20"/>
        </w:rPr>
        <w:t>Fig.</w:t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4</w:t>
      </w:r>
      <w:r>
        <w:rPr>
          <w:rFonts w:ascii="Times New Roman" w:hAnsi="Times New Roman" w:cs="Times New Roman"/>
          <w:b/>
          <w:sz w:val="20"/>
          <w:szCs w:val="20"/>
        </w:rPr>
        <w:t xml:space="preserve">: Molecular docking and binding energies of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cabazitaxel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with known target P68366 (tubulin alpha-4a chain) and predicted</w:t>
      </w:r>
      <w:r>
        <w:rPr>
          <w:rFonts w:ascii="Times New Roman" w:hAnsi="Times New Roman" w:cs="Times New Roman"/>
          <w:b/>
          <w:i/>
          <w:iCs/>
          <w:sz w:val="20"/>
          <w:szCs w:val="20"/>
        </w:rPr>
        <w:t xml:space="preserve"> P. falciparum </w:t>
      </w:r>
      <w:r>
        <w:rPr>
          <w:rFonts w:ascii="Times New Roman" w:hAnsi="Times New Roman" w:cs="Times New Roman"/>
          <w:b/>
          <w:sz w:val="20"/>
          <w:szCs w:val="20"/>
        </w:rPr>
        <w:t xml:space="preserve">target Q6ZLZ9 (Panel A); comparative binding affinities shown as energies (Panel B).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Cabazitaxel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demonstrates comparable binding affinity to the </w:t>
      </w:r>
      <w:r>
        <w:rPr>
          <w:rFonts w:ascii="Times New Roman" w:hAnsi="Times New Roman" w:cs="Times New Roman"/>
          <w:bCs/>
          <w:i/>
          <w:iCs/>
          <w:sz w:val="20"/>
          <w:szCs w:val="20"/>
        </w:rPr>
        <w:t>P. falciparum</w:t>
      </w:r>
      <w:r>
        <w:rPr>
          <w:rFonts w:ascii="Times New Roman" w:hAnsi="Times New Roman" w:cs="Times New Roman"/>
          <w:bCs/>
          <w:sz w:val="20"/>
          <w:szCs w:val="20"/>
        </w:rPr>
        <w:t xml:space="preserve"> target (Q6ZLZ9), as indicated by the energy values. The conformations in Panel A represent the models with the lowest binding energies, specifically -6.9 kcal/mol and -7.1 kcal/mol.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7204BDC1" w14:textId="77777777" w:rsidR="0040762F" w:rsidRDefault="0040762F" w:rsidP="0040762F">
      <w:pPr>
        <w:spacing w:before="100" w:beforeAutospacing="1" w:after="100" w:afterAutospacing="1"/>
        <w:rPr>
          <w:rFonts w:ascii="Times New Roman" w:hAnsi="Times New Roman" w:cs="Times New Roman"/>
          <w:b/>
          <w:bCs/>
        </w:rPr>
      </w:pPr>
    </w:p>
    <w:p w14:paraId="4D235D5F" w14:textId="3AF0813C" w:rsidR="0040762F" w:rsidRPr="0040762F" w:rsidRDefault="0040762F" w:rsidP="0040762F">
      <w:pPr>
        <w:tabs>
          <w:tab w:val="left" w:pos="3345"/>
        </w:tabs>
      </w:pPr>
    </w:p>
    <w:sectPr w:rsidR="0040762F" w:rsidRPr="004076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62F"/>
    <w:rsid w:val="0040762F"/>
    <w:rsid w:val="00756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E5D8D2"/>
  <w15:chartTrackingRefBased/>
  <w15:docId w15:val="{A2201459-A7B1-40F0-A6A5-0AB23C57B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762F"/>
    <w:pPr>
      <w:spacing w:after="0" w:line="240" w:lineRule="auto"/>
    </w:pPr>
    <w:rPr>
      <w:rFonts w:ascii="Calibri" w:hAnsi="Calibri" w:cs="Calibri"/>
      <w:kern w:val="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1Light1">
    <w:name w:val="Grid Table 1 Light1"/>
    <w:basedOn w:val="TableNormal"/>
    <w:uiPriority w:val="46"/>
    <w:rsid w:val="0040762F"/>
    <w:pPr>
      <w:spacing w:after="0" w:line="240" w:lineRule="auto"/>
    </w:pPr>
    <w:rPr>
      <w:kern w:val="0"/>
      <w:sz w:val="24"/>
      <w:szCs w:val="24"/>
      <w:lang w:val="en-ZA" w:eastAsia="ja-JP"/>
      <w14:ligatures w14:val="none"/>
    </w:rPr>
    <w:tblPr>
      <w:tblStyleRowBandSize w:val="1"/>
      <w:tblStyleColBandSize w:val="1"/>
      <w:tblInd w:w="0" w:type="nil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516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222</Words>
  <Characters>1272</Characters>
  <Application>Microsoft Office Word</Application>
  <DocSecurity>0</DocSecurity>
  <Lines>10</Lines>
  <Paragraphs>2</Paragraphs>
  <ScaleCrop>false</ScaleCrop>
  <Company>Springer Nature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 Yeh</dc:creator>
  <cp:keywords/>
  <dc:description/>
  <cp:lastModifiedBy>Jen Yeh</cp:lastModifiedBy>
  <cp:revision>1</cp:revision>
  <dcterms:created xsi:type="dcterms:W3CDTF">2024-05-13T14:25:00Z</dcterms:created>
  <dcterms:modified xsi:type="dcterms:W3CDTF">2024-05-13T14:27:00Z</dcterms:modified>
</cp:coreProperties>
</file>