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9A3" w:rsidRDefault="00D34CE7" w:rsidP="001635BC">
      <w:pPr>
        <w:jc w:val="center"/>
      </w:pPr>
      <w:bookmarkStart w:id="0" w:name="_GoBack"/>
      <w:r>
        <w:rPr>
          <w:noProof/>
        </w:rPr>
        <w:drawing>
          <wp:inline distT="0" distB="0" distL="0" distR="0" wp14:anchorId="11E18EA9">
            <wp:extent cx="4967605" cy="3285687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34" cy="3299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DE79A3" w:rsidRPr="00DE79A3" w:rsidRDefault="00DE79A3" w:rsidP="00D34CE7">
      <w:pPr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DE79A3">
        <w:rPr>
          <w:rFonts w:ascii="Times New Roman" w:hAnsi="Times New Roman" w:cs="Times New Roman"/>
          <w:b/>
          <w:bCs/>
          <w:sz w:val="24"/>
          <w:szCs w:val="24"/>
          <w:lang w:val="en-CA"/>
        </w:rPr>
        <w:t>Figure 6S</w:t>
      </w:r>
      <w:r w:rsidRPr="00DE79A3">
        <w:rPr>
          <w:rFonts w:ascii="Times New Roman" w:hAnsi="Times New Roman" w:cs="Times New Roman"/>
          <w:sz w:val="24"/>
          <w:szCs w:val="24"/>
          <w:lang w:val="en-CA"/>
        </w:rPr>
        <w:t>. Summary of meta-analysis main findings and clinical implications.</w:t>
      </w:r>
    </w:p>
    <w:sectPr w:rsidR="00DE79A3" w:rsidRPr="00DE79A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9A3"/>
    <w:rsid w:val="000D0540"/>
    <w:rsid w:val="001635BC"/>
    <w:rsid w:val="008C558C"/>
    <w:rsid w:val="00D34CE7"/>
    <w:rsid w:val="00DE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7CD964-2AD1-4A08-9DC7-57D797C4D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3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21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4</cp:revision>
  <dcterms:created xsi:type="dcterms:W3CDTF">2020-08-25T01:23:00Z</dcterms:created>
  <dcterms:modified xsi:type="dcterms:W3CDTF">2020-11-10T03:40:00Z</dcterms:modified>
</cp:coreProperties>
</file>