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ACBD3" w14:textId="77777777" w:rsidR="00560D05" w:rsidRDefault="00560D05" w:rsidP="00560D05">
      <w:r>
        <w:t xml:space="preserve">Linked to Léger </w:t>
      </w:r>
      <w:r w:rsidRPr="00C37771">
        <w:rPr>
          <w:i/>
        </w:rPr>
        <w:t>et al.</w:t>
      </w:r>
      <w:r>
        <w:t xml:space="preserve"> </w:t>
      </w:r>
      <w:r w:rsidRPr="00C37771">
        <w:rPr>
          <w:b/>
        </w:rPr>
        <w:t xml:space="preserve">Characterizing social-ecological context and success factors of AMR interventions across the One Health spectrum: Analysis of 42 interventions targeting </w:t>
      </w:r>
      <w:r w:rsidRPr="00C37771">
        <w:rPr>
          <w:b/>
          <w:i/>
        </w:rPr>
        <w:t>E. coli</w:t>
      </w:r>
    </w:p>
    <w:p w14:paraId="661A5204" w14:textId="6C363A3C" w:rsidR="00560D05" w:rsidRDefault="00560D05" w:rsidP="00770055">
      <w:pPr>
        <w:pStyle w:val="Heading1"/>
        <w:rPr>
          <w:lang w:val="en-US"/>
        </w:rPr>
      </w:pPr>
      <w:r>
        <w:rPr>
          <w:lang w:val="en-US"/>
        </w:rPr>
        <w:t>Additional files</w:t>
      </w:r>
      <w:r w:rsidR="00770055">
        <w:rPr>
          <w:lang w:val="en-US"/>
        </w:rPr>
        <w:t xml:space="preserve"> C: Supplementary results for the</w:t>
      </w:r>
      <w:r w:rsidR="00770055" w:rsidRPr="005254F9">
        <w:rPr>
          <w:lang w:val="en-US"/>
        </w:rPr>
        <w:t xml:space="preserve"> description of </w:t>
      </w:r>
      <w:r w:rsidR="00770055" w:rsidRPr="00DB0D78">
        <w:rPr>
          <w:i/>
          <w:lang w:val="en-US"/>
        </w:rPr>
        <w:t>E. coli</w:t>
      </w:r>
      <w:r w:rsidR="00770055" w:rsidRPr="005254F9">
        <w:rPr>
          <w:lang w:val="en-US"/>
        </w:rPr>
        <w:t xml:space="preserve"> AMR interventions</w:t>
      </w:r>
      <w:r w:rsidR="005B4EC5">
        <w:rPr>
          <w:lang w:val="en-US"/>
        </w:rPr>
        <w:t xml:space="preserve"> (1 table, 5 figures)</w:t>
      </w:r>
    </w:p>
    <w:p w14:paraId="1AC940AB" w14:textId="77777777" w:rsidR="00770055" w:rsidRPr="00DB0D78" w:rsidRDefault="00770055" w:rsidP="00560D05"/>
    <w:p w14:paraId="35C29219" w14:textId="63685389" w:rsidR="00770055" w:rsidRDefault="00357CC8" w:rsidP="00770055">
      <w:pPr>
        <w:keepNext/>
      </w:pPr>
      <w:r>
        <w:rPr>
          <w:noProof/>
          <w:lang w:val="fr-CH" w:eastAsia="fr-CH"/>
        </w:rPr>
        <w:drawing>
          <wp:inline distT="0" distB="0" distL="0" distR="0" wp14:anchorId="3459AA07" wp14:editId="54091F4E">
            <wp:extent cx="5759450" cy="36779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B1.png"/>
                    <pic:cNvPicPr/>
                  </pic:nvPicPr>
                  <pic:blipFill>
                    <a:blip r:embed="rId7">
                      <a:extLst>
                        <a:ext uri="{28A0092B-C50C-407E-A947-70E740481C1C}">
                          <a14:useLocalDpi xmlns:a14="http://schemas.microsoft.com/office/drawing/2010/main" val="0"/>
                        </a:ext>
                      </a:extLst>
                    </a:blip>
                    <a:stretch>
                      <a:fillRect/>
                    </a:stretch>
                  </pic:blipFill>
                  <pic:spPr>
                    <a:xfrm>
                      <a:off x="0" y="0"/>
                      <a:ext cx="5759450" cy="3677920"/>
                    </a:xfrm>
                    <a:prstGeom prst="rect">
                      <a:avLst/>
                    </a:prstGeom>
                  </pic:spPr>
                </pic:pic>
              </a:graphicData>
            </a:graphic>
          </wp:inline>
        </w:drawing>
      </w:r>
    </w:p>
    <w:p w14:paraId="046BA8D8" w14:textId="77777777" w:rsidR="00770055" w:rsidRPr="00560D05" w:rsidRDefault="00770055" w:rsidP="00560D05">
      <w:pPr>
        <w:pStyle w:val="Caption"/>
        <w:rPr>
          <w:sz w:val="22"/>
        </w:rPr>
      </w:pPr>
      <w:r w:rsidRPr="00560D05">
        <w:rPr>
          <w:b/>
          <w:sz w:val="22"/>
        </w:rPr>
        <w:t>Figure C1</w:t>
      </w:r>
      <w:r w:rsidRPr="00560D05">
        <w:rPr>
          <w:sz w:val="22"/>
        </w:rPr>
        <w:t>: Number of interventions coded in AMR</w:t>
      </w:r>
      <w:r w:rsidR="00560D05">
        <w:rPr>
          <w:sz w:val="22"/>
        </w:rPr>
        <w:t>-</w:t>
      </w:r>
      <w:r w:rsidRPr="00560D05">
        <w:rPr>
          <w:sz w:val="22"/>
        </w:rPr>
        <w:t>Intervene and the number of articles referring to them (n=52 articles coded)</w:t>
      </w:r>
    </w:p>
    <w:p w14:paraId="31391F31" w14:textId="77777777" w:rsidR="00770055" w:rsidRPr="00DB0D78" w:rsidRDefault="00770055" w:rsidP="00770055"/>
    <w:p w14:paraId="776E6188" w14:textId="77777777" w:rsidR="00770055" w:rsidRDefault="00770055" w:rsidP="00770055">
      <w:pPr>
        <w:keepNext/>
      </w:pPr>
      <w:r>
        <w:rPr>
          <w:noProof/>
          <w:lang w:val="fr-CH" w:eastAsia="fr-CH"/>
        </w:rPr>
        <w:lastRenderedPageBreak/>
        <w:drawing>
          <wp:inline distT="0" distB="0" distL="0" distR="0" wp14:anchorId="04AB0F92" wp14:editId="3180F575">
            <wp:extent cx="5760720" cy="28390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art date.png"/>
                    <pic:cNvPicPr/>
                  </pic:nvPicPr>
                  <pic:blipFill>
                    <a:blip r:embed="rId8">
                      <a:extLst>
                        <a:ext uri="{28A0092B-C50C-407E-A947-70E740481C1C}">
                          <a14:useLocalDpi xmlns:a14="http://schemas.microsoft.com/office/drawing/2010/main" val="0"/>
                        </a:ext>
                      </a:extLst>
                    </a:blip>
                    <a:stretch>
                      <a:fillRect/>
                    </a:stretch>
                  </pic:blipFill>
                  <pic:spPr>
                    <a:xfrm>
                      <a:off x="0" y="0"/>
                      <a:ext cx="5760720" cy="2839085"/>
                    </a:xfrm>
                    <a:prstGeom prst="rect">
                      <a:avLst/>
                    </a:prstGeom>
                  </pic:spPr>
                </pic:pic>
              </a:graphicData>
            </a:graphic>
          </wp:inline>
        </w:drawing>
      </w:r>
    </w:p>
    <w:p w14:paraId="60A08A3A" w14:textId="77777777" w:rsidR="00770055" w:rsidRDefault="00770055" w:rsidP="00560D05">
      <w:pPr>
        <w:pStyle w:val="Caption"/>
        <w:rPr>
          <w:noProof/>
          <w:sz w:val="22"/>
        </w:rPr>
      </w:pPr>
      <w:bookmarkStart w:id="0" w:name="_Ref16597637"/>
      <w:r w:rsidRPr="00560D05">
        <w:rPr>
          <w:b/>
          <w:sz w:val="22"/>
        </w:rPr>
        <w:t>Figure</w:t>
      </w:r>
      <w:bookmarkEnd w:id="0"/>
      <w:r w:rsidRPr="00560D05">
        <w:rPr>
          <w:b/>
          <w:sz w:val="22"/>
        </w:rPr>
        <w:t xml:space="preserve"> C2:</w:t>
      </w:r>
      <w:r w:rsidRPr="00560D05">
        <w:rPr>
          <w:noProof/>
          <w:sz w:val="22"/>
        </w:rPr>
        <w:t xml:space="preserve"> Start year of the intervention described in the coded publications (n=42 E. coli AMR interventions from 52 articles coded)</w:t>
      </w:r>
    </w:p>
    <w:p w14:paraId="09E3BB99" w14:textId="77777777" w:rsidR="00560D05" w:rsidRPr="00560D05" w:rsidRDefault="00560D05" w:rsidP="00560D05"/>
    <w:p w14:paraId="00A09EF9" w14:textId="77777777" w:rsidR="00770055" w:rsidRPr="000E004C" w:rsidRDefault="00770055" w:rsidP="00770055"/>
    <w:p w14:paraId="2CFF6763" w14:textId="58090165" w:rsidR="00770055" w:rsidRDefault="00357CC8" w:rsidP="00770055">
      <w:pPr>
        <w:keepNext/>
      </w:pPr>
      <w:r>
        <w:rPr>
          <w:noProof/>
          <w:lang w:val="fr-CH" w:eastAsia="fr-CH"/>
        </w:rPr>
        <w:drawing>
          <wp:inline distT="0" distB="0" distL="0" distR="0" wp14:anchorId="6C875508" wp14:editId="37B3D94E">
            <wp:extent cx="5759450" cy="3677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C4.png"/>
                    <pic:cNvPicPr/>
                  </pic:nvPicPr>
                  <pic:blipFill>
                    <a:blip r:embed="rId9">
                      <a:extLst>
                        <a:ext uri="{28A0092B-C50C-407E-A947-70E740481C1C}">
                          <a14:useLocalDpi xmlns:a14="http://schemas.microsoft.com/office/drawing/2010/main" val="0"/>
                        </a:ext>
                      </a:extLst>
                    </a:blip>
                    <a:stretch>
                      <a:fillRect/>
                    </a:stretch>
                  </pic:blipFill>
                  <pic:spPr>
                    <a:xfrm>
                      <a:off x="0" y="0"/>
                      <a:ext cx="5759450" cy="3677920"/>
                    </a:xfrm>
                    <a:prstGeom prst="rect">
                      <a:avLst/>
                    </a:prstGeom>
                  </pic:spPr>
                </pic:pic>
              </a:graphicData>
            </a:graphic>
          </wp:inline>
        </w:drawing>
      </w:r>
    </w:p>
    <w:p w14:paraId="5D2E0BE5" w14:textId="06F1B9AD" w:rsidR="00770055" w:rsidRPr="00560D05" w:rsidRDefault="00770055" w:rsidP="00560D05">
      <w:pPr>
        <w:pStyle w:val="Caption"/>
        <w:rPr>
          <w:noProof/>
          <w:sz w:val="22"/>
        </w:rPr>
      </w:pPr>
      <w:bookmarkStart w:id="1" w:name="_Ref16517176"/>
      <w:r w:rsidRPr="00560D05">
        <w:rPr>
          <w:b/>
          <w:sz w:val="22"/>
        </w:rPr>
        <w:t>Figure</w:t>
      </w:r>
      <w:bookmarkEnd w:id="1"/>
      <w:r w:rsidRPr="00560D05">
        <w:rPr>
          <w:b/>
          <w:sz w:val="22"/>
        </w:rPr>
        <w:t xml:space="preserve"> C3:</w:t>
      </w:r>
      <w:r w:rsidRPr="00560D05">
        <w:rPr>
          <w:sz w:val="22"/>
        </w:rPr>
        <w:t xml:space="preserve"> Number of </w:t>
      </w:r>
      <w:r w:rsidR="00357CC8">
        <w:rPr>
          <w:sz w:val="22"/>
        </w:rPr>
        <w:t>AM</w:t>
      </w:r>
      <w:bookmarkStart w:id="2" w:name="_GoBack"/>
      <w:bookmarkEnd w:id="2"/>
      <w:r w:rsidRPr="00560D05">
        <w:rPr>
          <w:sz w:val="22"/>
        </w:rPr>
        <w:t xml:space="preserve"> classes targeted by the E. coli AMR interventions </w:t>
      </w:r>
      <w:r w:rsidRPr="00560D05">
        <w:rPr>
          <w:noProof/>
          <w:sz w:val="22"/>
        </w:rPr>
        <w:t>(n=42 E. coli AMR interventions from 52 articles coded)</w:t>
      </w:r>
    </w:p>
    <w:p w14:paraId="4A8B27BF" w14:textId="77777777" w:rsidR="00770055" w:rsidRPr="001C4D78" w:rsidRDefault="00770055" w:rsidP="00770055"/>
    <w:p w14:paraId="57809A8F" w14:textId="77777777" w:rsidR="00770055" w:rsidRDefault="00770055" w:rsidP="00770055">
      <w:pPr>
        <w:keepNext/>
      </w:pPr>
      <w:r>
        <w:rPr>
          <w:noProof/>
          <w:lang w:val="fr-CH" w:eastAsia="fr-CH"/>
        </w:rPr>
        <w:lastRenderedPageBreak/>
        <w:drawing>
          <wp:inline distT="0" distB="0" distL="0" distR="0" wp14:anchorId="6286004F" wp14:editId="49C6CD89">
            <wp:extent cx="5759450" cy="30975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ponsible vs level implementation.png"/>
                    <pic:cNvPicPr/>
                  </pic:nvPicPr>
                  <pic:blipFill>
                    <a:blip r:embed="rId10">
                      <a:extLst>
                        <a:ext uri="{28A0092B-C50C-407E-A947-70E740481C1C}">
                          <a14:useLocalDpi xmlns:a14="http://schemas.microsoft.com/office/drawing/2010/main" val="0"/>
                        </a:ext>
                      </a:extLst>
                    </a:blip>
                    <a:stretch>
                      <a:fillRect/>
                    </a:stretch>
                  </pic:blipFill>
                  <pic:spPr>
                    <a:xfrm>
                      <a:off x="0" y="0"/>
                      <a:ext cx="5759450" cy="3097530"/>
                    </a:xfrm>
                    <a:prstGeom prst="rect">
                      <a:avLst/>
                    </a:prstGeom>
                  </pic:spPr>
                </pic:pic>
              </a:graphicData>
            </a:graphic>
          </wp:inline>
        </w:drawing>
      </w:r>
    </w:p>
    <w:p w14:paraId="7BB6476C" w14:textId="77777777" w:rsidR="00770055" w:rsidRPr="00560D05" w:rsidRDefault="00770055" w:rsidP="00560D05">
      <w:pPr>
        <w:pStyle w:val="Caption"/>
        <w:rPr>
          <w:sz w:val="22"/>
        </w:rPr>
      </w:pPr>
      <w:bookmarkStart w:id="3" w:name="_Ref16518475"/>
      <w:r w:rsidRPr="00560D05">
        <w:rPr>
          <w:b/>
          <w:sz w:val="22"/>
        </w:rPr>
        <w:t>Figure</w:t>
      </w:r>
      <w:bookmarkEnd w:id="3"/>
      <w:r w:rsidRPr="00560D05">
        <w:rPr>
          <w:b/>
          <w:sz w:val="22"/>
        </w:rPr>
        <w:t xml:space="preserve"> C4:</w:t>
      </w:r>
      <w:r w:rsidRPr="00560D05">
        <w:rPr>
          <w:sz w:val="22"/>
        </w:rPr>
        <w:t xml:space="preserve"> Main responsible of the implementation of the E. coli AMR intervention in parallel of the level of implementation of the interventions </w:t>
      </w:r>
      <w:r w:rsidRPr="00560D05">
        <w:rPr>
          <w:noProof/>
          <w:sz w:val="22"/>
        </w:rPr>
        <w:t>(n=42 E. coli AMR interventions from 53 articles coded)</w:t>
      </w:r>
    </w:p>
    <w:p w14:paraId="1ADEF485" w14:textId="77777777" w:rsidR="00770055" w:rsidRDefault="00770055" w:rsidP="00770055"/>
    <w:p w14:paraId="76575693" w14:textId="77777777" w:rsidR="00560D05" w:rsidRPr="00EE4395" w:rsidRDefault="00560D05" w:rsidP="00770055"/>
    <w:p w14:paraId="0FA13174" w14:textId="77777777" w:rsidR="00770055" w:rsidRDefault="00770055" w:rsidP="00770055">
      <w:pPr>
        <w:keepNext/>
      </w:pPr>
      <w:r>
        <w:rPr>
          <w:noProof/>
          <w:lang w:val="fr-CH" w:eastAsia="fr-CH"/>
        </w:rPr>
        <w:drawing>
          <wp:inline distT="0" distB="0" distL="0" distR="0" wp14:anchorId="6AC7DDC1" wp14:editId="10931EEA">
            <wp:extent cx="5759450" cy="3677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unding vs level implementation.png"/>
                    <pic:cNvPicPr/>
                  </pic:nvPicPr>
                  <pic:blipFill>
                    <a:blip r:embed="rId11">
                      <a:extLst>
                        <a:ext uri="{28A0092B-C50C-407E-A947-70E740481C1C}">
                          <a14:useLocalDpi xmlns:a14="http://schemas.microsoft.com/office/drawing/2010/main" val="0"/>
                        </a:ext>
                      </a:extLst>
                    </a:blip>
                    <a:stretch>
                      <a:fillRect/>
                    </a:stretch>
                  </pic:blipFill>
                  <pic:spPr>
                    <a:xfrm>
                      <a:off x="0" y="0"/>
                      <a:ext cx="5759450" cy="3677920"/>
                    </a:xfrm>
                    <a:prstGeom prst="rect">
                      <a:avLst/>
                    </a:prstGeom>
                  </pic:spPr>
                </pic:pic>
              </a:graphicData>
            </a:graphic>
          </wp:inline>
        </w:drawing>
      </w:r>
    </w:p>
    <w:p w14:paraId="35F2DFEB" w14:textId="77777777" w:rsidR="00770055" w:rsidRPr="00560D05" w:rsidRDefault="00770055" w:rsidP="00560D05">
      <w:pPr>
        <w:pStyle w:val="Caption"/>
        <w:rPr>
          <w:noProof/>
          <w:sz w:val="22"/>
        </w:rPr>
      </w:pPr>
      <w:bookmarkStart w:id="4" w:name="_Ref16518818"/>
      <w:r w:rsidRPr="00560D05">
        <w:rPr>
          <w:b/>
          <w:sz w:val="22"/>
        </w:rPr>
        <w:t>Figure</w:t>
      </w:r>
      <w:bookmarkEnd w:id="4"/>
      <w:r w:rsidRPr="00560D05">
        <w:rPr>
          <w:b/>
          <w:sz w:val="22"/>
        </w:rPr>
        <w:t xml:space="preserve"> C5:</w:t>
      </w:r>
      <w:r w:rsidRPr="00560D05">
        <w:rPr>
          <w:sz w:val="22"/>
        </w:rPr>
        <w:t xml:space="preserve"> Funding body of the intervention depending on the level of implementation of the intervention </w:t>
      </w:r>
      <w:r w:rsidRPr="00560D05">
        <w:rPr>
          <w:noProof/>
          <w:sz w:val="22"/>
        </w:rPr>
        <w:t>(n=42 E. coli AMR interventions from 52 articles coded)</w:t>
      </w:r>
    </w:p>
    <w:p w14:paraId="41851DBA" w14:textId="77777777" w:rsidR="00770055" w:rsidRDefault="00770055" w:rsidP="00770055">
      <w:pPr>
        <w:rPr>
          <w:bdr w:val="none" w:sz="0" w:space="0" w:color="auto" w:frame="1"/>
          <w:lang w:eastAsia="fr-CH"/>
        </w:rPr>
        <w:sectPr w:rsidR="00770055" w:rsidSect="00737362">
          <w:footerReference w:type="default" r:id="rId12"/>
          <w:pgSz w:w="11906" w:h="16838"/>
          <w:pgMar w:top="1418" w:right="1418" w:bottom="1134" w:left="1418" w:header="708" w:footer="708" w:gutter="0"/>
          <w:lnNumType w:countBy="1" w:restart="continuous"/>
          <w:cols w:space="708"/>
          <w:docGrid w:linePitch="360"/>
        </w:sectPr>
      </w:pPr>
    </w:p>
    <w:p w14:paraId="2AD23CDE" w14:textId="77777777" w:rsidR="00770055" w:rsidRPr="00560D05" w:rsidRDefault="00770055" w:rsidP="00560D05">
      <w:pPr>
        <w:pStyle w:val="Caption"/>
        <w:keepNext/>
        <w:rPr>
          <w:sz w:val="22"/>
        </w:rPr>
      </w:pPr>
      <w:r w:rsidRPr="00560D05">
        <w:rPr>
          <w:b/>
          <w:sz w:val="22"/>
        </w:rPr>
        <w:lastRenderedPageBreak/>
        <w:t>Table C6:</w:t>
      </w:r>
      <w:r w:rsidRPr="00560D05">
        <w:rPr>
          <w:noProof/>
          <w:sz w:val="22"/>
        </w:rPr>
        <w:t xml:space="preserve"> Details of success and failure factors and contextual factors that had an impact on the interventions as described in the 52 studied publications, following the classification of the CFIR, (Consolidated Framework for Implementation Research framework) developped by </w:t>
      </w:r>
      <w:r w:rsidRPr="00560D05">
        <w:rPr>
          <w:noProof/>
          <w:sz w:val="22"/>
        </w:rPr>
        <w:fldChar w:fldCharType="begin" w:fldLock="1"/>
      </w:r>
      <w:r w:rsidR="00560D05">
        <w:rPr>
          <w:noProof/>
          <w:sz w:val="22"/>
        </w:rPr>
        <w:instrText>ADDIN CSL_CITATION {"citationItems":[{"id":"ITEM-1","itemData":{"ISSN":"1748-5908","author":[{"dropping-particle":"","family":"Damschroder","given":"Laura J","non-dropping-particle":"","parse-names":false,"suffix":""},{"dropping-particle":"","family":"Aron","given":"David C","non-dropping-particle":"","parse-names":false,"suffix":""},{"dropping-particle":"","family":"Keith","given":"Rosalind E","non-dropping-particle":"","parse-names":false,"suffix":""},{"dropping-particle":"","family":"Kirsh","given":"Susan R","non-dropping-particle":"","parse-names":false,"suffix":""},{"dropping-particle":"","family":"Alexander","given":"Jeffery A","non-dropping-particle":"","parse-names":false,"suffix":""},{"dropping-particle":"","family":"Lowery","given":"Julie C","non-dropping-particle":"","parse-names":false,"suffix":""}],"container-title":"Implementation science","id":"ITEM-1","issue":"1","issued":{"date-parts":[["2009"]]},"page":"1-15","publisher":"BioMed Central","title":"Fostering implementation of health services research findings into practice: a consolidated framework for advancing implementation science","type":"article-journal","volume":"4"},"uris":["http://www.mendeley.com/documents/?uuid=2a9067b9-6301-4f83-8753-23ae79e3efc8"]}],"mendeley":{"formattedCitation":"(1)","plainTextFormattedCitation":"(1)","previouslyFormattedCitation":"(24)"},"properties":{"noteIndex":0},"schema":"https://github.com/citation-style-language/schema/raw/master/csl-citation.json"}</w:instrText>
      </w:r>
      <w:r w:rsidRPr="00560D05">
        <w:rPr>
          <w:noProof/>
          <w:sz w:val="22"/>
        </w:rPr>
        <w:fldChar w:fldCharType="separate"/>
      </w:r>
      <w:r w:rsidR="00560D05" w:rsidRPr="00560D05">
        <w:rPr>
          <w:i w:val="0"/>
          <w:noProof/>
          <w:sz w:val="22"/>
        </w:rPr>
        <w:t>(1)</w:t>
      </w:r>
      <w:r w:rsidRPr="00560D05">
        <w:rPr>
          <w:noProof/>
          <w:sz w:val="22"/>
        </w:rPr>
        <w:fldChar w:fldCharType="end"/>
      </w:r>
    </w:p>
    <w:tbl>
      <w:tblPr>
        <w:tblStyle w:val="ListTable3-Accent1"/>
        <w:tblW w:w="0" w:type="auto"/>
        <w:tblLook w:val="04A0" w:firstRow="1" w:lastRow="0" w:firstColumn="1" w:lastColumn="0" w:noHBand="0" w:noVBand="1"/>
      </w:tblPr>
      <w:tblGrid>
        <w:gridCol w:w="1553"/>
        <w:gridCol w:w="1836"/>
        <w:gridCol w:w="5122"/>
        <w:gridCol w:w="5481"/>
      </w:tblGrid>
      <w:tr w:rsidR="00770055" w14:paraId="49973523" w14:textId="77777777" w:rsidTr="00560D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4" w:type="dxa"/>
          </w:tcPr>
          <w:p w14:paraId="5E75D163" w14:textId="77777777" w:rsidR="00770055" w:rsidRDefault="00770055" w:rsidP="003F0E80">
            <w:r>
              <w:t>Main domain of CFIR classification</w:t>
            </w:r>
          </w:p>
        </w:tc>
        <w:tc>
          <w:tcPr>
            <w:tcW w:w="1843" w:type="dxa"/>
          </w:tcPr>
          <w:p w14:paraId="68EE9A67" w14:textId="77777777" w:rsidR="00770055" w:rsidRPr="00F3135D" w:rsidRDefault="00770055" w:rsidP="003F0E80">
            <w:pPr>
              <w:cnfStyle w:val="100000000000" w:firstRow="1" w:lastRow="0" w:firstColumn="0" w:lastColumn="0" w:oddVBand="0" w:evenVBand="0" w:oddHBand="0" w:evenHBand="0" w:firstRowFirstColumn="0" w:firstRowLastColumn="0" w:lastRowFirstColumn="0" w:lastRowLastColumn="0"/>
              <w:rPr>
                <w:lang w:eastAsia="fr-CH"/>
              </w:rPr>
            </w:pPr>
            <w:r w:rsidRPr="00F3135D">
              <w:rPr>
                <w:lang w:eastAsia="fr-CH"/>
              </w:rPr>
              <w:t>Subdomain of CFIR classification</w:t>
            </w:r>
          </w:p>
        </w:tc>
        <w:tc>
          <w:tcPr>
            <w:tcW w:w="5245" w:type="dxa"/>
          </w:tcPr>
          <w:p w14:paraId="24A660A6" w14:textId="77777777" w:rsidR="00770055" w:rsidRPr="00B50845" w:rsidRDefault="00770055" w:rsidP="003F0E80">
            <w:pPr>
              <w:cnfStyle w:val="100000000000" w:firstRow="1" w:lastRow="0" w:firstColumn="0" w:lastColumn="0" w:oddVBand="0" w:evenVBand="0" w:oddHBand="0" w:evenHBand="0" w:firstRowFirstColumn="0" w:firstRowLastColumn="0" w:lastRowFirstColumn="0" w:lastRowLastColumn="0"/>
              <w:rPr>
                <w:bdr w:val="none" w:sz="0" w:space="0" w:color="auto" w:frame="1"/>
                <w:lang w:eastAsia="fr-CH"/>
              </w:rPr>
            </w:pPr>
            <w:r>
              <w:rPr>
                <w:bdr w:val="none" w:sz="0" w:space="0" w:color="auto" w:frame="1"/>
                <w:lang w:eastAsia="fr-CH"/>
              </w:rPr>
              <w:t>Description of the factor (success, failure, or contextual factor)</w:t>
            </w:r>
          </w:p>
        </w:tc>
        <w:tc>
          <w:tcPr>
            <w:tcW w:w="5635" w:type="dxa"/>
          </w:tcPr>
          <w:p w14:paraId="1DD6841E" w14:textId="77777777" w:rsidR="00770055" w:rsidRPr="00B50845" w:rsidRDefault="00770055" w:rsidP="003F0E80">
            <w:pPr>
              <w:cnfStyle w:val="100000000000" w:firstRow="1" w:lastRow="0" w:firstColumn="0" w:lastColumn="0" w:oddVBand="0" w:evenVBand="0" w:oddHBand="0" w:evenHBand="0" w:firstRowFirstColumn="0" w:firstRowLastColumn="0" w:lastRowFirstColumn="0" w:lastRowLastColumn="0"/>
              <w:rPr>
                <w:bdr w:val="none" w:sz="0" w:space="0" w:color="auto" w:frame="1"/>
                <w:lang w:eastAsia="fr-CH"/>
              </w:rPr>
            </w:pPr>
            <w:r>
              <w:rPr>
                <w:bdr w:val="none" w:sz="0" w:space="0" w:color="auto" w:frame="1"/>
                <w:lang w:eastAsia="fr-CH"/>
              </w:rPr>
              <w:t>Example in literature (citations)</w:t>
            </w:r>
          </w:p>
        </w:tc>
      </w:tr>
      <w:tr w:rsidR="00770055" w14:paraId="5B3E0521"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48DE4912" w14:textId="77777777" w:rsidR="00770055" w:rsidRDefault="00770055" w:rsidP="003F0E80">
            <w:r>
              <w:t>Interventions characteristics</w:t>
            </w:r>
          </w:p>
          <w:p w14:paraId="12A60AB6" w14:textId="77777777" w:rsidR="00770055" w:rsidRDefault="00770055" w:rsidP="003F0E80"/>
        </w:tc>
        <w:tc>
          <w:tcPr>
            <w:tcW w:w="1843" w:type="dxa"/>
          </w:tcPr>
          <w:p w14:paraId="06F5B36D"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pPr>
            <w:r w:rsidRPr="00F3135D">
              <w:rPr>
                <w:lang w:eastAsia="fr-CH"/>
              </w:rPr>
              <w:t>Importance of evidence strength and quality</w:t>
            </w:r>
            <w:r w:rsidRPr="00F3135D">
              <w:rPr>
                <w:bdr w:val="none" w:sz="0" w:space="0" w:color="auto" w:frame="1"/>
                <w:lang w:eastAsia="fr-CH"/>
              </w:rPr>
              <w:t>.</w:t>
            </w:r>
          </w:p>
        </w:tc>
        <w:tc>
          <w:tcPr>
            <w:tcW w:w="5245" w:type="dxa"/>
          </w:tcPr>
          <w:p w14:paraId="1AF0FEC4"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sidRPr="006B4BBD">
              <w:rPr>
                <w:bdr w:val="none" w:sz="0" w:space="0" w:color="auto" w:frame="1"/>
                <w:lang w:eastAsia="fr-CH"/>
              </w:rPr>
              <w:t>Data access, management, and analysis</w:t>
            </w:r>
            <w:r>
              <w:rPr>
                <w:bdr w:val="none" w:sz="0" w:space="0" w:color="auto" w:frame="1"/>
                <w:lang w:eastAsia="fr-CH"/>
              </w:rPr>
              <w:t xml:space="preserve"> (success factor)</w:t>
            </w:r>
          </w:p>
          <w:p w14:paraId="2A6A7873" w14:textId="77777777" w:rsidR="00770055" w:rsidRPr="00B803EE" w:rsidRDefault="00770055" w:rsidP="003F0E80">
            <w:pPr>
              <w:cnfStyle w:val="000000100000" w:firstRow="0" w:lastRow="0" w:firstColumn="0" w:lastColumn="0" w:oddVBand="0" w:evenVBand="0" w:oddHBand="1" w:evenHBand="0" w:firstRowFirstColumn="0" w:firstRowLastColumn="0" w:lastRowFirstColumn="0" w:lastRowLastColumn="0"/>
              <w:rPr>
                <w:i/>
                <w:bdr w:val="none" w:sz="0" w:space="0" w:color="auto" w:frame="1"/>
                <w:lang w:eastAsia="fr-CH"/>
              </w:rPr>
            </w:pPr>
            <w:r w:rsidRPr="00B803EE">
              <w:rPr>
                <w:i/>
                <w:color w:val="808080" w:themeColor="background1" w:themeShade="80"/>
                <w:bdr w:val="none" w:sz="0" w:space="0" w:color="auto" w:frame="1"/>
                <w:lang w:eastAsia="fr-CH"/>
              </w:rPr>
              <w:t>A proper strategy for data access, management, and analysis was identified as a success factor. Data should also be checked for plausibility and completeness. Interventions also mentioned that they do retesting and confirmation of laboratory analyses to increase the data quality.</w:t>
            </w:r>
          </w:p>
        </w:tc>
        <w:tc>
          <w:tcPr>
            <w:tcW w:w="5635" w:type="dxa"/>
          </w:tcPr>
          <w:p w14:paraId="519BA60C"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pPr>
            <w:r>
              <w:rPr>
                <w:i/>
                <w:lang w:eastAsia="fr-CH"/>
              </w:rPr>
              <w:t>“</w:t>
            </w:r>
            <w:r w:rsidRPr="00A55ACA">
              <w:rPr>
                <w:i/>
                <w:lang w:eastAsia="fr-CH"/>
              </w:rPr>
              <w:t>This integrated program was made possible because access to all relevant data and samples that were already systematically collected from animals, food, and humans has been shared.</w:t>
            </w:r>
            <w:r>
              <w:rPr>
                <w:i/>
                <w:lang w:eastAsia="fr-CH"/>
              </w:rPr>
              <w:t>”</w:t>
            </w:r>
            <w:r w:rsidRPr="00A55ACA">
              <w:rPr>
                <w:i/>
                <w:lang w:eastAsia="fr-CH"/>
              </w:rPr>
              <w:t xml:space="preserve"> </w:t>
            </w:r>
            <w:r w:rsidRPr="0074732C">
              <w:rPr>
                <w:lang w:val="fr-CH" w:eastAsia="fr-CH"/>
              </w:rPr>
              <w:fldChar w:fldCharType="begin" w:fldLock="1"/>
            </w:r>
            <w:r w:rsidR="00560D05">
              <w:rPr>
                <w:lang w:eastAsia="fr-CH"/>
              </w:rPr>
              <w:instrText>ADDIN CSL_CITATION {"citationItems":[{"id":"ITEM-1","itemData":{"DOI":"10.3201/eid1311.070421","ISSN":"10806040","abstract":"Resistance to antimicrobial agents is an emerging problem worldwide. Awareness of the undesirable consequences of its widespread occurrence has led to the initiation of antimicrobial agent resistance monitoring programs in several countries. In 1995, Denmark was the first country to establish a systematic and continuous monitoring program of antimicrobial drug consumption and antimicrobial agent resistance in animals, food, and humans, the Danish Integrated Antimicrobial Resistance Monitoring and Research Program (DANMAP). Monitoring of antimicrobial drug resistance and a range of research activities related to DANMAP have contributed to restrictions or bans of use of several antimicrobial agents in food animals in Denmark and other European Union countries.","author":[{"dropping-particle":"","family":"Hammerum","given":"Anette M.","non-dropping-particle":"","parse-names":false,"suffix":""},{"dropping-particle":"","family":"Heuer","given":"Ole E.","non-dropping-particle":"","parse-names":false,"suffix":""},{"dropping-particle":"","family":"Emborg","given":"Hanne Dorthe","non-dropping-particle":"","parse-names":false,"suffix":""},{"dropping-particle":"","family":"Bagger-Skjøt","given":"Line","non-dropping-particle":"","parse-names":false,"suffix":""},{"dropping-particle":"","family":"Jensen","given":"Vibeke F.","non-dropping-particle":"","parse-names":false,"suffix":""},{"dropping-particle":"","family":"Rogues","given":"Anne Marie","non-dropping-particle":"","parse-names":false,"suffix":""},{"dropping-particle":"","family":"Skov","given":"Robert L.","non-dropping-particle":"","parse-names":false,"suffix":""},{"dropping-particle":"","family":"Agersø","given":"Yvonne","non-dropping-particle":"","parse-names":false,"suffix":""},{"dropping-particle":"","family":"Brandt","given":"Christian T.","non-dropping-particle":"","parse-names":false,"suffix":""},{"dropping-particle":"","family":"Seyfarth","given":"Anne Mette","non-dropping-particle":"","parse-names":false,"suffix":""},{"dropping-particle":"","family":"Muller","given":"Arno","non-dropping-particle":"","parse-names":false,"suffix":""},{"dropping-particle":"","family":"Hovgaard","given":"Karin","non-dropping-particle":"","parse-names":false,"suffix":""},{"dropping-particle":"","family":"Ajufo","given":"Justin","non-dropping-particle":"","parse-names":false,"suffix":""},{"dropping-particle":"","family":"Bager","given":"Flemming","non-dropping-particle":"","parse-names":false,"suffix":""},{"dropping-particle":"","family":"Aarestrup","given":"Frank M.","non-dropping-particle":"","parse-names":false,"suffix":""},{"dropping-particle":"","family":"Frimodt-Møller","given":"Niels","non-dropping-particle":"","parse-names":false,"suffix":""},{"dropping-particle":"","family":"Wegener","given":"Henrik C.","non-dropping-particle":"","parse-names":false,"suffix":""},{"dropping-particle":"","family":"Monnet","given":"Dominique L.","non-dropping-particle":"","parse-names":false,"suffix":""}],"container-title":"Emerging Infectious Diseases","id":"ITEM-1","issue":"11","issued":{"date-parts":[["2007"]]},"page":"1632-1639","title":"Danish integrated antimicrobial resistance monitoring and research program","type":"article-journal","volume":"13"},"uris":["http://www.mendeley.com/documents/?uuid=7d4163be-d014-4d1f-ba40-2184b8b69cae"]}],"mendeley":{"formattedCitation":"(2)","plainTextFormattedCitation":"(2)","previouslyFormattedCitation":"(70)"},"properties":{"noteIndex":0},"schema":"https://github.com/citation-style-language/schema/raw/master/csl-citation.json"}</w:instrText>
            </w:r>
            <w:r w:rsidRPr="0074732C">
              <w:rPr>
                <w:lang w:val="fr-CH" w:eastAsia="fr-CH"/>
              </w:rPr>
              <w:fldChar w:fldCharType="separate"/>
            </w:r>
            <w:r w:rsidR="00560D05" w:rsidRPr="00560D05">
              <w:rPr>
                <w:noProof/>
              </w:rPr>
              <w:t>(2)</w:t>
            </w:r>
            <w:r w:rsidRPr="0074732C">
              <w:rPr>
                <w:lang w:val="fr-CH" w:eastAsia="fr-CH"/>
              </w:rPr>
              <w:fldChar w:fldCharType="end"/>
            </w:r>
          </w:p>
        </w:tc>
      </w:tr>
      <w:tr w:rsidR="00770055" w14:paraId="30D1B577"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7557BCF8" w14:textId="77777777" w:rsidR="00770055" w:rsidRDefault="00770055" w:rsidP="003F0E80"/>
        </w:tc>
        <w:tc>
          <w:tcPr>
            <w:tcW w:w="1843" w:type="dxa"/>
          </w:tcPr>
          <w:p w14:paraId="41F96B35"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pPr>
          </w:p>
        </w:tc>
        <w:tc>
          <w:tcPr>
            <w:tcW w:w="5245" w:type="dxa"/>
          </w:tcPr>
          <w:p w14:paraId="1892A680"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D92B66">
              <w:rPr>
                <w:bdr w:val="none" w:sz="0" w:space="0" w:color="auto" w:frame="1"/>
                <w:lang w:eastAsia="fr-CH"/>
              </w:rPr>
              <w:t>Number of data (small number of samples)</w:t>
            </w:r>
          </w:p>
          <w:p w14:paraId="4D0A3299"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D92B66">
              <w:rPr>
                <w:bdr w:val="none" w:sz="0" w:space="0" w:color="auto" w:frame="1"/>
                <w:lang w:eastAsia="fr-CH"/>
              </w:rPr>
              <w:t>Quality of the data</w:t>
            </w:r>
          </w:p>
          <w:p w14:paraId="1B43F6F8"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D92B66">
              <w:rPr>
                <w:bdr w:val="none" w:sz="0" w:space="0" w:color="auto" w:frame="1"/>
                <w:lang w:eastAsia="fr-CH"/>
              </w:rPr>
              <w:t>Representativeness of the data</w:t>
            </w:r>
          </w:p>
          <w:p w14:paraId="19664457"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D92B66">
              <w:rPr>
                <w:bdr w:val="none" w:sz="0" w:space="0" w:color="auto" w:frame="1"/>
                <w:lang w:eastAsia="fr-CH"/>
              </w:rPr>
              <w:t>Need for long-time data</w:t>
            </w:r>
            <w:r>
              <w:rPr>
                <w:bdr w:val="none" w:sz="0" w:space="0" w:color="auto" w:frame="1"/>
                <w:lang w:eastAsia="fr-CH"/>
              </w:rPr>
              <w:t xml:space="preserve"> (failure factors)</w:t>
            </w:r>
          </w:p>
          <w:p w14:paraId="03587295" w14:textId="77777777" w:rsidR="00770055" w:rsidRPr="006E77C4" w:rsidRDefault="00770055" w:rsidP="003F0E80">
            <w:pPr>
              <w:cnfStyle w:val="000000000000" w:firstRow="0" w:lastRow="0" w:firstColumn="0" w:lastColumn="0" w:oddVBand="0" w:evenVBand="0" w:oddHBand="0" w:evenHBand="0" w:firstRowFirstColumn="0" w:firstRowLastColumn="0" w:lastRowFirstColumn="0" w:lastRowLastColumn="0"/>
              <w:rPr>
                <w:i/>
                <w:bdr w:val="none" w:sz="0" w:space="0" w:color="auto" w:frame="1"/>
                <w:lang w:eastAsia="fr-CH"/>
              </w:rPr>
            </w:pPr>
            <w:r w:rsidRPr="006E77C4">
              <w:rPr>
                <w:i/>
                <w:color w:val="808080" w:themeColor="background1" w:themeShade="80"/>
                <w:bdr w:val="none" w:sz="0" w:space="0" w:color="auto" w:frame="1"/>
                <w:lang w:eastAsia="fr-CH"/>
              </w:rPr>
              <w:t>Several publications highlighted data limitation as potential failure factors of their interv</w:t>
            </w:r>
            <w:r w:rsidRPr="006E77C4">
              <w:rPr>
                <w:i/>
                <w:color w:val="808080" w:themeColor="background1" w:themeShade="80"/>
              </w:rPr>
              <w:t>ention, including small number of data/samples, quality of the data (e.g.</w:t>
            </w:r>
            <w:r>
              <w:rPr>
                <w:i/>
                <w:color w:val="808080" w:themeColor="background1" w:themeShade="80"/>
              </w:rPr>
              <w:t>,</w:t>
            </w:r>
            <w:r w:rsidRPr="006E77C4">
              <w:rPr>
                <w:i/>
                <w:color w:val="808080" w:themeColor="background1" w:themeShade="80"/>
              </w:rPr>
              <w:t xml:space="preserve"> sampling, recording, entering the data in the database, consistency of data recording, bias in data collection, quality control, semantic homogeneity), low representativeness of the data, and the need for long-time data. </w:t>
            </w:r>
          </w:p>
        </w:tc>
        <w:tc>
          <w:tcPr>
            <w:tcW w:w="5635" w:type="dxa"/>
          </w:tcPr>
          <w:p w14:paraId="733081B6"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lang w:eastAsia="fr-CH"/>
              </w:rPr>
            </w:pPr>
            <w:r>
              <w:rPr>
                <w:i/>
                <w:lang w:eastAsia="fr-CH"/>
              </w:rPr>
              <w:t>“</w:t>
            </w:r>
            <w:r w:rsidRPr="00A55ACA">
              <w:rPr>
                <w:i/>
                <w:lang w:eastAsia="fr-CH"/>
              </w:rPr>
              <w:t xml:space="preserve">The small number of isolates tested each year may also limit the external validity of the results. </w:t>
            </w:r>
            <w:r w:rsidRPr="0074732C">
              <w:rPr>
                <w:lang w:eastAsia="fr-CH"/>
              </w:rPr>
              <w:fldChar w:fldCharType="begin" w:fldLock="1"/>
            </w:r>
            <w:r w:rsidR="00560D05">
              <w:rPr>
                <w:lang w:eastAsia="fr-CH"/>
              </w:rPr>
              <w:instrText>ADDIN CSL_CITATION {"citationItems":[{"id":"ITEM-1","itemData":{"ISSN":"0008-5286 (Print)","PMID":"29910475","abstract":"Clinical isolates are important to antimicrobial resistance surveillance efforts  because clinically ill animals are the direct targets of antimicrobial treatments. Thus, clinical data may provide a surveillance tool for identifying emerging resistance threats. The purpose of this study was to describe resistance trends in Escherichia coli and Salmonella spp. from clinically ill animals over time and evaluate the utility of these laboratory data as a passive surveillance tool. Susceptibility results of isolates from chickens, swine, and cattle recovered between 2007 and 2015 at a major veterinary diagnostic laboratory in Ontario, Canada were analyzed. Relative to other antimicrobials tested, visible trends highlighted high resistance to ampicillin and tetracycline in chicken E. coli, consistently high resistance to tetracycline, sulfisoxazole, and ampicillin among swine isolates, and an increase in cattle E. coli resistant to ampicillin and cephalothin over time. While the data show potential for use in surveillance, there are limitations of such a clinical dataset for predicting overall trends and guiding empirical treatment decisions.","author":[{"dropping-particle":"V","family":"Kadykalo","given":"Stefanie","non-dropping-particle":"","parse-names":false,"suffix":""},{"dropping-particle":"","family":"Anderson","given":"Maureen E C","non-dropping-particle":"","parse-names":false,"suffix":""},{"dropping-particle":"","family":"Alsop","given":"Janet E","non-dropping-particle":"","parse-names":false,"suffix":""}],"container-title":"The Canadian veterinary journal = La revue veterinaire canadienne","id":"ITEM-1","issue":"6","issued":{"date-parts":[["2018","6"]]},"language":"eng","page":"617-622","publisher-place":"Canada","title":"Passive surveillance of antimicrobial resistance in Salmonella and Escherichia coli isolates from Ontario livestock, 2007-2015.","type":"article-journal","volume":"59"},"uris":["http://www.mendeley.com/documents/?uuid=212a72b4-8c39-4a4a-b827-c4e67195f149"]}],"mendeley":{"formattedCitation":"(3)","plainTextFormattedCitation":"(3)","previouslyFormattedCitation":"(71)"},"properties":{"noteIndex":0},"schema":"https://github.com/citation-style-language/schema/raw/master/csl-citation.json"}</w:instrText>
            </w:r>
            <w:r w:rsidRPr="0074732C">
              <w:rPr>
                <w:lang w:eastAsia="fr-CH"/>
              </w:rPr>
              <w:fldChar w:fldCharType="separate"/>
            </w:r>
            <w:r w:rsidR="00560D05" w:rsidRPr="00560D05">
              <w:rPr>
                <w:noProof/>
                <w:lang w:eastAsia="fr-CH"/>
              </w:rPr>
              <w:t>(3)</w:t>
            </w:r>
            <w:r w:rsidRPr="0074732C">
              <w:rPr>
                <w:lang w:eastAsia="fr-CH"/>
              </w:rPr>
              <w:fldChar w:fldCharType="end"/>
            </w:r>
          </w:p>
          <w:p w14:paraId="26ED1D2D"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lang w:eastAsia="fr-CH"/>
              </w:rPr>
            </w:pPr>
            <w:r w:rsidRPr="00A55ACA">
              <w:rPr>
                <w:i/>
                <w:lang w:eastAsia="fr-CH"/>
              </w:rPr>
              <w:t>Bias should be considered with regard to the following points: ICUs differ according to the number of months they participated. A selection bias is likely because a notable number of resistant strains requested for genotyping was not sent. In addition, misclassification of sensibility testing may bias the resistance data.</w:t>
            </w:r>
            <w:r>
              <w:rPr>
                <w:lang w:eastAsia="fr-CH"/>
              </w:rPr>
              <w:t xml:space="preserve"> </w:t>
            </w:r>
            <w:r w:rsidRPr="0074732C">
              <w:rPr>
                <w:lang w:eastAsia="fr-CH"/>
              </w:rPr>
              <w:fldChar w:fldCharType="begin" w:fldLock="1"/>
            </w:r>
            <w:r w:rsidR="00560D05">
              <w:rPr>
                <w:lang w:eastAsia="fr-CH"/>
              </w:rPr>
              <w:instrText>ADDIN CSL_CITATION {"citationItems":[{"id":"ITEM-1","itemData":{"DOI":"10.1007/s15010-003-3201-7","ISSN":"03008126","abstract":"Background: Data on antibiotic consumption and bacterial resistance are important for benchmarking, ensuring quality of antibiotic treatment and helping to understand the relationship between the use of antibiotics and the emergence of resistance. Methods: The SARI project is an ecological study that has established laboratory-based surveillance in German intensive care units (ICU). Resistance rates of 13 sentinel pathogens are reported and certain alert organisms are sent for genotyping and retesting of antimicrobial resistance. Results: The project, initiated in February 2000, now includes 35 ICUs generating a total of 266,013 patient days, 354,356 defined daily doses (DDD) and providing susceptibility data on 21,354 isolates. Pooled antibiotic usage density (AD = DDD/1,000 patient days) was highest for penicillins with lactamase inhibitor (AD 338.3) followed by quinolones (AD 155.5) and second-generation cephalosporins (AD 124.6). Total AD was calculated as 1,337 DDD/1,000 patient days. Resistance rates (RR) for laboratories testing according to the German Industrial Standard (DIN) were 19.3% for methicillin-resistant Staphylococcus aureus(MRSA), 9.5% for ciprofloxacin-resistant Escherichia coli and 25.4% for imipenem-resistant Pseudomonas aeruginosa. 40% of the laboratories did not identify the extended spectrum βlactamase production of a Klebsiella pneumoniae strain. Conclusion: Focusing on German ICUs, the SARI surveillance system provides a concept that produces a benchmark for the link between antibiotic resistance and consumption.","author":[{"dropping-particle":"","family":"Meyer","given":"E.","non-dropping-particle":"","parse-names":false,"suffix":""},{"dropping-particle":"","family":"Jonas","given":"D.","non-dropping-particle":"","parse-names":false,"suffix":""},{"dropping-particle":"","family":"Schwab","given":"F.","non-dropping-particle":"","parse-names":false,"suffix":""},{"dropping-particle":"","family":"Rueden","given":"H.","non-dropping-particle":"","parse-names":false,"suffix":""},{"dropping-particle":"","family":"Gastmeier","given":"P.","non-dropping-particle":"","parse-names":false,"suffix":""},{"dropping-particle":"","family":"Daschner","given":"F. D.","non-dropping-particle":"","parse-names":false,"suffix":""}],"container-title":"Infection","id":"ITEM-1","issue":"4","issued":{"date-parts":[["2003"]]},"page":"208-215","title":"Design of a surveillance system of antibiotic use and bacterial resistance in German intensive care units (SARI)","type":"article-journal","volume":"31"},"uris":["http://www.mendeley.com/documents/?uuid=9a1e1c40-1f5a-4f8b-82c2-5b524151c4ea"]}],"mendeley":{"formattedCitation":"(4)","plainTextFormattedCitation":"(4)","previouslyFormattedCitation":"(69)"},"properties":{"noteIndex":0},"schema":"https://github.com/citation-style-language/schema/raw/master/csl-citation.json"}</w:instrText>
            </w:r>
            <w:r w:rsidRPr="0074732C">
              <w:rPr>
                <w:lang w:eastAsia="fr-CH"/>
              </w:rPr>
              <w:fldChar w:fldCharType="separate"/>
            </w:r>
            <w:r w:rsidR="00560D05" w:rsidRPr="00560D05">
              <w:rPr>
                <w:noProof/>
                <w:lang w:eastAsia="fr-CH"/>
              </w:rPr>
              <w:t>(4)</w:t>
            </w:r>
            <w:r w:rsidRPr="0074732C">
              <w:rPr>
                <w:lang w:eastAsia="fr-CH"/>
              </w:rPr>
              <w:fldChar w:fldCharType="end"/>
            </w:r>
          </w:p>
          <w:p w14:paraId="71851D23"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lang w:eastAsia="fr-CH"/>
              </w:rPr>
            </w:pPr>
            <w:r w:rsidRPr="00A55ACA">
              <w:rPr>
                <w:i/>
                <w:lang w:eastAsia="fr-CH"/>
              </w:rPr>
              <w:t>Representativeness - while this is a substantial number it remains a very small representative samples of the total mastitis pathogen population in the EU and is too small to draw definitive conclusions.</w:t>
            </w:r>
            <w:r>
              <w:rPr>
                <w:lang w:eastAsia="fr-CH"/>
              </w:rPr>
              <w:t xml:space="preserve"> </w:t>
            </w:r>
            <w:r w:rsidRPr="0074732C">
              <w:rPr>
                <w:lang w:eastAsia="fr-CH"/>
              </w:rPr>
              <w:fldChar w:fldCharType="begin" w:fldLock="1"/>
            </w:r>
            <w:r w:rsidR="00560D05">
              <w:rPr>
                <w:lang w:eastAsia="fr-CH"/>
              </w:rPr>
              <w:instrText>ADDIN CSL_CITATION {"citationItems":[{"id":"ITEM-1","itemData":{"DOI":"10.1016/j.vetmic.2017.11.021","ISSN":"1873-2542 (Electronic)","PMID":"29292007","abstract":"VetPath is an ongoing pan-European antimicrobial susceptibility monitoring programme collecting pathogens from diseased cattle, pigs and poultry not recently treated with antibiotics. Non-duplicate milk samples were collected from cows with acute clinical mastitis in nine countries and 934 isolates were obtained during 2009-2012 for subsequent antimicrobial susceptibility testing in a central laboratory. CLSI broth microdilution methodology was used, and where available, MICs were interpreted using CLSI approved veterinary-specific (ceftiofur) otherwise human clinical breakpoints. Among Escherichia coli (n=207) and Klebsiella spp., (n=87), resistance was moderate to tetracycline and high to cephapirin (E. coli only) whereas resistance to other beta-lactam antibiotics was very low (ceftiofur) to low (amoxicillin/clavulanic acid, cephalexin, cephalonium). The MIC90 of enrofloxacin and marbofloxacin was 0.03 and 0.06mug/mL respectively (E. coli) with 0.5% strains displaying higher MICs. Staphylococcus aureus (n=192) and coagulase-negative staphylococci (CNS; n=165) strains were susceptible to most antibiotics tested except to penicillin (25.0 and 29.1% resistance), respectively. Three S. aureus and seven CNS strains were oxacillin-resistant and harboured mecA. Streptococcus uberis strains (n=188) were susceptible to the beta-lactam antibiotics although 35.6% were penicillin intermediately susceptible, and 20.2% were resistant to erythromycin, 36.7% to tetracycline. For Streptococcus dysgalactiae (n=95) the latter figures were 13.7 and 56.8%, respectively. For most antibiotics, the percentage resistance among E. coli, S. aureus and S. uberis was comparable to that of the VetPath 2002-2006 survey. This current, expanded VetPath study shows that mastitis pathogens were susceptible to most antibiotics with exceptions of staphylococci tested against penicillin and streptococci against erythromycin or tetracycline. This work highlights the high need to set additional clinical breakpoints for antibiotics frequently used to treat mastitis.","author":[{"dropping-particle":"","family":"Jong","given":"Anno","non-dropping-particle":"de","parse-names":false,"suffix":""},{"dropping-particle":"El","family":"Garch","given":"Farid","non-dropping-particle":"","parse-names":false,"suffix":""},{"dropping-particle":"","family":"Simjee","given":"Shabbir","non-dropping-particle":"","parse-names":false,"suffix":""},{"dropping-particle":"","family":"Moyaert","given":"Hilde","non-dropping-particle":"","parse-names":false,"suffix":""},{"dropping-particle":"","family":"Rose","given":"Markus","non-dropping-particle":"","parse-names":false,"suffix":""},{"dropping-particle":"","family":"Youala","given":"Myriam","non-dropping-particle":"","parse-names":false,"suffix":""},{"dropping-particle":"","family":"Siegwart","given":"Ed","non-dropping-particle":"","parse-names":false,"suffix":""}],"container-title":"Veterinary microbiology","id":"ITEM-1","issued":{"date-parts":[["2018","1"]]},"language":"eng","page":"73-81","publisher-place":"Netherlands","title":"Monitoring of antimicrobial susceptibility of udder pathogens recovered from cases of clinical mastitis in dairy cows across Europe: VetPath results.","type":"article-journal","volume":"213"},"uris":["http://www.mendeley.com/documents/?uuid=4ee06d45-f6fb-43cd-80fd-fd01be9bbf8c"]}],"mendeley":{"formattedCitation":"(5)","plainTextFormattedCitation":"(5)","previouslyFormattedCitation":"(73)"},"properties":{"noteIndex":0},"schema":"https://github.com/citation-style-language/schema/raw/master/csl-citation.json"}</w:instrText>
            </w:r>
            <w:r w:rsidRPr="0074732C">
              <w:rPr>
                <w:lang w:eastAsia="fr-CH"/>
              </w:rPr>
              <w:fldChar w:fldCharType="separate"/>
            </w:r>
            <w:r w:rsidR="00560D05" w:rsidRPr="00560D05">
              <w:rPr>
                <w:noProof/>
                <w:lang w:eastAsia="fr-CH"/>
              </w:rPr>
              <w:t>(5)</w:t>
            </w:r>
            <w:r w:rsidRPr="0074732C">
              <w:rPr>
                <w:lang w:eastAsia="fr-CH"/>
              </w:rPr>
              <w:fldChar w:fldCharType="end"/>
            </w:r>
          </w:p>
          <w:p w14:paraId="1ABBC718"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pPr>
            <w:r w:rsidRPr="00635B25">
              <w:rPr>
                <w:i/>
                <w:lang w:eastAsia="fr-CH"/>
              </w:rPr>
              <w:t>The study period after NARP may not be long enough to see the changes in antimicrobial resistance.</w:t>
            </w:r>
            <w:r>
              <w:rPr>
                <w:i/>
                <w:lang w:eastAsia="fr-CH"/>
              </w:rPr>
              <w:t>”</w:t>
            </w:r>
            <w:r>
              <w:rPr>
                <w:lang w:eastAsia="fr-CH"/>
              </w:rPr>
              <w:t xml:space="preserve"> </w:t>
            </w:r>
            <w:r w:rsidRPr="0074732C">
              <w:rPr>
                <w:lang w:eastAsia="fr-CH"/>
              </w:rPr>
              <w:fldChar w:fldCharType="begin" w:fldLock="1"/>
            </w:r>
            <w:r w:rsidR="00560D05">
              <w:rPr>
                <w:lang w:eastAsia="fr-CH"/>
              </w:rPr>
              <w:instrText>ADDIN CSL_CITATION {"citationItems":[{"id":"ITEM-1","itemData":{"DOI":"10.7150/ijms.8.339","ISSN":"14491907","PMID":"21647326","abstract":"Purpose: Antimicrobial resistance among microorganisms is a global concern. In 2003, a nationwide antibiotic restriction program (NARP) was released in Turkey. In this study we evaluated the effect of NARP on antibiotic consumption, antimicrobial resistance, and cost. Materials and Methods: The data obtained from all of the four university hospitals, and one referral tertiary-care educational state hospital in Ankara. Antimicrobial resistance profiles of 14,233 selected microorganisms all grown in blood cultures and antibiotic consumption from 2001 to 2005 were analyzed retrospectively. Results: A negative correlation was observed between the ceftriaxone consumption and the prevalence of ceftriaxone resistant E.coli and Klebsiella spp. (rho:-0.395, p:0.332 and rho:-0.627, p:0.037, respectively). The decreased usage of carbapenems was correlated with decreased carbapenems-resistant Pseudomonas spp. and Acinetobacter spp (rho:0.155, p:0.712 and rho:0.180, p:0.668, respectively for imipenem). Methicillin resistance rates of S.aureus were decreased from 44% to 41%. After two years of NARP 5,389,155.82 USD saving occurred. Conclusion: NARP is effective in lowering the costs and antibiotic resistance. © Ivyspring International Publisher.","author":[{"dropping-particle":"","family":"Altunsoy","given":"Adalet","non-dropping-particle":"","parse-names":false,"suffix":""},{"dropping-particle":"","family":"Aypak","given":"Cenk","non-dropping-particle":"","parse-names":false,"suffix":""},{"dropping-particle":"","family":"Azap","given":"Alpay","non-dropping-particle":"","parse-names":false,"suffix":""},{"dropping-particle":"","family":"Ergönül","given":"Önder","non-dropping-particle":"","parse-names":false,"suffix":""},{"dropping-particle":"","family":"Balik","given":"Ismail","non-dropping-particle":"","parse-names":false,"suffix":""}],"container-title":"International Journal of Medical Sciences","id":"ITEM-1","issue":"4","issued":{"date-parts":[["2011"]]},"page":"339-344","title":"The impact of a nationwide antibiotic restriction program on antibiotic usage and resistance against nosocomial pathogens in Turkey","type":"article-journal","volume":"8"},"uris":["http://www.mendeley.com/documents/?uuid=5f96aac0-ee44-4b60-9d2c-c68dd5e34f5e"]}],"mendeley":{"formattedCitation":"(6)","plainTextFormattedCitation":"(6)","previouslyFormattedCitation":"(58)"},"properties":{"noteIndex":0},"schema":"https://github.com/citation-style-language/schema/raw/master/csl-citation.json"}</w:instrText>
            </w:r>
            <w:r w:rsidRPr="0074732C">
              <w:rPr>
                <w:lang w:eastAsia="fr-CH"/>
              </w:rPr>
              <w:fldChar w:fldCharType="separate"/>
            </w:r>
            <w:r w:rsidR="00560D05" w:rsidRPr="00560D05">
              <w:rPr>
                <w:noProof/>
                <w:lang w:eastAsia="fr-CH"/>
              </w:rPr>
              <w:t>(6)</w:t>
            </w:r>
            <w:r w:rsidRPr="0074732C">
              <w:rPr>
                <w:lang w:eastAsia="fr-CH"/>
              </w:rPr>
              <w:fldChar w:fldCharType="end"/>
            </w:r>
          </w:p>
        </w:tc>
      </w:tr>
      <w:tr w:rsidR="00770055" w14:paraId="6028FACE"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782B7696" w14:textId="77777777" w:rsidR="00770055" w:rsidRDefault="00770055" w:rsidP="003F0E80"/>
        </w:tc>
        <w:tc>
          <w:tcPr>
            <w:tcW w:w="1843" w:type="dxa"/>
          </w:tcPr>
          <w:p w14:paraId="367148F6"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pPr>
          </w:p>
        </w:tc>
        <w:tc>
          <w:tcPr>
            <w:tcW w:w="5245" w:type="dxa"/>
          </w:tcPr>
          <w:p w14:paraId="3308D192"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sidRPr="00D92B66">
              <w:rPr>
                <w:bdr w:val="none" w:sz="0" w:space="0" w:color="auto" w:frame="1"/>
                <w:lang w:eastAsia="fr-CH"/>
              </w:rPr>
              <w:t>The lack of adequate literature and knowledge</w:t>
            </w:r>
            <w:r>
              <w:rPr>
                <w:bdr w:val="none" w:sz="0" w:space="0" w:color="auto" w:frame="1"/>
                <w:lang w:eastAsia="fr-CH"/>
              </w:rPr>
              <w:t xml:space="preserve"> (failure factor)</w:t>
            </w:r>
          </w:p>
          <w:p w14:paraId="745C9D76" w14:textId="77777777" w:rsidR="00770055" w:rsidRPr="006E77C4" w:rsidRDefault="00770055" w:rsidP="003F0E80">
            <w:pPr>
              <w:cnfStyle w:val="000000100000" w:firstRow="0" w:lastRow="0" w:firstColumn="0" w:lastColumn="0" w:oddVBand="0" w:evenVBand="0" w:oddHBand="1" w:evenHBand="0" w:firstRowFirstColumn="0" w:firstRowLastColumn="0" w:lastRowFirstColumn="0" w:lastRowLastColumn="0"/>
              <w:rPr>
                <w:i/>
                <w:bdr w:val="none" w:sz="0" w:space="0" w:color="auto" w:frame="1"/>
                <w:lang w:eastAsia="fr-CH"/>
              </w:rPr>
            </w:pPr>
            <w:r w:rsidRPr="006E77C4">
              <w:rPr>
                <w:i/>
                <w:color w:val="808080" w:themeColor="background1" w:themeShade="80"/>
              </w:rPr>
              <w:t>Some authors also mentioned the lack of adequate literature and knowledge to help them conducting their research.</w:t>
            </w:r>
          </w:p>
        </w:tc>
        <w:tc>
          <w:tcPr>
            <w:tcW w:w="5635" w:type="dxa"/>
          </w:tcPr>
          <w:p w14:paraId="2011A664"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pPr>
            <w:r>
              <w:rPr>
                <w:i/>
                <w:lang w:eastAsia="fr-CH"/>
              </w:rPr>
              <w:t>“</w:t>
            </w:r>
            <w:r w:rsidRPr="00635B25">
              <w:rPr>
                <w:i/>
                <w:lang w:eastAsia="fr-CH"/>
              </w:rPr>
              <w:t>At present, there has not been adequate literature to summarize the CASRA, especially using hospital-wide population level data.</w:t>
            </w:r>
            <w:r>
              <w:rPr>
                <w:i/>
                <w:lang w:eastAsia="fr-CH"/>
              </w:rPr>
              <w:t>”</w:t>
            </w:r>
            <w:r w:rsidRPr="00635B25">
              <w:rPr>
                <w:i/>
                <w:lang w:eastAsia="fr-CH"/>
              </w:rPr>
              <w:t xml:space="preserve"> </w:t>
            </w:r>
            <w:r w:rsidRPr="0074732C">
              <w:rPr>
                <w:lang w:eastAsia="fr-CH"/>
              </w:rPr>
              <w:fldChar w:fldCharType="begin" w:fldLock="1"/>
            </w:r>
            <w:r w:rsidR="00560D05">
              <w:rPr>
                <w:lang w:eastAsia="fr-CH"/>
              </w:rPr>
              <w:instrText>ADDIN CSL_CITATION {"citationItems":[{"id":"ITEM-1","itemData":{"ISSN":"0934-9723","author":[{"dropping-particle":"","family":"Zou","given":"Y M","non-dropping-particle":"","parse-names":false,"suffix":""},{"dropping-particle":"","family":"Ma","given":"Y","non-dropping-particle":"","parse-names":false,"suffix":""},{"dropping-particle":"","family":"Liu","given":"J H","non-dropping-particle":"","parse-names":false,"suffix":""},{"dropping-particle":"","family":"Shi","given":"J","non-dropping-particle":"","parse-names":false,"suffix":""},{"dropping-particle":"","family":"Fan","given":"T","non-dropping-particle":"","parse-names":false,"suffix":""},{"dropping-particle":"","family":"Shan","given":"Y Y","non-dropping-particle":"","parse-names":false,"suffix":""},{"dropping-particle":"","family":"Yao","given":"H P","non-dropping-particle":"","parse-names":false,"suffix":""},{"dropping-particle":"","family":"Dong","given":"Y L","non-dropping-particle":"","parse-names":false,"suffix":""}],"container-title":"European Journal of Clinical Microbiology &amp; Infectious Diseases","id":"ITEM-1","issue":"4","issued":{"date-parts":[["2015"]]},"page":"795-803","publisher":"Springer","title":"Trends and correlation of antibacterial usage and bacterial resistance: time series analysis for antibacterial stewardship in a Chinese teaching hospital (2009–2013)","type":"article-journal","volume":"34"},"uris":["http://www.mendeley.com/documents/?uuid=5b3a17ce-8d80-4750-9fed-a6f6ca63b93e"]}],"mendeley":{"formattedCitation":"(7)","plainTextFormattedCitation":"(7)","previouslyFormattedCitation":"(56)"},"properties":{"noteIndex":0},"schema":"https://github.com/citation-style-language/schema/raw/master/csl-citation.json"}</w:instrText>
            </w:r>
            <w:r w:rsidRPr="0074732C">
              <w:rPr>
                <w:lang w:eastAsia="fr-CH"/>
              </w:rPr>
              <w:fldChar w:fldCharType="separate"/>
            </w:r>
            <w:r w:rsidR="00560D05" w:rsidRPr="00560D05">
              <w:rPr>
                <w:noProof/>
                <w:lang w:eastAsia="fr-CH"/>
              </w:rPr>
              <w:t>(7)</w:t>
            </w:r>
            <w:r w:rsidRPr="0074732C">
              <w:rPr>
                <w:lang w:eastAsia="fr-CH"/>
              </w:rPr>
              <w:fldChar w:fldCharType="end"/>
            </w:r>
          </w:p>
        </w:tc>
      </w:tr>
      <w:tr w:rsidR="00770055" w14:paraId="26D32B30"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1F2A9EAF" w14:textId="77777777" w:rsidR="00770055" w:rsidRDefault="00770055" w:rsidP="003F0E80"/>
        </w:tc>
        <w:tc>
          <w:tcPr>
            <w:tcW w:w="1843" w:type="dxa"/>
          </w:tcPr>
          <w:p w14:paraId="41165DFD"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pPr>
            <w:r w:rsidRPr="00F3135D">
              <w:rPr>
                <w:bdr w:val="none" w:sz="0" w:space="0" w:color="auto" w:frame="1"/>
                <w:lang w:eastAsia="fr-CH"/>
              </w:rPr>
              <w:t>Adaptability.</w:t>
            </w:r>
          </w:p>
        </w:tc>
        <w:tc>
          <w:tcPr>
            <w:tcW w:w="5245" w:type="dxa"/>
          </w:tcPr>
          <w:p w14:paraId="12209884"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6B4BBD">
              <w:rPr>
                <w:bdr w:val="none" w:sz="0" w:space="0" w:color="auto" w:frame="1"/>
                <w:lang w:eastAsia="fr-CH"/>
              </w:rPr>
              <w:t>Individually tailored regarding their features and methods. Interventions should also stay flexible and adapt along the intervention.</w:t>
            </w:r>
            <w:r>
              <w:rPr>
                <w:bdr w:val="none" w:sz="0" w:space="0" w:color="auto" w:frame="1"/>
                <w:lang w:eastAsia="fr-CH"/>
              </w:rPr>
              <w:t xml:space="preserve"> (success factor)</w:t>
            </w:r>
          </w:p>
          <w:p w14:paraId="0787BF1F" w14:textId="77777777" w:rsidR="00770055" w:rsidRPr="00B803EE" w:rsidRDefault="00770055" w:rsidP="003F0E80">
            <w:pPr>
              <w:cnfStyle w:val="000000000000" w:firstRow="0" w:lastRow="0" w:firstColumn="0" w:lastColumn="0" w:oddVBand="0" w:evenVBand="0" w:oddHBand="0" w:evenHBand="0" w:firstRowFirstColumn="0" w:firstRowLastColumn="0" w:lastRowFirstColumn="0" w:lastRowLastColumn="0"/>
              <w:rPr>
                <w:i/>
                <w:bdr w:val="none" w:sz="0" w:space="0" w:color="auto" w:frame="1"/>
                <w:lang w:eastAsia="fr-CH"/>
              </w:rPr>
            </w:pPr>
            <w:r w:rsidRPr="00B803EE">
              <w:rPr>
                <w:i/>
                <w:color w:val="808080" w:themeColor="background1" w:themeShade="80"/>
                <w:bdr w:val="none" w:sz="0" w:space="0" w:color="auto" w:frame="1"/>
                <w:lang w:eastAsia="fr-CH"/>
              </w:rPr>
              <w:t>Interventions were reported more successful if individually tailored regarding their features and methods while remaining flexible to adapt along with the intervention lifecycle. Interventions tailored to their target group (e.g., contact preferences, efficient communication channels) have more chance to be successful. Activities that were adapted or changed as needed during its lifecycle were more likely to be accepted, useful, and successfully achieve intended outcomes. For instance, some interventions changed AMU guidelines, expanded the scope of a surveillance system, and conducted or recommended that interventions be evaluated throughout their lifecycle.</w:t>
            </w:r>
          </w:p>
        </w:tc>
        <w:tc>
          <w:tcPr>
            <w:tcW w:w="5635" w:type="dxa"/>
          </w:tcPr>
          <w:p w14:paraId="7DBBC074" w14:textId="77777777" w:rsidR="00770055" w:rsidRPr="001D1A94"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Pr>
                <w:i/>
                <w:lang w:eastAsia="fr-CH"/>
              </w:rPr>
              <w:t>“</w:t>
            </w:r>
            <w:r w:rsidRPr="00A55ACA">
              <w:rPr>
                <w:i/>
                <w:lang w:eastAsia="fr-CH"/>
              </w:rPr>
              <w:t>NARMS has adapted to changing needs and threats by expanding the catchment areas for surveillance, examining new isolate sources, adding bacteria under surveillance, adjusting sampling schemes, and modifying antimicrobial agents tested over the years.</w:t>
            </w:r>
            <w:r>
              <w:rPr>
                <w:i/>
                <w:lang w:eastAsia="fr-CH"/>
              </w:rPr>
              <w:t>”</w:t>
            </w:r>
            <w:r>
              <w:rPr>
                <w:lang w:eastAsia="fr-CH"/>
              </w:rPr>
              <w:t xml:space="preserve"> </w:t>
            </w:r>
            <w:r w:rsidRPr="0074732C">
              <w:rPr>
                <w:lang w:val="fr-CH" w:eastAsia="fr-CH"/>
              </w:rPr>
              <w:fldChar w:fldCharType="begin" w:fldLock="1"/>
            </w:r>
            <w:r w:rsidR="00560D05">
              <w:rPr>
                <w:lang w:eastAsia="fr-CH"/>
              </w:rPr>
              <w:instrText>ADDIN CSL_CITATION {"citationItems":[{"id":"ITEM-1","itemData":{"DOI":"10.1089/fpd.2017.2283","ISSN":"1556-7125 (Electronic)","PMID":"28792800","abstract":"Drug-resistant bacterial infections pose a serious and growing public health threat globally. In this review, we describe the role of the National Antimicrobial Resistance Monitoring System (NARMS) in providing data that help address the resistance problem and show how such a program can have broad positive impacts on public health. NARMS was formed two decades ago to help assess the consequences to human health arising from the use of antimicrobial drugs in food animal production in the United States. A collaboration among the Centers for Disease Control and Prevention, the U.S. Food and Drug Administration, the United States Department of Agriculture, and state and local health departments, NARMS uses an integrated \"One Health\" approach to monitor antimicrobial resistance in enteric bacteria from humans, retail meat, and food animals. NARMS has adapted to changing needs and threats by expanding surveillance catchment areas, examining new isolate sources, adding bacteria, adjusting sampling schemes, and modifying antimicrobial agents tested. NARMS data are not only essential for ensuring that antimicrobial drugs approved for food animals are used in ways that are safe for human health but they also help address broader food safety priorities. NARMS surveillance, applied research studies, and outbreak isolate testing provide data on the emergence of drug-resistant enteric bacteria; genetic mechanisms underlying resistance; movement of bacterial populations among humans, food, and food animals; and sources and outcomes of resistant and susceptible infections. These data can be used to guide and evaluate the impact of science-based policies, regulatory actions, antimicrobial stewardship initiatives, and other public health efforts aimed at preserving drug effectiveness, improving patient outcomes, and preventing infections. Many improvements have been made to NARMS over time and the program will continue to adapt to address emerging resistance threats, changes in clinical diagnostic practices, and new technologies, such as whole genome sequencing.","author":[{"dropping-particle":"","family":"Karp","given":"Beth E","non-dropping-particle":"","parse-names":false,"suffix":""},{"dropping-particle":"","family":"Tate","given":"Heather","non-dropping-particle":"","parse-names":false,"suffix":""},{"dropping-particle":"","family":"Plumblee","given":"Jodie R","non-dropping-particle":"","parse-names":false,"suffix":""},{"dropping-particle":"","family":"Dessai","given":"Uday","non-dropping-particle":"","parse-names":false,"suffix":""},{"dropping-particle":"","family":"Whichard","given":"Jean M","non-dropping-particle":"","parse-names":false,"suffix":""},{"dropping-particle":"","family":"Thacker","given":"Eileen L","non-dropping-particle":"","parse-names":false,"suffix":""},{"dropping-particle":"","family":"Hale","given":"Kis Robertson","non-dropping-particle":"","parse-names":false,"suffix":""},{"dropping-particle":"","family":"Wilson","given":"Wanda","non-dropping-particle":"","parse-names":false,"suffix":""},{"dropping-particle":"","family":"Friedman","given":"Cindy R","non-dropping-particle":"","parse-names":false,"suffix":""},{"dropping-particle":"","family":"Griffin","given":"Patricia M","non-dropping-particle":"","parse-names":false,"suffix":""},{"dropping-particle":"","family":"McDermott","given":"Patrick F","non-dropping-particle":"","parse-names":false,"suffix":""}],"container-title":"Foodborne pathogens and disease","id":"ITEM-1","issue":"10","issued":{"date-parts":[["2017","10"]]},"language":"eng","page":"545-557","publisher-place":"United States","title":"National Antimicrobial Resistance Monitoring System: Two Decades of Advancing Public Health Through Integrated Surveillance of Antimicrobial Resistance.","type":"article-journal","volume":"14"},"uris":["http://www.mendeley.com/documents/?uuid=22f3511a-5464-406b-a085-4e5cf5b05c81"]}],"mendeley":{"formattedCitation":"(8)","plainTextFormattedCitation":"(8)","previouslyFormattedCitation":"(2)"},"properties":{"noteIndex":0},"schema":"https://github.com/citation-style-language/schema/raw/master/csl-citation.json"}</w:instrText>
            </w:r>
            <w:r w:rsidRPr="0074732C">
              <w:rPr>
                <w:lang w:val="fr-CH" w:eastAsia="fr-CH"/>
              </w:rPr>
              <w:fldChar w:fldCharType="separate"/>
            </w:r>
            <w:r w:rsidR="00560D05" w:rsidRPr="00560D05">
              <w:rPr>
                <w:noProof/>
                <w:lang w:eastAsia="fr-CH"/>
              </w:rPr>
              <w:t>(8)</w:t>
            </w:r>
            <w:r w:rsidRPr="0074732C">
              <w:rPr>
                <w:lang w:val="fr-CH" w:eastAsia="fr-CH"/>
              </w:rPr>
              <w:fldChar w:fldCharType="end"/>
            </w:r>
          </w:p>
        </w:tc>
      </w:tr>
      <w:tr w:rsidR="00770055" w14:paraId="7E0D77B6"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E2C8C75" w14:textId="77777777" w:rsidR="00770055" w:rsidRDefault="00770055" w:rsidP="003F0E80"/>
        </w:tc>
        <w:tc>
          <w:tcPr>
            <w:tcW w:w="1843" w:type="dxa"/>
          </w:tcPr>
          <w:p w14:paraId="5E152AEF"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pPr>
            <w:r w:rsidRPr="00F3135D">
              <w:rPr>
                <w:lang w:eastAsia="fr-CH"/>
              </w:rPr>
              <w:t>Decentralisation of actions and the participation of different actors.</w:t>
            </w:r>
          </w:p>
        </w:tc>
        <w:tc>
          <w:tcPr>
            <w:tcW w:w="5245" w:type="dxa"/>
          </w:tcPr>
          <w:p w14:paraId="6D1D0922"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lang w:eastAsia="fr-CH"/>
              </w:rPr>
            </w:pPr>
            <w:r w:rsidRPr="006B4BBD">
              <w:rPr>
                <w:lang w:eastAsia="fr-CH"/>
              </w:rPr>
              <w:t>Decentralisation of actions and the participation of different actors.</w:t>
            </w:r>
            <w:r>
              <w:rPr>
                <w:lang w:eastAsia="fr-CH"/>
              </w:rPr>
              <w:t xml:space="preserve"> (success factor)</w:t>
            </w:r>
          </w:p>
          <w:p w14:paraId="0DF4564A"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rPr>
                <w:i/>
                <w:lang w:eastAsia="fr-CH"/>
              </w:rPr>
            </w:pPr>
            <w:r w:rsidRPr="00F3135D">
              <w:rPr>
                <w:i/>
                <w:color w:val="808080" w:themeColor="background1" w:themeShade="80"/>
                <w:lang w:eastAsia="fr-CH"/>
              </w:rPr>
              <w:t xml:space="preserve">Decentralising actions to regional and local groups with a diversity and multiplicity of actors was considered to increase the success of the interventions. </w:t>
            </w:r>
          </w:p>
        </w:tc>
        <w:tc>
          <w:tcPr>
            <w:tcW w:w="5635" w:type="dxa"/>
          </w:tcPr>
          <w:p w14:paraId="719F0EF3"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lang w:eastAsia="fr-CH"/>
              </w:rPr>
            </w:pPr>
            <w:r>
              <w:rPr>
                <w:i/>
                <w:lang w:eastAsia="fr-CH"/>
              </w:rPr>
              <w:t>“</w:t>
            </w:r>
            <w:r w:rsidRPr="00635B25">
              <w:rPr>
                <w:i/>
                <w:lang w:eastAsia="fr-CH"/>
              </w:rPr>
              <w:t>More active local interventions appear warranted to facilitate control of this dangerous resistance mechanism.</w:t>
            </w:r>
            <w:r>
              <w:rPr>
                <w:i/>
                <w:lang w:eastAsia="fr-CH"/>
              </w:rPr>
              <w:t>”</w:t>
            </w:r>
            <w:r>
              <w:rPr>
                <w:lang w:eastAsia="fr-CH"/>
              </w:rPr>
              <w:t xml:space="preserve"> </w:t>
            </w:r>
            <w:r w:rsidRPr="0074732C">
              <w:rPr>
                <w:lang w:val="fr-CH" w:eastAsia="fr-CH"/>
              </w:rPr>
              <w:fldChar w:fldCharType="begin" w:fldLock="1"/>
            </w:r>
            <w:r w:rsidR="00560D05">
              <w:rPr>
                <w:lang w:eastAsia="fr-CH"/>
              </w:rPr>
              <w:instrText>ADDIN CSL_CITATION {"citationItems":[{"id":"ITEM-1","itemData":{"DOI":"10.1016/j.diagmicrobio.2007.05.009","ISSN":"07328893","abstract":"The Meropenem Yearly Susceptibility Test Information Collection (MYSTIC) Surveillance Program was designed to monitor the antimicrobial potency and spectrum of meropenem, and selected broad-spectrum comparison agents against pathogens from hospitalized patients. In the 2006 (year 8 of the study) United States sample, a total of 2841 isolates (94.7% compliance) including 641 Escherichia coli, 619 Klebsiella spp., 606 Pseudomonas aeruginosa, 456 oxacillin-susceptible Staphylococcus aureus, 300 streptococci, 149 Enterococcus faecalis, and 70 Gram-positive anaerobic organisms were tested by reference broth microdilution or agar dilution susceptibility methods. The carbapenems, especially meropenem, consistently demonstrated the lowest resistance rates against Enterobacteriaceae strains, and the fluoroquinolones had the highest and increasing resistance rates. The presence of qnr-mediated fluoroquinolone resistance was investigated using polymerase chain reaction methods but was only observed at very low levels (2.1%) and was not clonally associated. Confirmed extended-spectrum β-lactamase rates for E. coli and Klebsiella spp. were only 4.8% and 5.0%, respectively, with mobile AmpC (CMY-2 and FOX-5) enzymes shown in 13 additional Enterobacteriaceae isolates. Clonally related KPC-type serine carbapenemase production (57 strains, 9.5%) was observed at a rate 2-fold greater than the prior year among Klebsiella spp. isolates, primarily from 1 geographic region (Middle Atlantic States). These MYSTIC Program (2006) results demonstrate the continued need to monitor the carbapenem class potency and spectrum of activity against Enterobacteriaceae as well as P. aeruginosa because of the documented presence of serine carbapenemases and rare incidence of metallo-β-lactamases that may further compromise their activity and that of other β-lactam agents. © 2007 Elsevier Inc. All rights reserved.","author":[{"dropping-particle":"","family":"Rhomberg","given":"Paul R.","non-dropping-particle":"","parse-names":false,"suffix":""},{"dropping-particle":"","family":"Deshpande","given":"Lalitagauri M.","non-dropping-particle":"","parse-names":false,"suffix":""},{"dropping-particle":"","family":"Kirby","given":"Jeffrey T.","non-dropping-particle":"","parse-names":false,"suffix":""},{"dropping-particle":"","family":"Jones","given":"Ronald N.","non-dropping-particle":"","parse-names":false,"suffix":""}],"container-title":"Diagnostic Microbiology and Infectious Disease","id":"ITEM-1","issue":"4","issued":{"date-parts":[["2007"]]},"page":"425-432","title":"Activity of meropenem as serine carbapenemases evolve in US Medical Centers: monitoring report from the MYSTIC Program (2006)","type":"article-journal","volume":"59"},"uris":["http://www.mendeley.com/documents/?uuid=a1737185-e3b5-4ceb-93dc-e86be9c4a393"]}],"mendeley":{"formattedCitation":"(9)","plainTextFormattedCitation":"(9)","previouslyFormattedCitation":"(66)"},"properties":{"noteIndex":0},"schema":"https://github.com/citation-style-language/schema/raw/master/csl-citation.json"}</w:instrText>
            </w:r>
            <w:r w:rsidRPr="0074732C">
              <w:rPr>
                <w:lang w:val="fr-CH" w:eastAsia="fr-CH"/>
              </w:rPr>
              <w:fldChar w:fldCharType="separate"/>
            </w:r>
            <w:r w:rsidR="00560D05" w:rsidRPr="00560D05">
              <w:rPr>
                <w:noProof/>
                <w:lang w:eastAsia="fr-CH"/>
              </w:rPr>
              <w:t>(9)</w:t>
            </w:r>
            <w:r w:rsidRPr="0074732C">
              <w:rPr>
                <w:lang w:val="fr-CH" w:eastAsia="fr-CH"/>
              </w:rPr>
              <w:fldChar w:fldCharType="end"/>
            </w:r>
          </w:p>
        </w:tc>
      </w:tr>
      <w:tr w:rsidR="00770055" w14:paraId="02A1A5C4"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65B66FA2" w14:textId="77777777" w:rsidR="00770055" w:rsidRDefault="00770055" w:rsidP="003F0E80"/>
        </w:tc>
        <w:tc>
          <w:tcPr>
            <w:tcW w:w="1843" w:type="dxa"/>
          </w:tcPr>
          <w:p w14:paraId="22E5970F"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rPr>
                <w:lang w:eastAsia="fr-CH"/>
              </w:rPr>
            </w:pPr>
          </w:p>
        </w:tc>
        <w:tc>
          <w:tcPr>
            <w:tcW w:w="5245" w:type="dxa"/>
          </w:tcPr>
          <w:p w14:paraId="5CE0E1EE"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lang w:eastAsia="fr-CH"/>
              </w:rPr>
            </w:pPr>
            <w:r>
              <w:rPr>
                <w:lang w:eastAsia="fr-CH"/>
              </w:rPr>
              <w:t>Also, embedding the intervention in pre-existing structures and using existing resources (e.g., sampling strategy already in place) and collaboration with local scientific and political partners may increase the success of the intervention.</w:t>
            </w:r>
          </w:p>
        </w:tc>
        <w:tc>
          <w:tcPr>
            <w:tcW w:w="5635" w:type="dxa"/>
          </w:tcPr>
          <w:p w14:paraId="3A484C3D"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lang w:eastAsia="fr-CH"/>
              </w:rPr>
            </w:pPr>
          </w:p>
        </w:tc>
      </w:tr>
      <w:tr w:rsidR="00770055" w14:paraId="2CF918BF"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E610F5F" w14:textId="77777777" w:rsidR="00770055" w:rsidRDefault="00770055" w:rsidP="003F0E80"/>
        </w:tc>
        <w:tc>
          <w:tcPr>
            <w:tcW w:w="1843" w:type="dxa"/>
          </w:tcPr>
          <w:p w14:paraId="3C9767B6"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pPr>
            <w:r w:rsidRPr="00F3135D">
              <w:rPr>
                <w:bdr w:val="none" w:sz="0" w:space="0" w:color="auto" w:frame="1"/>
                <w:lang w:eastAsia="fr-CH"/>
              </w:rPr>
              <w:t>Complexity of intervention.</w:t>
            </w:r>
          </w:p>
        </w:tc>
        <w:tc>
          <w:tcPr>
            <w:tcW w:w="5245" w:type="dxa"/>
          </w:tcPr>
          <w:p w14:paraId="17728471"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sidRPr="009854E4">
              <w:rPr>
                <w:bdr w:val="none" w:sz="0" w:space="0" w:color="auto" w:frame="1"/>
                <w:lang w:eastAsia="fr-CH"/>
              </w:rPr>
              <w:t>Multimodal interventions</w:t>
            </w:r>
            <w:r>
              <w:rPr>
                <w:bdr w:val="none" w:sz="0" w:space="0" w:color="auto" w:frame="1"/>
                <w:lang w:eastAsia="fr-CH"/>
              </w:rPr>
              <w:t>. (success factor)</w:t>
            </w:r>
          </w:p>
          <w:p w14:paraId="1F4F95EE" w14:textId="77777777" w:rsidR="00770055" w:rsidRPr="00B803EE" w:rsidRDefault="00770055" w:rsidP="003F0E80">
            <w:pPr>
              <w:cnfStyle w:val="000000100000" w:firstRow="0" w:lastRow="0" w:firstColumn="0" w:lastColumn="0" w:oddVBand="0" w:evenVBand="0" w:oddHBand="1" w:evenHBand="0" w:firstRowFirstColumn="0" w:firstRowLastColumn="0" w:lastRowFirstColumn="0" w:lastRowLastColumn="0"/>
              <w:rPr>
                <w:i/>
                <w:bdr w:val="none" w:sz="0" w:space="0" w:color="auto" w:frame="1"/>
                <w:lang w:eastAsia="fr-CH"/>
              </w:rPr>
            </w:pPr>
            <w:r w:rsidRPr="00B803EE">
              <w:rPr>
                <w:i/>
                <w:color w:val="808080" w:themeColor="background1" w:themeShade="80"/>
                <w:bdr w:val="none" w:sz="0" w:space="0" w:color="auto" w:frame="1"/>
                <w:lang w:eastAsia="fr-CH"/>
              </w:rPr>
              <w:t>Multimodal interventions were also reported to increase the success of interventions. For example, one activity such as surveillance of AMU in animal health can be supported by several others like guideline implementation, awareness campaigns, group discussions, media dissemination.</w:t>
            </w:r>
          </w:p>
        </w:tc>
        <w:tc>
          <w:tcPr>
            <w:tcW w:w="5635" w:type="dxa"/>
          </w:tcPr>
          <w:p w14:paraId="4B378BC0"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pPr>
            <w:r>
              <w:rPr>
                <w:i/>
                <w:lang w:eastAsia="fr-CH"/>
              </w:rPr>
              <w:t>“</w:t>
            </w:r>
            <w:r w:rsidRPr="009854E4">
              <w:rPr>
                <w:i/>
                <w:lang w:eastAsia="fr-CH"/>
              </w:rPr>
              <w:t>We believe that this new multifaceted approach, which involves local pharmacotherapeutic groups and emphasis on the quality of care, will be effective and will further enhance the quality of care.</w:t>
            </w:r>
            <w:r>
              <w:rPr>
                <w:i/>
                <w:lang w:eastAsia="fr-CH"/>
              </w:rPr>
              <w:t>”</w:t>
            </w:r>
            <w:r w:rsidRPr="009854E4">
              <w:rPr>
                <w:lang w:eastAsia="fr-CH"/>
              </w:rPr>
              <w:t xml:space="preserve"> </w:t>
            </w:r>
            <w:r w:rsidRPr="0074732C">
              <w:rPr>
                <w:lang w:eastAsia="fr-CH"/>
              </w:rPr>
              <w:fldChar w:fldCharType="begin" w:fldLock="1"/>
            </w:r>
            <w:r w:rsidR="00560D05">
              <w:rPr>
                <w:lang w:eastAsia="fr-CH"/>
              </w:rPr>
              <w:instrText>ADDIN CSL_CITATION {"citationItems":[{"id":"ITEM-1","itemData":{"DOI":"10.1586/14787210.2015.990381","ISSN":"17448336","abstract":"Introduction: Rising antibiotic resistance has become an increasing public health problem. There is a well-established correlation between antibiotic consumption and antimicrobial resistance. Consequently, measures to rationalize the prescribing of antibiotics should reduce the resistant strains. Following a 24% increase in antibiotic consumption at the end of the 1990s, multiple activities were designed and introduced by the Health Insurance Institute of Slovenia (ZZZS) and other organizations in Slovenia at the end of 1999. These activities reduced the antibiotic consumption by 18.7% by 2002. These measures have continued. Objective: To study changes in antibiotic utilization from 1995 to 2012 alongside the multiple interventions and their consequences, including changes in resistance patterns. Methods: This was a retrospective observational study involving all patients dispensed at least one ZZZS prescription for an antibiotic in Slovenia. Utilization was expressed in defined daily doses per thousand inhabitants per day. Multifaceted interventions were conducted over time involving all key stakeholder groups, that is, the Ministry of Health, ZZZS, physician groups and patients. These included comprehensive communication programs as well as prescribing restrictions for a number of antibiotics and classes. Results: From 1999 to 2012, antibiotic consumption decreased by 2-9% per year, with an overall decrease of 31%. There were also appreciable structural changes. Overall antibiotic utilization and the utilization of 7 out of 10 antibiotics significantly decreased after multiple interventions. The resistance of Streptococcus pneumoniae to penicillin decreased in line with decreased utilization. However, its resistance to macrolides increased from 5.4 to 21% despite halving of its utilization. The resistance of Escherichia coli to fluoroquinolones doubled from 10 to 21% despite utilization decreasing by a third. Expenditures on antibiotics decreased by 53%. Conclusion: Multiple demand-side measures introduced following increased utilization significantly decreased subsequent antibiotic utilization and associated costs. However, there was variable impact on antibiotic resistance. Additional targeted activities are planned to further reduce antibiotic prescribing and resistance.","author":[{"dropping-particle":"","family":"Fürst","given":"Jurij","non-dropping-particle":"","parse-names":false,"suffix":""},{"dropping-particle":"","family":"Čižman","given":"Milan","non-dropping-particle":"","parse-names":false,"suffix":""},{"dropping-particle":"","family":"Mrak","given":"Jana","non-dropping-particle":"","parse-names":false,"suffix":""},{"dropping-particle":"","family":"Kos","given":"Damjan","non-dropping-particle":"","parse-names":false,"suffix":""},{"dropping-particle":"","family":"Campbell","given":"Stephen","non-dropping-particle":"","parse-names":false,"suffix":""},{"dropping-particle":"","family":"Coenen","given":"Samuel","non-dropping-particle":"","parse-names":false,"suffix":""},{"dropping-particle":"","family":"Gustafsson","given":"Lars L.","non-dropping-particle":"","parse-names":false,"suffix":""},{"dropping-particle":"","family":"Fürst","given":"Luka","non-dropping-particle":"","parse-names":false,"suffix":""},{"dropping-particle":"","family":"Godman","given":"Brian","non-dropping-particle":"","parse-names":false,"suffix":""}],"container-title":"Expert Review of Anti-Infective Therapy","id":"ITEM-1","issue":"2","issued":{"date-parts":[["2015"]]},"page":"279-289","title":"The influence of a sustained multifaceted approach to improve antibiotic prescribing in Slovenia during the past decade: Findings and implications","type":"article-journal","volume":"13"},"uris":["http://www.mendeley.com/documents/?uuid=77d25099-c863-49e2-8f95-214a94f1be53"]}],"mendeley":{"formattedCitation":"(10)","plainTextFormattedCitation":"(10)","previouslyFormattedCitation":"(9)"},"properties":{"noteIndex":0},"schema":"https://github.com/citation-style-language/schema/raw/master/csl-citation.json"}</w:instrText>
            </w:r>
            <w:r w:rsidRPr="0074732C">
              <w:rPr>
                <w:lang w:eastAsia="fr-CH"/>
              </w:rPr>
              <w:fldChar w:fldCharType="separate"/>
            </w:r>
            <w:r w:rsidR="00560D05" w:rsidRPr="00560D05">
              <w:rPr>
                <w:noProof/>
                <w:lang w:eastAsia="fr-CH"/>
              </w:rPr>
              <w:t>(10)</w:t>
            </w:r>
            <w:r w:rsidRPr="0074732C">
              <w:rPr>
                <w:lang w:eastAsia="fr-CH"/>
              </w:rPr>
              <w:fldChar w:fldCharType="end"/>
            </w:r>
          </w:p>
        </w:tc>
      </w:tr>
      <w:tr w:rsidR="00770055" w14:paraId="346E7926"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6B37229D" w14:textId="77777777" w:rsidR="00770055" w:rsidRDefault="00770055" w:rsidP="003F0E80"/>
        </w:tc>
        <w:tc>
          <w:tcPr>
            <w:tcW w:w="1843" w:type="dxa"/>
          </w:tcPr>
          <w:p w14:paraId="3D37C8F6"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p>
        </w:tc>
        <w:tc>
          <w:tcPr>
            <w:tcW w:w="5245" w:type="dxa"/>
          </w:tcPr>
          <w:p w14:paraId="20255CD0"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6B4BBD">
              <w:t>Benefit of interdisciplinary teams and collaboration between disciplines</w:t>
            </w:r>
            <w:r>
              <w:t xml:space="preserve"> (success factor)</w:t>
            </w:r>
            <w:r>
              <w:rPr>
                <w:bdr w:val="none" w:sz="0" w:space="0" w:color="auto" w:frame="1"/>
                <w:lang w:eastAsia="fr-CH"/>
              </w:rPr>
              <w:t xml:space="preserve"> </w:t>
            </w:r>
          </w:p>
          <w:p w14:paraId="54664A10"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rPr>
                <w:i/>
                <w:bdr w:val="none" w:sz="0" w:space="0" w:color="auto" w:frame="1"/>
                <w:lang w:eastAsia="fr-CH"/>
              </w:rPr>
            </w:pPr>
            <w:r w:rsidRPr="00F3135D">
              <w:rPr>
                <w:i/>
                <w:color w:val="808080" w:themeColor="background1" w:themeShade="80"/>
                <w:bdr w:val="none" w:sz="0" w:space="0" w:color="auto" w:frame="1"/>
                <w:lang w:eastAsia="fr-CH"/>
              </w:rPr>
              <w:t>I</w:t>
            </w:r>
            <w:r w:rsidRPr="00F3135D">
              <w:rPr>
                <w:i/>
                <w:color w:val="808080" w:themeColor="background1" w:themeShade="80"/>
              </w:rPr>
              <w:t>nterdisciplinary teams and collaboration between disciplines was identified several times as a catalyst for success. It has been suggested as a factor of success but also an empowering factor for achieving goals. Early involvement of all actors (e.g., stakeholders, multidisciplinary actors) was another supportive action for the intervention.</w:t>
            </w:r>
          </w:p>
        </w:tc>
        <w:tc>
          <w:tcPr>
            <w:tcW w:w="5635" w:type="dxa"/>
          </w:tcPr>
          <w:p w14:paraId="733431FC"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pPr>
            <w:r>
              <w:rPr>
                <w:i/>
                <w:lang w:eastAsia="fr-CH"/>
              </w:rPr>
              <w:t>“</w:t>
            </w:r>
            <w:r w:rsidRPr="00A55ACA">
              <w:rPr>
                <w:i/>
                <w:lang w:eastAsia="fr-CH"/>
              </w:rPr>
              <w:t>It was crucial to include a geriatrician in the team. Included expects in infectious diseases and intensive care was really useful, so a wide range of IC issues could be discussed.</w:t>
            </w:r>
            <w:r>
              <w:rPr>
                <w:i/>
                <w:lang w:eastAsia="fr-CH"/>
              </w:rPr>
              <w:t>”</w:t>
            </w:r>
            <w:r>
              <w:rPr>
                <w:lang w:eastAsia="fr-CH"/>
              </w:rPr>
              <w:t xml:space="preserve"> </w:t>
            </w:r>
            <w:r w:rsidRPr="0074732C">
              <w:rPr>
                <w:lang w:val="fr-CH" w:eastAsia="fr-CH"/>
              </w:rPr>
              <w:fldChar w:fldCharType="begin" w:fldLock="1"/>
            </w:r>
            <w:r w:rsidR="00560D05">
              <w:rPr>
                <w:lang w:eastAsia="fr-CH"/>
              </w:rPr>
              <w:instrText>ADDIN CSL_CITATION {"citationItems":[{"id":"ITEM-1","itemData":{"DOI":"10.1016/j.ajic.2011.09.013","ISSN":"01966553","abstract":"Background: Urinary tract infection (UTI) is the most common diagnosis made in prescribing antimicrobials in long-term care facilities (LTCF). The diagnostic criteria for UTI vary among institutions and prescribers. Our aim was to reduce the inappropriate use of antimicrobials in LTCFs. Methods: A team comprising infectious disease consultant, infection control nurse, and geriatrician visited all LTCFs for older persons (2,321 patients in 25 primary care hospitals and 39 nursing homes and dementia units) in the Central Finland Healthcare District (population 267,000) during 2004-2005. The site visits consisted of a structured interview concerning patients, ongoing systematic antimicrobials, and diagnostic practices for UTI. Following the visits, regional guidelines for prudent use of antimicrobials in LTCFs were published, and the use of antimicrobials was followed up by an annual questionnaire. Results: The proportions of patients receiving antimicrobials in 2005, 2006, 2007, and 2008 were 19.9%, 16.9%, 16.2%, and 15.4%, respectively. Most of the antibiotics were used for UTI (range by year, 66.6%-81.1%). From 2005 through 2008, the proportion of patients on antibiotic prophylaxis for UTI decreased from 13% to 6%. The decrease was statistically significant in both types of settings. Conclusion: The visits and guidelines were associated with a reduction in the usage of antimicrobials. To sustain this, UTI surveillance and close collaboration between infection control experts and LTCFs are crucial. © 2012 by the Association for Professionals in Infection Control and Epidemiology, Inc.Published by Elsevier Inc. All rights reserved.","author":[{"dropping-particle":"","family":"Rummukainen","given":"Maija Liisa","non-dropping-particle":"","parse-names":false,"suffix":""},{"dropping-particle":"","family":"Jakobsson","given":"Aino","non-dropping-particle":"","parse-names":false,"suffix":""},{"dropping-particle":"","family":"Matsinen","given":"Maire","non-dropping-particle":"","parse-names":false,"suffix":""},{"dropping-particle":"","family":"Järvenpää","given":"Salme","non-dropping-particle":"","parse-names":false,"suffix":""},{"dropping-particle":"","family":"Nissinen","given":"Antti","non-dropping-particle":"","parse-names":false,"suffix":""},{"dropping-particle":"","family":"Karppi","given":"Pertti","non-dropping-particle":"","parse-names":false,"suffix":""},{"dropping-particle":"","family":"Lyytikäinen","given":"Outi","non-dropping-particle":"","parse-names":false,"suffix":""}],"container-title":"American Journal of Infection Control","id":"ITEM-1","issue":"8","issued":{"date-parts":[["2012"]]},"page":"711-714","publisher":"Elsevier Inc","title":"Reduction in inappropriate prevention of urinary tract infections in long-term care facilities","type":"article-journal","volume":"40"},"uris":["http://www.mendeley.com/documents/?uuid=914105be-e531-4b37-abb1-2619b057866a"]}],"mendeley":{"formattedCitation":"(11)","plainTextFormattedCitation":"(11)","previouslyFormattedCitation":"(88)"},"properties":{"noteIndex":0},"schema":"https://github.com/citation-style-language/schema/raw/master/csl-citation.json"}</w:instrText>
            </w:r>
            <w:r w:rsidRPr="0074732C">
              <w:rPr>
                <w:lang w:val="fr-CH" w:eastAsia="fr-CH"/>
              </w:rPr>
              <w:fldChar w:fldCharType="separate"/>
            </w:r>
            <w:r w:rsidR="00560D05" w:rsidRPr="00560D05">
              <w:rPr>
                <w:noProof/>
                <w:lang w:eastAsia="fr-CH"/>
              </w:rPr>
              <w:t>(11)</w:t>
            </w:r>
            <w:r w:rsidRPr="0074732C">
              <w:rPr>
                <w:lang w:val="fr-CH" w:eastAsia="fr-CH"/>
              </w:rPr>
              <w:fldChar w:fldCharType="end"/>
            </w:r>
          </w:p>
        </w:tc>
      </w:tr>
      <w:tr w:rsidR="00770055" w14:paraId="26B0A33A"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D2A702A" w14:textId="77777777" w:rsidR="00770055" w:rsidRDefault="00770055" w:rsidP="003F0E80"/>
        </w:tc>
        <w:tc>
          <w:tcPr>
            <w:tcW w:w="1843" w:type="dxa"/>
          </w:tcPr>
          <w:p w14:paraId="301DA811"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pPr>
            <w:r w:rsidRPr="00F3135D">
              <w:rPr>
                <w:bdr w:val="none" w:sz="0" w:space="0" w:color="auto" w:frame="1"/>
                <w:lang w:eastAsia="fr-CH"/>
              </w:rPr>
              <w:t>Costs.</w:t>
            </w:r>
          </w:p>
        </w:tc>
        <w:tc>
          <w:tcPr>
            <w:tcW w:w="5245" w:type="dxa"/>
          </w:tcPr>
          <w:p w14:paraId="7CC55F7A"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bdr w:val="none" w:sz="0" w:space="0" w:color="auto" w:frame="1"/>
                <w:lang w:eastAsia="fr-CH"/>
              </w:rPr>
              <w:t>A sustainable funding was mentioned several times as</w:t>
            </w:r>
            <w:r w:rsidRPr="00C51936">
              <w:rPr>
                <w:bdr w:val="none" w:sz="0" w:space="0" w:color="auto" w:frame="1"/>
                <w:lang w:eastAsia="fr-CH"/>
              </w:rPr>
              <w:t xml:space="preserve"> a fundamental point </w:t>
            </w:r>
            <w:r>
              <w:rPr>
                <w:bdr w:val="none" w:sz="0" w:space="0" w:color="auto" w:frame="1"/>
                <w:lang w:eastAsia="fr-CH"/>
              </w:rPr>
              <w:t>for success.</w:t>
            </w:r>
          </w:p>
        </w:tc>
        <w:tc>
          <w:tcPr>
            <w:tcW w:w="5635" w:type="dxa"/>
          </w:tcPr>
          <w:p w14:paraId="3AECBA37"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pPr>
          </w:p>
        </w:tc>
      </w:tr>
      <w:tr w:rsidR="00770055" w14:paraId="48727866"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6172BA57" w14:textId="77777777" w:rsidR="00770055" w:rsidRDefault="00770055" w:rsidP="003F0E80">
            <w:r>
              <w:lastRenderedPageBreak/>
              <w:t>Outer and inner setting</w:t>
            </w:r>
          </w:p>
          <w:p w14:paraId="09638662" w14:textId="77777777" w:rsidR="00770055" w:rsidRDefault="00770055" w:rsidP="003F0E80"/>
        </w:tc>
        <w:tc>
          <w:tcPr>
            <w:tcW w:w="1843" w:type="dxa"/>
          </w:tcPr>
          <w:p w14:paraId="4A270ADC"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pPr>
            <w:r w:rsidRPr="00F3135D">
              <w:t>Networks and communication.</w:t>
            </w:r>
          </w:p>
        </w:tc>
        <w:tc>
          <w:tcPr>
            <w:tcW w:w="5245" w:type="dxa"/>
          </w:tcPr>
          <w:p w14:paraId="56D868AC"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pPr>
            <w:r w:rsidRPr="006B4BBD">
              <w:t>Communication with the general public</w:t>
            </w:r>
            <w:r>
              <w:t xml:space="preserve"> (success factor)</w:t>
            </w:r>
          </w:p>
          <w:p w14:paraId="473464A7"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rPr>
                <w:i/>
              </w:rPr>
            </w:pPr>
            <w:r w:rsidRPr="00F3135D">
              <w:rPr>
                <w:i/>
                <w:color w:val="808080" w:themeColor="background1" w:themeShade="80"/>
              </w:rPr>
              <w:t xml:space="preserve">The communication with the general public, sometimes with the collaboration with media, was a real asset for intervention to increase acceptability but also visibility, transparency, and support. The publications described the use of tools such as a public website, collaboration with national and regional media, available results for specialists and non-specialists, communication of negative effects as well of the intervention. </w:t>
            </w:r>
          </w:p>
        </w:tc>
        <w:tc>
          <w:tcPr>
            <w:tcW w:w="5635" w:type="dxa"/>
          </w:tcPr>
          <w:p w14:paraId="40063029" w14:textId="77777777" w:rsidR="00770055" w:rsidRPr="001D1A94"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Pr>
                <w:i/>
                <w:lang w:eastAsia="fr-CH"/>
              </w:rPr>
              <w:t>“</w:t>
            </w:r>
            <w:r w:rsidRPr="00635B25">
              <w:rPr>
                <w:i/>
                <w:lang w:eastAsia="fr-CH"/>
              </w:rPr>
              <w:t>The MYSTIC Program database, easily accessed via the following website, is regularly updated and available to a wide audience.</w:t>
            </w:r>
            <w:r>
              <w:rPr>
                <w:i/>
                <w:lang w:eastAsia="fr-CH"/>
              </w:rPr>
              <w:t>”</w:t>
            </w:r>
            <w:r>
              <w:rPr>
                <w:lang w:eastAsia="fr-CH"/>
              </w:rPr>
              <w:t xml:space="preserve"> </w:t>
            </w:r>
            <w:r w:rsidRPr="0074732C">
              <w:rPr>
                <w:lang w:eastAsia="fr-CH"/>
              </w:rPr>
              <w:fldChar w:fldCharType="begin" w:fldLock="1"/>
            </w:r>
            <w:r w:rsidR="00560D05">
              <w:rPr>
                <w:lang w:eastAsia="fr-CH"/>
              </w:rPr>
              <w:instrText>ADDIN CSL_CITATION {"citationItems":[{"id":"ITEM-1","itemData":{"DOI":"10.1016/j.diagmicrobio.2005.10.006","ISSN":"07328893","abstract":"This overview provides a summary of the Meropenem Yearly Susceptibility Test Information Collection (MYSTIC) Program over an 8-year period from 1997 to 2004. The evolution of the MYSTIC Program is described, as well as its design compared with other surveillance programs. In addition, the global MYSTIC Program data, published to date, are summarized, and the empiric use of carbapenems, their current indications, and meropenem usage versus resistance was discussed. From 1997 to 2004, 120 medical centers that were actively prescribing meropenem in 32 countries worldwide participated in the program. The MYSTIC Program results demonstrate the sustained potency and continued effectiveness of meropenem globally against clinically relevant Gram-negative and Gram-positive pathogens including extended spectrum β-lactamase- and AmpC β-lactamase-producing organisms, which may also display resistance to the fluoroquinolones and/or aminoglycosides. Furthermore, in centers actively prescribing meropenem, resistance to meropenem is not increasing despite greater resistance among the comparator antimicrobial agents. Thus, antipseudomonal carbapenems such as meropenem and imipenem remain an effective treatment option. © 2005 Elsevier Inc. All rights reserved.","author":[{"dropping-particle":"","family":"Jones","given":"Ronald N.","non-dropping-particle":"","parse-names":false,"suffix":""},{"dropping-particle":"","family":"Mendes","given":"Caio","non-dropping-particle":"","parse-names":false,"suffix":""},{"dropping-particle":"","family":"Turner","given":"Philip J.","non-dropping-particle":"","parse-names":false,"suffix":""},{"dropping-particle":"","family":"Masterton","given":"Robert","non-dropping-particle":"","parse-names":false,"suffix":""}],"container-title":"Diagnostic Microbiology and Infectious Disease","id":"ITEM-1","issue":"4","issued":{"date-parts":[["2005"]]},"page":"247-256","title":"An overview of the Meropenem Yearly Susceptibility Test Information Collection (MYSTIC) Program: 1997-2004","type":"article-journal","volume":"53"},"uris":["http://www.mendeley.com/documents/?uuid=eb6ad0bd-62fd-43e7-9557-dd9f486d6c4e"]}],"mendeley":{"formattedCitation":"(12)","plainTextFormattedCitation":"(12)","previouslyFormattedCitation":"(61)"},"properties":{"noteIndex":0},"schema":"https://github.com/citation-style-language/schema/raw/master/csl-citation.json"}</w:instrText>
            </w:r>
            <w:r w:rsidRPr="0074732C">
              <w:rPr>
                <w:lang w:eastAsia="fr-CH"/>
              </w:rPr>
              <w:fldChar w:fldCharType="separate"/>
            </w:r>
            <w:r w:rsidR="00560D05" w:rsidRPr="00560D05">
              <w:rPr>
                <w:noProof/>
                <w:lang w:eastAsia="fr-CH"/>
              </w:rPr>
              <w:t>(12)</w:t>
            </w:r>
            <w:r w:rsidRPr="0074732C">
              <w:rPr>
                <w:lang w:eastAsia="fr-CH"/>
              </w:rPr>
              <w:fldChar w:fldCharType="end"/>
            </w:r>
          </w:p>
        </w:tc>
      </w:tr>
      <w:tr w:rsidR="00770055" w14:paraId="16196C9C"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A81C349" w14:textId="77777777" w:rsidR="00770055" w:rsidRDefault="00770055" w:rsidP="003F0E80"/>
        </w:tc>
        <w:tc>
          <w:tcPr>
            <w:tcW w:w="1843" w:type="dxa"/>
          </w:tcPr>
          <w:p w14:paraId="0F2DA662"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pPr>
          </w:p>
        </w:tc>
        <w:tc>
          <w:tcPr>
            <w:tcW w:w="5245" w:type="dxa"/>
          </w:tcPr>
          <w:p w14:paraId="6554AF6D"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b/>
                <w:bdr w:val="none" w:sz="0" w:space="0" w:color="auto" w:frame="1"/>
                <w:lang w:eastAsia="fr-CH"/>
              </w:rPr>
            </w:pPr>
            <w:r w:rsidRPr="006B4BBD">
              <w:rPr>
                <w:bdr w:val="none" w:sz="0" w:space="0" w:color="auto" w:frame="1"/>
                <w:lang w:eastAsia="fr-CH"/>
              </w:rPr>
              <w:t>Communication within the intervention team and actors</w:t>
            </w:r>
            <w:r>
              <w:rPr>
                <w:bdr w:val="none" w:sz="0" w:space="0" w:color="auto" w:frame="1"/>
                <w:lang w:eastAsia="fr-CH"/>
              </w:rPr>
              <w:t xml:space="preserve"> (success factor)</w:t>
            </w:r>
          </w:p>
          <w:p w14:paraId="7CDAE0C7" w14:textId="77777777" w:rsidR="00770055" w:rsidRPr="00B803EE" w:rsidRDefault="00770055" w:rsidP="003F0E80">
            <w:pPr>
              <w:cnfStyle w:val="000000100000" w:firstRow="0" w:lastRow="0" w:firstColumn="0" w:lastColumn="0" w:oddVBand="0" w:evenVBand="0" w:oddHBand="1" w:evenHBand="0" w:firstRowFirstColumn="0" w:firstRowLastColumn="0" w:lastRowFirstColumn="0" w:lastRowLastColumn="0"/>
              <w:rPr>
                <w:i/>
              </w:rPr>
            </w:pPr>
            <w:r w:rsidRPr="00B803EE">
              <w:rPr>
                <w:i/>
                <w:color w:val="808080" w:themeColor="background1" w:themeShade="80"/>
                <w:bdr w:val="none" w:sz="0" w:space="0" w:color="auto" w:frame="1"/>
                <w:lang w:eastAsia="fr-CH"/>
              </w:rPr>
              <w:t xml:space="preserve">Communication within the intervention team and actors was important to encourage the implication and compliance to the intervention. Feedback from actors was also necessary for adapting the intervention if its design did not fit its purpose. </w:t>
            </w:r>
          </w:p>
        </w:tc>
        <w:tc>
          <w:tcPr>
            <w:tcW w:w="5635" w:type="dxa"/>
          </w:tcPr>
          <w:p w14:paraId="73EE3FFB" w14:textId="77777777" w:rsidR="00770055" w:rsidRPr="001D1A94"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i/>
                <w:lang w:eastAsia="fr-CH"/>
              </w:rPr>
              <w:t>“</w:t>
            </w:r>
            <w:r w:rsidRPr="00110F49">
              <w:rPr>
                <w:i/>
                <w:lang w:eastAsia="fr-CH"/>
              </w:rPr>
              <w:t>In order to encourage appropriate antimicrobial use, we launched a campaign. At our department, pharmacists started providing important information in the form of drug information.</w:t>
            </w:r>
            <w:r>
              <w:rPr>
                <w:i/>
                <w:lang w:eastAsia="fr-CH"/>
              </w:rPr>
              <w:t>”</w:t>
            </w:r>
            <w:r>
              <w:rPr>
                <w:lang w:eastAsia="fr-CH"/>
              </w:rPr>
              <w:t xml:space="preserve"> </w:t>
            </w:r>
            <w:r w:rsidRPr="0074732C">
              <w:rPr>
                <w:lang w:eastAsia="fr-CH"/>
              </w:rPr>
              <w:fldChar w:fldCharType="begin" w:fldLock="1"/>
            </w:r>
            <w:r w:rsidR="00560D05">
              <w:rPr>
                <w:lang w:eastAsia="fr-CH"/>
              </w:rPr>
              <w:instrText>ADDIN CSL_CITATION {"citationItems":[{"id":"ITEM-1","itemData":{"DOI":"10.18999/nagjms.74.1-2.93","ISSN":"00277622","PMID":"22515115","abstract":"Some drug management systems have been established in Japanese hospitals to reduce medical costs and regulate drug usage. Among the many available prescription drugs, antimicrobials should be given special attention because their inappropriate use often leads to sudden outbreaks of resistant bacteria. As drug specialists, pharmacists should monitor the use of all drugs, particularly antimicrobials. Carbapenems are a class of broad-spectrum antimicrobials that are widely used to treat infections worldwide. However, their inappropriate use has led to an increase in the incidence of drug-resistant bacteria and consequently, medical costs, at hospitals. To reduce inappropriate use and drug resistance, we have established a permission system to control the use of carbapenems at the Japanese Red Cross Nagoya Daiichi Hospital. In this study, we retrospectively evaluated the applicability of the new permission system compared to that of the notification system and the non control system for 14 months each. The two management systems were able to maintain total antibiotic use density and control the outbreak of drug-resistant bacteria (P. aeruginosa, E. coli, and K. pneumoniae). The number of carbapenem prescriptions was decreased dramatically when this permission system was enforced. Compared to the non control system, the cost of antimicrobials was reduced by $757,470 for the 14-month study period using the permission system. These results suggest that our system to control the use of antimicrobials can efficiently suppress the incidence of drug-resistant bacteria and medical costs at hospitals.","author":[{"dropping-particle":"","family":"Ikeda","given":"Yoshiaki","non-dropping-particle":"","parse-names":false,"suffix":""},{"dropping-particle":"","family":"Mamiya","given":"Takayoshi","non-dropping-particle":"","parse-names":false,"suffix":""},{"dropping-particle":"","family":"Nishiyama","given":"Hideki","non-dropping-particle":"","parse-names":false,"suffix":""},{"dropping-particle":"","family":"Narusawa","given":"Shiho","non-dropping-particle":"","parse-names":false,"suffix":""},{"dropping-particle":"","family":"Koseki","given":"Takenao","non-dropping-particle":"","parse-names":false,"suffix":""},{"dropping-particle":"","family":"Mouri","given":"Akihiro","non-dropping-particle":"","parse-names":false,"suffix":""},{"dropping-particle":"","family":"Nabeshima","given":"Toshitaka","non-dropping-particle":"","parse-names":false,"suffix":""}],"container-title":"Nagoya Journal of Medical Science","id":"ITEM-1","issue":"1-2","issued":{"date-parts":[["2012"]]},"page":"93-104","title":"A permission system for carbapenem use reduced incidence of drug-resistant bacteria and cost of antimicrobials at a general hospital in japan","type":"article-journal","volume":"74"},"uris":["http://www.mendeley.com/documents/?uuid=99faf27c-20ca-4ed4-8471-5036b288c124"]}],"mendeley":{"formattedCitation":"(13)","plainTextFormattedCitation":"(13)","previouslyFormattedCitation":"(54)"},"properties":{"noteIndex":0},"schema":"https://github.com/citation-style-language/schema/raw/master/csl-citation.json"}</w:instrText>
            </w:r>
            <w:r w:rsidRPr="0074732C">
              <w:rPr>
                <w:lang w:eastAsia="fr-CH"/>
              </w:rPr>
              <w:fldChar w:fldCharType="separate"/>
            </w:r>
            <w:r w:rsidR="00560D05" w:rsidRPr="00560D05">
              <w:rPr>
                <w:noProof/>
                <w:lang w:eastAsia="fr-CH"/>
              </w:rPr>
              <w:t>(13)</w:t>
            </w:r>
            <w:r w:rsidRPr="0074732C">
              <w:rPr>
                <w:lang w:eastAsia="fr-CH"/>
              </w:rPr>
              <w:fldChar w:fldCharType="end"/>
            </w:r>
          </w:p>
        </w:tc>
      </w:tr>
      <w:tr w:rsidR="00770055" w14:paraId="7F101C0A"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686849DA" w14:textId="77777777" w:rsidR="00770055" w:rsidRDefault="00770055" w:rsidP="003F0E80"/>
        </w:tc>
        <w:tc>
          <w:tcPr>
            <w:tcW w:w="1843" w:type="dxa"/>
          </w:tcPr>
          <w:p w14:paraId="03E61E58"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pPr>
            <w:r w:rsidRPr="00F3135D">
              <w:rPr>
                <w:bdr w:val="none" w:sz="0" w:space="0" w:color="auto" w:frame="1"/>
                <w:lang w:eastAsia="fr-CH"/>
              </w:rPr>
              <w:t>External policies and incentives.</w:t>
            </w:r>
          </w:p>
        </w:tc>
        <w:tc>
          <w:tcPr>
            <w:tcW w:w="5245" w:type="dxa"/>
          </w:tcPr>
          <w:p w14:paraId="2E26C9E5"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pPr>
            <w:r w:rsidRPr="00E36CA5">
              <w:t>National level</w:t>
            </w:r>
            <w:r>
              <w:t xml:space="preserve"> intervention</w:t>
            </w:r>
            <w:r w:rsidRPr="00E36CA5">
              <w:t xml:space="preserve"> implemented at the same time</w:t>
            </w:r>
            <w:r>
              <w:t xml:space="preserve"> (contextual factor)</w:t>
            </w:r>
          </w:p>
          <w:p w14:paraId="211C2B50" w14:textId="77777777" w:rsidR="00770055" w:rsidRPr="00737362" w:rsidRDefault="00770055" w:rsidP="003F0E80">
            <w:pPr>
              <w:cnfStyle w:val="000000000000" w:firstRow="0" w:lastRow="0" w:firstColumn="0" w:lastColumn="0" w:oddVBand="0" w:evenVBand="0" w:oddHBand="0" w:evenHBand="0" w:firstRowFirstColumn="0" w:firstRowLastColumn="0" w:lastRowFirstColumn="0" w:lastRowLastColumn="0"/>
              <w:rPr>
                <w:i/>
              </w:rPr>
            </w:pPr>
            <w:r w:rsidRPr="00737362">
              <w:rPr>
                <w:i/>
                <w:color w:val="808080" w:themeColor="background1" w:themeShade="80"/>
              </w:rPr>
              <w:t xml:space="preserve">Interventions at the national level that were implemented concurrently with the studied intervention made an independent assessment of the intervention’s impact difficult, and it might have increased its acceptability/compliance within the target population (e.g., surveillance system and </w:t>
            </w:r>
            <w:r w:rsidRPr="00737362">
              <w:rPr>
                <w:i/>
                <w:color w:val="808080" w:themeColor="background1" w:themeShade="80"/>
              </w:rPr>
              <w:lastRenderedPageBreak/>
              <w:t xml:space="preserve">vaccination programme). Concomitant action in a different sector might also influence the targeted sector. </w:t>
            </w:r>
          </w:p>
        </w:tc>
        <w:tc>
          <w:tcPr>
            <w:tcW w:w="5635" w:type="dxa"/>
          </w:tcPr>
          <w:p w14:paraId="50B65CBA" w14:textId="77777777" w:rsidR="00770055" w:rsidRPr="001D1A94"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Pr>
                <w:i/>
              </w:rPr>
              <w:lastRenderedPageBreak/>
              <w:t>“</w:t>
            </w:r>
            <w:r w:rsidRPr="00C161E7">
              <w:rPr>
                <w:i/>
              </w:rPr>
              <w:t>Shortly after the voluntary cessation of all use of cephalosporins in pig production, the Danish government issued a ˜yellow card™</w:t>
            </w:r>
            <w:r>
              <w:rPr>
                <w:i/>
              </w:rPr>
              <w:t>”</w:t>
            </w:r>
            <w:r w:rsidRPr="00C161E7">
              <w:rPr>
                <w:i/>
              </w:rPr>
              <w:t xml:space="preserve"> to the pig farmers who had the highest consumption per pig produced. This has led to an overall reduction in use for therapy. Thus, it cannot be excluded that the reduced overall use has also been of importance; however, the most likely explanation for the major reduction in the occurrence of ESC-producing E. coli </w:t>
            </w:r>
            <w:r w:rsidRPr="00C161E7">
              <w:rPr>
                <w:i/>
              </w:rPr>
              <w:lastRenderedPageBreak/>
              <w:t>among Danish pigs is the complete cessation of the use of cephalosporins.</w:t>
            </w:r>
            <w:r>
              <w:rPr>
                <w:i/>
              </w:rPr>
              <w:t>”</w:t>
            </w:r>
            <w:r w:rsidRPr="00C161E7">
              <w:rPr>
                <w:i/>
              </w:rPr>
              <w:t xml:space="preserve"> </w:t>
            </w:r>
            <w:r>
              <w:fldChar w:fldCharType="begin" w:fldLock="1"/>
            </w:r>
            <w:r w:rsidR="00560D05">
              <w:instrText>ADDIN CSL_CITATION {"citationItems":[{"id":"ITEM-1","itemData":{"DOI":"10.1093/jac/dks427","ISSN":"03057453","abstract":"Objectives: To measure the effect of a voluntary ban on cephalosporin usage in the Danish pig production on the prevalence of extended-spectrum cephalosporinase (ESC)-producing Escherichia coli in pigs and pork. Methods: Data on cephalosporin consumption were obtained from the VetStat database. For detection of ESC-producing E. coli, three sampling types were included: at slaughter, caecal samples were collected from pigs in 2009 and 2010 (June) before and in two periods (2010 and 2011) after a voluntary ban on cephalosporins was effected (July 2010); at farm level, pools of five stool samples from different pigsties were collected in 2010 and in 2011; and samples from pork were collected randomly at retail stores and outlets from 2009 to 2011. ESC-producing E. coli was isolated after selective enrichment in MacConkey broth with 1 mg/L ceftriaxone. ESC genes were detected using PCR, microtube array and sequencing. Results: From July 2010 the consumption of cephalosporins approximated zero. The occurrence of ESC-producing E. coli in pigs at slaughter was not significantly different (P = 0.7) between 2009 [10.8% (85/786)] and 2010 [11.8% (48/407)], but in 2011 the occurrence [3.6% (28/777)] decreased significantly (P &lt; 0.001). A significant decrease (P = 0.002) in occurrence of ESC-producing E. coli at pig farm level from 2010 [11% (11/99)] to 2011 (0/78) was also observed. The blaCTX-M-1 gene was most often detected (63%), but blaCTX-M-14 and blaCTX-M-15 were also found. Occurrence in pork was between 1.3% and 0.9%. Conclusions: The discontinuation of an already low use of cephalosporins in pig production has significantly reduced the occurrence of ESC-producing E. coli. © The Author 2012. Published by Oxford University Press on behalf of the British Society for Antimicrobial Chemotherapy. All rights reserved.","author":[{"dropping-particle":"","family":"AgersoØ","given":"Yvonne","non-dropping-particle":"","parse-names":false,"suffix":""},{"dropping-particle":"","family":"Aarestrup","given":"Frank M.","non-dropping-particle":"","parse-names":false,"suffix":""}],"container-title":"Journal of Antimicrobial Chemotherapy","id":"ITEM-1","issue":"3","issued":{"date-parts":[["2013"]]},"page":"569-572","title":"Voluntary ban on cephalosporin use in Danish pig production has effectively reduced extended-spectrum cephalosporinase-producing Escherichia coli in slaughter pigs","type":"article-journal","volume":"68"},"uris":["http://www.mendeley.com/documents/?uuid=a8c41662-48cc-4915-96c7-467b5d3e8f5c"]}],"mendeley":{"formattedCitation":"(14)","plainTextFormattedCitation":"(14)","previouslyFormattedCitation":"(65)"},"properties":{"noteIndex":0},"schema":"https://github.com/citation-style-language/schema/raw/master/csl-citation.json"}</w:instrText>
            </w:r>
            <w:r>
              <w:fldChar w:fldCharType="separate"/>
            </w:r>
            <w:r w:rsidR="00560D05" w:rsidRPr="00560D05">
              <w:rPr>
                <w:noProof/>
              </w:rPr>
              <w:t>(14)</w:t>
            </w:r>
            <w:r>
              <w:fldChar w:fldCharType="end"/>
            </w:r>
          </w:p>
        </w:tc>
      </w:tr>
      <w:tr w:rsidR="00770055" w14:paraId="3BD80390"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810AEFC" w14:textId="77777777" w:rsidR="00770055" w:rsidRDefault="00770055" w:rsidP="003F0E80"/>
        </w:tc>
        <w:tc>
          <w:tcPr>
            <w:tcW w:w="1843" w:type="dxa"/>
          </w:tcPr>
          <w:p w14:paraId="2315BD0F"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p>
        </w:tc>
        <w:tc>
          <w:tcPr>
            <w:tcW w:w="5245" w:type="dxa"/>
          </w:tcPr>
          <w:p w14:paraId="1402B52E"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pPr>
            <w:r w:rsidRPr="00E36CA5">
              <w:t>Access to healthcare may have an influence in the access of AM, their use, and willingness to people to be treated</w:t>
            </w:r>
            <w:r>
              <w:t xml:space="preserve"> (contextual factor)</w:t>
            </w:r>
          </w:p>
          <w:p w14:paraId="46ED5930" w14:textId="77777777" w:rsidR="00770055" w:rsidRPr="00737362" w:rsidRDefault="00770055" w:rsidP="003F0E80">
            <w:pPr>
              <w:cnfStyle w:val="000000100000" w:firstRow="0" w:lastRow="0" w:firstColumn="0" w:lastColumn="0" w:oddVBand="0" w:evenVBand="0" w:oddHBand="1" w:evenHBand="0" w:firstRowFirstColumn="0" w:firstRowLastColumn="0" w:lastRowFirstColumn="0" w:lastRowLastColumn="0"/>
              <w:rPr>
                <w:i/>
              </w:rPr>
            </w:pPr>
            <w:r w:rsidRPr="00737362">
              <w:rPr>
                <w:i/>
                <w:color w:val="808080" w:themeColor="background1" w:themeShade="80"/>
              </w:rPr>
              <w:t>Access to healthcare was found to have an influence in the access of AMs, their use, and willingness of people to be treated (e.g., lack of health insurance policy).</w:t>
            </w:r>
          </w:p>
        </w:tc>
        <w:tc>
          <w:tcPr>
            <w:tcW w:w="5635" w:type="dxa"/>
          </w:tcPr>
          <w:p w14:paraId="1A83581D" w14:textId="77777777" w:rsidR="00770055" w:rsidRPr="001D1A94"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i/>
              </w:rPr>
              <w:t>“</w:t>
            </w:r>
            <w:r w:rsidRPr="00C161E7">
              <w:rPr>
                <w:i/>
              </w:rPr>
              <w:t>In the circumstances that reimbursements to hospitals are ultimately proportional to the provided clinical services, it lacks incentive for the hospitals to implement a comprehensive antimicrobial stewardship system</w:t>
            </w:r>
            <w:r>
              <w:rPr>
                <w:i/>
              </w:rPr>
              <w:t xml:space="preserve"> </w:t>
            </w:r>
            <w:r w:rsidRPr="00C161E7">
              <w:rPr>
                <w:i/>
              </w:rPr>
              <w:t>in general. In Taiwan, the government adopted a mandatory national health insurance policy in 1995, thereby switching the original free-market medico-economic system to a controlled one, in which the Taiwan Bureau of National Health Insurance becomes the only third-party payer</w:t>
            </w:r>
            <w:r>
              <w:t xml:space="preserve">.” </w:t>
            </w:r>
            <w:r>
              <w:fldChar w:fldCharType="begin" w:fldLock="1"/>
            </w:r>
            <w:r w:rsidR="00560D05">
              <w:instrText>ADDIN CSL_CITATION {"citationItems":[{"id":"ITEM-1","itemData":{"DOI":"10.1016/j.ijantimicag.2011.08.011","ISSN":"09248579","abstract":"Antibiotic stewardship is important to address the problem of antimicrobial resistance, but a practical and sustainable strategy to provide stewardship in a large hospital setting is lacking. We developed a hospital-wide computerised antimicrobial approval system (HCAAS) to guide the use of antimicrobial agents in late 2004 in a 3500-bed medical centre in Taiwan. The objective of this study was to evaluate the impacts of HCAAS on the hospital from 2003 to 2009. Following HCAAS deployment, the gradients of consumption over time during the study period of third- and fourth-generation cephalosporins, fluoroquinolones and glycopeptides fell significantly, whilst that of carbapenems increased. The amount and expenditure of antimicrobial use did not increase with the overall healthcare-associated infection rate, and inpatient mortality rate remained stable with a slight decreasing trend. The rate of meticillin-resistant Staphylococcus aureus started to decline in 2002 and continued after HCAAS deployment. There was an increasing isolation of extended-spectrum β-lactamase-producing Escherichia coli and Klebsiella pneumoniae, presumably leading to the increased use of carbapenems. The isolation rate of Clostridium difficile from patients who developed diarrhoea after antimicrobial therapy did not change over the years, with a mean annual rate of 10.0% after the implementation of HCAAS. HCAAS along with strict infection control measures is necessary to reduce the spread of resistant organisms within the hospital. HCAAS is a sustainable system for providing antibiotic stewardship and exerts a positive impact on the hospital by reducing antimicrobial consumption and expenditure whilst not compromising healthcare quality. © 2011 Elsevier B.V. and the International Society of Chemotherapy.","author":[{"dropping-particle":"","family":"Chan","given":"Yuk Ying","non-dropping-particle":"","parse-names":false,"suffix":""},{"dropping-particle":"","family":"Lin","given":"Tzou Yien","non-dropping-particle":"","parse-names":false,"suffix":""},{"dropping-particle":"","family":"Huang","given":"Ching Tai","non-dropping-particle":"","parse-names":false,"suffix":""},{"dropping-particle":"","family":"Deng","given":"Shin Tarng","non-dropping-particle":"","parse-names":false,"suffix":""},{"dropping-particle":"","family":"Wu","given":"Tsu Lan","non-dropping-particle":"","parse-names":false,"suffix":""},{"dropping-particle":"","family":"Leu","given":"Hsieh Shong","non-dropping-particle":"","parse-names":false,"suffix":""},{"dropping-particle":"","family":"Chiu","given":"Cheng Hsun","non-dropping-particle":"","parse-names":false,"suffix":""}],"container-title":"International Journal of Antimicrobial Agents","id":"ITEM-1","issue":"6","issued":{"date-parts":[["2011"]]},"page":"486-492","title":"Implementation and outcomes of a hospital-wide computerised antimicrobial stewardship programme in a large medical centre in Taiwan","type":"article-journal","volume":"38"},"uris":["http://www.mendeley.com/documents/?uuid=ecf9d233-b35b-4ccb-93f0-ecc0d5fee90f"]}],"mendeley":{"formattedCitation":"(15)","plainTextFormattedCitation":"(15)","previouslyFormattedCitation":"(55)"},"properties":{"noteIndex":0},"schema":"https://github.com/citation-style-language/schema/raw/master/csl-citation.json"}</w:instrText>
            </w:r>
            <w:r>
              <w:fldChar w:fldCharType="separate"/>
            </w:r>
            <w:r w:rsidR="00560D05" w:rsidRPr="00560D05">
              <w:rPr>
                <w:noProof/>
              </w:rPr>
              <w:t>(15)</w:t>
            </w:r>
            <w:r>
              <w:fldChar w:fldCharType="end"/>
            </w:r>
          </w:p>
        </w:tc>
      </w:tr>
      <w:tr w:rsidR="00770055" w14:paraId="1E405B9D"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690D7989" w14:textId="77777777" w:rsidR="00770055" w:rsidRDefault="00770055" w:rsidP="003F0E80"/>
        </w:tc>
        <w:tc>
          <w:tcPr>
            <w:tcW w:w="1843" w:type="dxa"/>
          </w:tcPr>
          <w:p w14:paraId="44FC6EE3"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F3135D">
              <w:rPr>
                <w:bdr w:val="none" w:sz="0" w:space="0" w:color="auto" w:frame="1"/>
                <w:lang w:eastAsia="fr-CH"/>
              </w:rPr>
              <w:t>Culture.</w:t>
            </w:r>
          </w:p>
        </w:tc>
        <w:tc>
          <w:tcPr>
            <w:tcW w:w="5245" w:type="dxa"/>
          </w:tcPr>
          <w:p w14:paraId="2336C672"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E36CA5">
              <w:t>Background of the country in the fight against AMR</w:t>
            </w:r>
            <w:r>
              <w:t xml:space="preserve"> (contextual factor)</w:t>
            </w:r>
          </w:p>
          <w:p w14:paraId="0767BDF0" w14:textId="77777777" w:rsidR="00770055" w:rsidRPr="00737362" w:rsidRDefault="00770055" w:rsidP="003F0E80">
            <w:pPr>
              <w:cnfStyle w:val="000000000000" w:firstRow="0" w:lastRow="0" w:firstColumn="0" w:lastColumn="0" w:oddVBand="0" w:evenVBand="0" w:oddHBand="0" w:evenHBand="0" w:firstRowFirstColumn="0" w:firstRowLastColumn="0" w:lastRowFirstColumn="0" w:lastRowLastColumn="0"/>
              <w:rPr>
                <w:i/>
                <w:bdr w:val="none" w:sz="0" w:space="0" w:color="auto" w:frame="1"/>
                <w:lang w:eastAsia="fr-CH"/>
              </w:rPr>
            </w:pPr>
            <w:r w:rsidRPr="00737362">
              <w:rPr>
                <w:i/>
                <w:color w:val="808080" w:themeColor="background1" w:themeShade="80"/>
                <w:bdr w:val="none" w:sz="0" w:space="0" w:color="auto" w:frame="1"/>
                <w:lang w:eastAsia="fr-CH"/>
              </w:rPr>
              <w:t xml:space="preserve">A long tradition of fighting AMR in the country was found to make an intervention better accepted </w:t>
            </w:r>
            <w:r w:rsidRPr="00737362">
              <w:rPr>
                <w:i/>
                <w:color w:val="808080" w:themeColor="background1" w:themeShade="80"/>
              </w:rPr>
              <w:t>by the actors and targeted population. In addition, this historical context was also suggested to show a small impact of the intervention as the previous interventions already improved the quality of life and AMR status of the country. Nonetheless, having functioning institutions in a state, which ensures that compliance with interventions, is an essential cornerstone for limiting AMR.</w:t>
            </w:r>
          </w:p>
        </w:tc>
        <w:tc>
          <w:tcPr>
            <w:tcW w:w="5635" w:type="dxa"/>
          </w:tcPr>
          <w:p w14:paraId="31EE4E58" w14:textId="77777777" w:rsidR="00770055" w:rsidRPr="00EE6B15" w:rsidRDefault="00770055" w:rsidP="003F0E80">
            <w:pPr>
              <w:cnfStyle w:val="000000000000" w:firstRow="0" w:lastRow="0" w:firstColumn="0" w:lastColumn="0" w:oddVBand="0" w:evenVBand="0" w:oddHBand="0" w:evenHBand="0" w:firstRowFirstColumn="0" w:firstRowLastColumn="0" w:lastRowFirstColumn="0" w:lastRowLastColumn="0"/>
              <w:rPr>
                <w:lang w:eastAsia="fr-CH"/>
              </w:rPr>
            </w:pPr>
            <w:r>
              <w:rPr>
                <w:i/>
              </w:rPr>
              <w:t>“</w:t>
            </w:r>
            <w:r w:rsidRPr="00C161E7">
              <w:rPr>
                <w:i/>
              </w:rPr>
              <w:t>This could be attributed to the long-term systematic work to maintain appropriate antibiotic prescribing, high use of bacteriological cultures and good compliance with basic hygiene and infection control measures.</w:t>
            </w:r>
            <w:r>
              <w:rPr>
                <w:i/>
              </w:rPr>
              <w:t>”</w:t>
            </w:r>
            <w:r>
              <w:t xml:space="preserve"> </w:t>
            </w:r>
            <w:r>
              <w:fldChar w:fldCharType="begin" w:fldLock="1"/>
            </w:r>
            <w:r w:rsidR="00560D05">
              <w:instrText>ADDIN CSL_CITATION {"citationItems":[{"id":"ITEM-1","itemData":{"DOI":"10.2471/BLT.16.184374","abstract":"Increasing use of antibiotics and rising levels of bacterial resistance to antibiotics are a challenge to global health and development. Successful initiatives for containing the problem need to be communicated and disseminated. In Sweden, a rapid spread of resistant pneumococci in the southern part of the country triggered the formation of the Swedish strategic programme against antibiotic resistance, also known as Strama, in 1995. The creation of the programme was an important starting point for long-term coordinated efforts to tackle antibiotic resistance in the country. This paper describes the main strategies of the programme: committed work at the local and national levels; monitoring of antibiotic use for informed decision-making; a national target for antibiotic prescriptions; surveillance of antibiotic resistance for local, national and global action; tracking resistance trends; infection control to limit spread of resistance; and communication to raise awareness for action and behavioural change. A key element for achieving long-term changes has been the bottom-up approach, including working closely with prescribers at the local level. The work described here and the lessons learnt could inform countries implementing their own national action plans against antibiotic resistance","author":[{"dropping-particle":"","family":"Mölstad","given":"S","non-dropping-particle":"","parse-names":false,"suffix":""},{"dropping-particle":"","family":"Löfmark","given":"S","non-dropping-particle":"","parse-names":false,"suffix":""},{"dropping-particle":"","family":"Carlin","given":"K","non-dropping-particle":"","parse-names":false,"suffix":""},{"dropping-particle":"","family":"Erntell","given":"M","non-dropping-particle":"","parse-names":false,"suffix":""},{"dropping-particle":"","family":"Aspevall","given":"O","non-dropping-particle":"","parse-names":false,"suffix":""},{"dropping-particle":"","family":"Blad","given":"L","non-dropping-particle":"","parse-names":false,"suffix":""},{"dropping-particle":"","family":"Hanberger","given":"H","non-dropping-particle":"","parse-names":false,"suffix":""},{"dropping-particle":"","family":"Hedin","given":"K","non-dropping-particle":"","parse-names":false,"suffix":""},{"dropping-particle":"","family":"Hellman","given":"J","non-dropping-particle":"","parse-names":false,"suffix":""},{"dropping-particle":"","family":"Norman","given":"C","non-dropping-particle":"","parse-names":false,"suffix":""},{"dropping-particle":"","family":"Skoog","given":"G","non-dropping-particle":"","parse-names":false,"suffix":""},{"dropping-particle":"","family":"Stålsby-Lundborg","given":"C","non-dropping-particle":"","parse-names":false,"suffix":""},{"dropping-particle":"","family":"Tegmark Wisell","given":"K","non-dropping-particle":"","parse-names":false,"suffix":""},{"dropping-particle":"","family":"Åhréni","given":"C","non-dropping-particle":"","parse-names":false,"suffix":""},{"dropping-particle":"","family":"Cars","given":"O","non-dropping-particle":"","parse-names":false,"suffix":""}],"container-title":"Bulletin of the World Health Organization","id":"ITEM-1","issue":"11","issued":{"date-parts":[["2017"]]},"note":"cited By 3","page":"764-773","title":"Lessons learnt during 20 years of the swedish strategic programme against antibiotic resistance [Programme stratégique suédois contre la résistance aux antibiotiques - 20 années d’enseignements]","type":"article-journal","volume":"95"},"uris":["http://www.mendeley.com/documents/?uuid=d1e9cfbc-29b3-47b8-b365-0623e3ec8ba4"]}],"mendeley":{"formattedCitation":"(16)","plainTextFormattedCitation":"(16)","previouslyFormattedCitation":"(59)"},"properties":{"noteIndex":0},"schema":"https://github.com/citation-style-language/schema/raw/master/csl-citation.json"}</w:instrText>
            </w:r>
            <w:r>
              <w:fldChar w:fldCharType="separate"/>
            </w:r>
            <w:r w:rsidR="00560D05" w:rsidRPr="00560D05">
              <w:rPr>
                <w:noProof/>
              </w:rPr>
              <w:t>(16)</w:t>
            </w:r>
            <w:r>
              <w:fldChar w:fldCharType="end"/>
            </w:r>
          </w:p>
        </w:tc>
      </w:tr>
      <w:tr w:rsidR="00770055" w14:paraId="3BF58AD0"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607611D" w14:textId="77777777" w:rsidR="00770055" w:rsidRDefault="00770055" w:rsidP="003F0E80">
            <w:r>
              <w:t>Process</w:t>
            </w:r>
          </w:p>
        </w:tc>
        <w:tc>
          <w:tcPr>
            <w:tcW w:w="1843" w:type="dxa"/>
          </w:tcPr>
          <w:p w14:paraId="04256F87"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sidRPr="00F3135D">
              <w:rPr>
                <w:bdr w:val="none" w:sz="0" w:space="0" w:color="auto" w:frame="1"/>
                <w:lang w:eastAsia="fr-CH"/>
              </w:rPr>
              <w:t>Engaging.</w:t>
            </w:r>
          </w:p>
        </w:tc>
        <w:tc>
          <w:tcPr>
            <w:tcW w:w="5245" w:type="dxa"/>
          </w:tcPr>
          <w:p w14:paraId="2B34474A"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pPr>
            <w:r w:rsidRPr="00D92B66">
              <w:rPr>
                <w:bdr w:val="none" w:sz="0" w:space="0" w:color="auto" w:frame="1"/>
                <w:lang w:eastAsia="fr-CH"/>
              </w:rPr>
              <w:t>Lack of incentives to participate</w:t>
            </w:r>
            <w:r>
              <w:rPr>
                <w:bdr w:val="none" w:sz="0" w:space="0" w:color="auto" w:frame="1"/>
                <w:lang w:eastAsia="fr-CH"/>
              </w:rPr>
              <w:t xml:space="preserve"> (failure factor)</w:t>
            </w:r>
          </w:p>
          <w:p w14:paraId="0F9FB309" w14:textId="77777777" w:rsidR="00770055" w:rsidRPr="00483910" w:rsidRDefault="00770055" w:rsidP="003F0E80">
            <w:pPr>
              <w:cnfStyle w:val="000000100000" w:firstRow="0" w:lastRow="0" w:firstColumn="0" w:lastColumn="0" w:oddVBand="0" w:evenVBand="0" w:oddHBand="1" w:evenHBand="0" w:firstRowFirstColumn="0" w:firstRowLastColumn="0" w:lastRowFirstColumn="0" w:lastRowLastColumn="0"/>
            </w:pPr>
            <w:r w:rsidRPr="00737362">
              <w:rPr>
                <w:i/>
                <w:color w:val="808080" w:themeColor="background1" w:themeShade="80"/>
              </w:rPr>
              <w:lastRenderedPageBreak/>
              <w:t>The lack of results was also related to the lack of incentives to participate and follow instructions of the intervention.</w:t>
            </w:r>
            <w:r w:rsidRPr="00737362">
              <w:rPr>
                <w:color w:val="808080" w:themeColor="background1" w:themeShade="80"/>
              </w:rPr>
              <w:t xml:space="preserve"> </w:t>
            </w:r>
          </w:p>
        </w:tc>
        <w:tc>
          <w:tcPr>
            <w:tcW w:w="5635" w:type="dxa"/>
          </w:tcPr>
          <w:p w14:paraId="7CA408E1" w14:textId="77777777" w:rsidR="00770055" w:rsidRPr="00EE6B15" w:rsidRDefault="00770055" w:rsidP="003F0E80">
            <w:pPr>
              <w:cnfStyle w:val="000000100000" w:firstRow="0" w:lastRow="0" w:firstColumn="0" w:lastColumn="0" w:oddVBand="0" w:evenVBand="0" w:oddHBand="1" w:evenHBand="0" w:firstRowFirstColumn="0" w:firstRowLastColumn="0" w:lastRowFirstColumn="0" w:lastRowLastColumn="0"/>
            </w:pPr>
            <w:r>
              <w:rPr>
                <w:i/>
                <w:lang w:eastAsia="fr-CH"/>
              </w:rPr>
              <w:lastRenderedPageBreak/>
              <w:t>“</w:t>
            </w:r>
            <w:r w:rsidRPr="00635B25">
              <w:rPr>
                <w:i/>
                <w:lang w:eastAsia="fr-CH"/>
              </w:rPr>
              <w:t xml:space="preserve">In the circumstances that reimbursements to hospitals are ultimately proportional to the provided clinical services, it lacks incentive for the hospitals to implement a </w:t>
            </w:r>
            <w:r w:rsidRPr="00635B25">
              <w:rPr>
                <w:i/>
                <w:lang w:eastAsia="fr-CH"/>
              </w:rPr>
              <w:lastRenderedPageBreak/>
              <w:t>comprehensive antimicrobial stewardship system in general.</w:t>
            </w:r>
            <w:r>
              <w:rPr>
                <w:i/>
                <w:lang w:eastAsia="fr-CH"/>
              </w:rPr>
              <w:t>”</w:t>
            </w:r>
            <w:r>
              <w:rPr>
                <w:lang w:eastAsia="fr-CH"/>
              </w:rPr>
              <w:t xml:space="preserve"> </w:t>
            </w:r>
            <w:r w:rsidRPr="0074732C">
              <w:rPr>
                <w:lang w:eastAsia="fr-CH"/>
              </w:rPr>
              <w:fldChar w:fldCharType="begin" w:fldLock="1"/>
            </w:r>
            <w:r w:rsidR="00560D05">
              <w:rPr>
                <w:lang w:eastAsia="fr-CH"/>
              </w:rPr>
              <w:instrText>ADDIN CSL_CITATION {"citationItems":[{"id":"ITEM-1","itemData":{"DOI":"10.1016/j.ijantimicag.2011.08.011","ISSN":"09248579","abstract":"Antibiotic stewardship is important to address the problem of antimicrobial resistance, but a practical and sustainable strategy to provide stewardship in a large hospital setting is lacking. We developed a hospital-wide computerised antimicrobial approval system (HCAAS) to guide the use of antimicrobial agents in late 2004 in a 3500-bed medical centre in Taiwan. The objective of this study was to evaluate the impacts of HCAAS on the hospital from 2003 to 2009. Following HCAAS deployment, the gradients of consumption over time during the study period of third- and fourth-generation cephalosporins, fluoroquinolones and glycopeptides fell significantly, whilst that of carbapenems increased. The amount and expenditure of antimicrobial use did not increase with the overall healthcare-associated infection rate, and inpatient mortality rate remained stable with a slight decreasing trend. The rate of meticillin-resistant Staphylococcus aureus started to decline in 2002 and continued after HCAAS deployment. There was an increasing isolation of extended-spectrum β-lactamase-producing Escherichia coli and Klebsiella pneumoniae, presumably leading to the increased use of carbapenems. The isolation rate of Clostridium difficile from patients who developed diarrhoea after antimicrobial therapy did not change over the years, with a mean annual rate of 10.0% after the implementation of HCAAS. HCAAS along with strict infection control measures is necessary to reduce the spread of resistant organisms within the hospital. HCAAS is a sustainable system for providing antibiotic stewardship and exerts a positive impact on the hospital by reducing antimicrobial consumption and expenditure whilst not compromising healthcare quality. © 2011 Elsevier B.V. and the International Society of Chemotherapy.","author":[{"dropping-particle":"","family":"Chan","given":"Yuk Ying","non-dropping-particle":"","parse-names":false,"suffix":""},{"dropping-particle":"","family":"Lin","given":"Tzou Yien","non-dropping-particle":"","parse-names":false,"suffix":""},{"dropping-particle":"","family":"Huang","given":"Ching Tai","non-dropping-particle":"","parse-names":false,"suffix":""},{"dropping-particle":"","family":"Deng","given":"Shin Tarng","non-dropping-particle":"","parse-names":false,"suffix":""},{"dropping-particle":"","family":"Wu","given":"Tsu Lan","non-dropping-particle":"","parse-names":false,"suffix":""},{"dropping-particle":"","family":"Leu","given":"Hsieh Shong","non-dropping-particle":"","parse-names":false,"suffix":""},{"dropping-particle":"","family":"Chiu","given":"Cheng Hsun","non-dropping-particle":"","parse-names":false,"suffix":""}],"container-title":"International Journal of Antimicrobial Agents","id":"ITEM-1","issue":"6","issued":{"date-parts":[["2011"]]},"page":"486-492","title":"Implementation and outcomes of a hospital-wide computerised antimicrobial stewardship programme in a large medical centre in Taiwan","type":"article-journal","volume":"38"},"uris":["http://www.mendeley.com/documents/?uuid=ecf9d233-b35b-4ccb-93f0-ecc0d5fee90f"]}],"mendeley":{"formattedCitation":"(15)","plainTextFormattedCitation":"(15)","previouslyFormattedCitation":"(55)"},"properties":{"noteIndex":0},"schema":"https://github.com/citation-style-language/schema/raw/master/csl-citation.json"}</w:instrText>
            </w:r>
            <w:r w:rsidRPr="0074732C">
              <w:rPr>
                <w:lang w:eastAsia="fr-CH"/>
              </w:rPr>
              <w:fldChar w:fldCharType="separate"/>
            </w:r>
            <w:r w:rsidR="00560D05" w:rsidRPr="00560D05">
              <w:rPr>
                <w:noProof/>
                <w:lang w:eastAsia="fr-CH"/>
              </w:rPr>
              <w:t>(15)</w:t>
            </w:r>
            <w:r w:rsidRPr="0074732C">
              <w:rPr>
                <w:lang w:eastAsia="fr-CH"/>
              </w:rPr>
              <w:fldChar w:fldCharType="end"/>
            </w:r>
          </w:p>
        </w:tc>
      </w:tr>
      <w:tr w:rsidR="00770055" w14:paraId="70830E21"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55DB16C4" w14:textId="77777777" w:rsidR="00770055" w:rsidRDefault="00770055" w:rsidP="003F0E80"/>
        </w:tc>
        <w:tc>
          <w:tcPr>
            <w:tcW w:w="1843" w:type="dxa"/>
          </w:tcPr>
          <w:p w14:paraId="510548CD"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p>
        </w:tc>
        <w:tc>
          <w:tcPr>
            <w:tcW w:w="5245" w:type="dxa"/>
          </w:tcPr>
          <w:p w14:paraId="52C6B404"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sidRPr="006B4BBD">
              <w:rPr>
                <w:bdr w:val="none" w:sz="0" w:space="0" w:color="auto" w:frame="1"/>
                <w:lang w:eastAsia="fr-CH"/>
              </w:rPr>
              <w:t>Funding of a specific coordinator or assistant within the intervention</w:t>
            </w:r>
            <w:r>
              <w:rPr>
                <w:bdr w:val="none" w:sz="0" w:space="0" w:color="auto" w:frame="1"/>
                <w:lang w:eastAsia="fr-CH"/>
              </w:rPr>
              <w:t xml:space="preserve"> (success factor)</w:t>
            </w:r>
          </w:p>
          <w:p w14:paraId="2BF4EB99" w14:textId="77777777" w:rsidR="00770055" w:rsidRPr="0046537B" w:rsidRDefault="00770055" w:rsidP="003F0E80">
            <w:pPr>
              <w:cnfStyle w:val="000000000000" w:firstRow="0" w:lastRow="0" w:firstColumn="0" w:lastColumn="0" w:oddVBand="0" w:evenVBand="0" w:oddHBand="0" w:evenHBand="0" w:firstRowFirstColumn="0" w:firstRowLastColumn="0" w:lastRowFirstColumn="0" w:lastRowLastColumn="0"/>
              <w:rPr>
                <w:i/>
              </w:rPr>
            </w:pPr>
            <w:r w:rsidRPr="0046537B">
              <w:rPr>
                <w:i/>
                <w:color w:val="808080" w:themeColor="background1" w:themeShade="80"/>
                <w:bdr w:val="none" w:sz="0" w:space="0" w:color="auto" w:frame="1"/>
                <w:lang w:eastAsia="fr-CH"/>
              </w:rPr>
              <w:t xml:space="preserve">The funding of a specific coordinator or assistant within the intervention was also described as important. </w:t>
            </w:r>
          </w:p>
        </w:tc>
        <w:tc>
          <w:tcPr>
            <w:tcW w:w="5635" w:type="dxa"/>
          </w:tcPr>
          <w:p w14:paraId="6DFF26DE" w14:textId="77777777" w:rsidR="00770055" w:rsidRPr="00EE6B15" w:rsidRDefault="00770055" w:rsidP="003F0E80">
            <w:pPr>
              <w:cnfStyle w:val="000000000000" w:firstRow="0" w:lastRow="0" w:firstColumn="0" w:lastColumn="0" w:oddVBand="0" w:evenVBand="0" w:oddHBand="0" w:evenHBand="0" w:firstRowFirstColumn="0" w:firstRowLastColumn="0" w:lastRowFirstColumn="0" w:lastRowLastColumn="0"/>
            </w:pPr>
            <w:r>
              <w:rPr>
                <w:i/>
                <w:lang w:eastAsia="fr-CH"/>
              </w:rPr>
              <w:t>“</w:t>
            </w:r>
            <w:r w:rsidRPr="00110F49">
              <w:rPr>
                <w:i/>
                <w:lang w:eastAsia="fr-CH"/>
              </w:rPr>
              <w:t>On the basis of these assumptions and the anticipated cost savings, the hospital management funded the project by providing financing for a study coordinator (12 h per week) and a pharmacy assistant (18 h per week) during 2006 and 2007.</w:t>
            </w:r>
            <w:r>
              <w:rPr>
                <w:i/>
                <w:lang w:eastAsia="fr-CH"/>
              </w:rPr>
              <w:t>”</w:t>
            </w:r>
            <w:r>
              <w:rPr>
                <w:lang w:eastAsia="fr-CH"/>
              </w:rPr>
              <w:t xml:space="preserve"> </w:t>
            </w:r>
            <w:r w:rsidRPr="0074732C">
              <w:rPr>
                <w:lang w:val="fr-CH" w:eastAsia="fr-CH"/>
              </w:rPr>
              <w:fldChar w:fldCharType="begin" w:fldLock="1"/>
            </w:r>
            <w:r w:rsidR="00560D05">
              <w:rPr>
                <w:lang w:eastAsia="fr-CH"/>
              </w:rPr>
              <w:instrText>ADDIN CSL_CITATION {"citationItems":[{"id":"ITEM-1","itemData":{"DOI":"10.1128/AAC.01581-09","ISSN":"00664804","PMID":"20585135","abstract":"The objectives of the present study were to determine the effects of multiple targeted interventions on the level of use of quinolones and the observed rates of resistance to quinolones in Escherichia coli isolates from hospitalized patients. A bundle consisting of four interventions to improve the use of quinolones was implemented. The outcome was measured from the monthly levels of use of intravenous (i.v.) and oral quinolones and the susceptibility patterns for E. coli isolates from hospitalized patients. Statistical analyses were performed using segmented regression analysis and segmented Poisson regression models. Before the bundle was implemented, the annual use of quinolones was 2.7 defined daily doses (DDDs)/100 patient days. After the interventions, in 2007, this was reduced to 1.7 DDDs/100 patient days. The first intervention, a switch from i.v. to oral medication, was associated with a stepwise reduction in i.v. quinolone use of 71 prescribed daily doses (PDDs) per month (95% confidence interval [CI] = 47 to 95 PDDs/month, P &lt; 0.001). Intervention 2, introduction of a new antibiotic guideline and education program, was associated with a stepwise reduction in the overall use of quinolones (reduction, 107 PDDs/month [95% CI = 58 to 156 PDDs/month). Before the interventions the quinolone resistance rate was increasing, on average, by 4.6% (95% CI = 2.6 to 6.1%) per year. This increase leveled off, which was associated with intervention 2 and intervention 4, active monitoring of prescriptions and feedback. Trends in resistance to other antimicrobial agents did not change. This study showed that the hospital-wide use of quinolones can be significantly reduced by an active policy consisting of multiple interventions. There was also a stepwise reduction in the rate of quinolone resistance associated with the bundle of interventions. Copyright © 2010, American Society for Microbiology. All Rights Reserved.","author":[{"dropping-particle":"","family":"Willemsen","given":"Ina","non-dropping-particle":"","parse-names":false,"suffix":""},{"dropping-particle":"","family":"Cooper","given":"Ben","non-dropping-particle":"","parse-names":false,"suffix":""},{"dropping-particle":"","family":"Buitenen","given":"Carin","non-dropping-particle":"Van","parse-names":false,"suffix":""},{"dropping-particle":"","family":"Winters","given":"Marjolein","non-dropping-particle":"","parse-names":false,"suffix":""},{"dropping-particle":"","family":"Andriesse","given":"Gunnar","non-dropping-particle":"","parse-names":false,"suffix":""},{"dropping-particle":"","family":"Kluytmans","given":"Jan","non-dropping-particle":"","parse-names":false,"suffix":""}],"container-title":"Antimicrobial Agents and Chemotherapy","id":"ITEM-1","issue":"9","issued":{"date-parts":[["2010"]]},"page":"3763-3769","title":"Improving quinolone use in hospitals by using a bundle of interventions in an interrupted time series analysis","type":"article-journal","volume":"54"},"uris":["http://www.mendeley.com/documents/?uuid=8ba66272-a7b5-460f-a4f8-6f8347cb1f1a"]}],"mendeley":{"formattedCitation":"(17)","plainTextFormattedCitation":"(17)","previouslyFormattedCitation":"(48)"},"properties":{"noteIndex":0},"schema":"https://github.com/citation-style-language/schema/raw/master/csl-citation.json"}</w:instrText>
            </w:r>
            <w:r w:rsidRPr="0074732C">
              <w:rPr>
                <w:lang w:val="fr-CH" w:eastAsia="fr-CH"/>
              </w:rPr>
              <w:fldChar w:fldCharType="separate"/>
            </w:r>
            <w:r w:rsidR="00560D05" w:rsidRPr="00560D05">
              <w:rPr>
                <w:noProof/>
                <w:lang w:eastAsia="fr-CH"/>
              </w:rPr>
              <w:t>(17)</w:t>
            </w:r>
            <w:r w:rsidRPr="0074732C">
              <w:rPr>
                <w:lang w:val="fr-CH" w:eastAsia="fr-CH"/>
              </w:rPr>
              <w:fldChar w:fldCharType="end"/>
            </w:r>
          </w:p>
        </w:tc>
      </w:tr>
      <w:tr w:rsidR="00770055" w14:paraId="6B04DD60"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EC1EF03" w14:textId="77777777" w:rsidR="00770055" w:rsidRDefault="00770055" w:rsidP="003F0E80"/>
        </w:tc>
        <w:tc>
          <w:tcPr>
            <w:tcW w:w="1843" w:type="dxa"/>
          </w:tcPr>
          <w:p w14:paraId="20FB3D01"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p>
        </w:tc>
        <w:tc>
          <w:tcPr>
            <w:tcW w:w="5245" w:type="dxa"/>
          </w:tcPr>
          <w:p w14:paraId="61600D07"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sidRPr="006B4BBD">
              <w:rPr>
                <w:bdr w:val="none" w:sz="0" w:space="0" w:color="auto" w:frame="1"/>
                <w:lang w:eastAsia="fr-CH"/>
              </w:rPr>
              <w:t>Sustainable funding</w:t>
            </w:r>
            <w:r>
              <w:rPr>
                <w:bdr w:val="none" w:sz="0" w:space="0" w:color="auto" w:frame="1"/>
                <w:lang w:eastAsia="fr-CH"/>
              </w:rPr>
              <w:t xml:space="preserve"> (success factor)</w:t>
            </w:r>
          </w:p>
          <w:p w14:paraId="3CE0B231" w14:textId="77777777" w:rsidR="00770055" w:rsidRPr="00737362" w:rsidRDefault="00770055" w:rsidP="003F0E80">
            <w:pPr>
              <w:cnfStyle w:val="000000100000" w:firstRow="0" w:lastRow="0" w:firstColumn="0" w:lastColumn="0" w:oddVBand="0" w:evenVBand="0" w:oddHBand="1" w:evenHBand="0" w:firstRowFirstColumn="0" w:firstRowLastColumn="0" w:lastRowFirstColumn="0" w:lastRowLastColumn="0"/>
              <w:rPr>
                <w:i/>
                <w:bdr w:val="none" w:sz="0" w:space="0" w:color="auto" w:frame="1"/>
                <w:lang w:eastAsia="fr-CH"/>
              </w:rPr>
            </w:pPr>
            <w:r w:rsidRPr="00737362">
              <w:rPr>
                <w:i/>
                <w:color w:val="808080" w:themeColor="background1" w:themeShade="80"/>
                <w:bdr w:val="none" w:sz="0" w:space="0" w:color="auto" w:frame="1"/>
                <w:lang w:eastAsia="fr-CH"/>
              </w:rPr>
              <w:t>Interventions were identified as costly and require a sustainable financial support to access data and maintain activities.</w:t>
            </w:r>
          </w:p>
        </w:tc>
        <w:tc>
          <w:tcPr>
            <w:tcW w:w="5635" w:type="dxa"/>
          </w:tcPr>
          <w:p w14:paraId="1320C3D1" w14:textId="77777777" w:rsidR="00770055" w:rsidRPr="0046537B" w:rsidRDefault="00770055" w:rsidP="003F0E80">
            <w:pPr>
              <w:cnfStyle w:val="000000100000" w:firstRow="0" w:lastRow="0" w:firstColumn="0" w:lastColumn="0" w:oddVBand="0" w:evenVBand="0" w:oddHBand="1" w:evenHBand="0" w:firstRowFirstColumn="0" w:firstRowLastColumn="0" w:lastRowFirstColumn="0" w:lastRowLastColumn="0"/>
            </w:pPr>
            <w:r>
              <w:rPr>
                <w:i/>
                <w:lang w:eastAsia="fr-CH"/>
              </w:rPr>
              <w:t>“</w:t>
            </w:r>
            <w:r w:rsidRPr="00AA46E3">
              <w:rPr>
                <w:i/>
                <w:lang w:eastAsia="fr-CH"/>
              </w:rPr>
              <w:t>A sustainable funding is required to allocate time for clinical experts to work closely with prescribers, including audit and feedback to achieve increased adherence to guidelines. A mandate and financial support</w:t>
            </w:r>
            <w:r>
              <w:rPr>
                <w:i/>
                <w:lang w:eastAsia="fr-CH"/>
              </w:rPr>
              <w:t xml:space="preserve"> </w:t>
            </w:r>
            <w:r w:rsidRPr="00AA46E3">
              <w:rPr>
                <w:i/>
                <w:lang w:eastAsia="fr-CH"/>
              </w:rPr>
              <w:t>from the government is needed, as illustrated by the first five years in which the programme lacked funding and was threatened with closure.</w:t>
            </w:r>
            <w:r>
              <w:rPr>
                <w:i/>
                <w:lang w:eastAsia="fr-CH"/>
              </w:rPr>
              <w:t>”</w:t>
            </w:r>
            <w:r>
              <w:rPr>
                <w:lang w:eastAsia="fr-CH"/>
              </w:rPr>
              <w:t xml:space="preserve"> </w:t>
            </w:r>
            <w:r>
              <w:rPr>
                <w:lang w:eastAsia="fr-CH"/>
              </w:rPr>
              <w:fldChar w:fldCharType="begin" w:fldLock="1"/>
            </w:r>
            <w:r w:rsidR="00560D05">
              <w:rPr>
                <w:lang w:eastAsia="fr-CH"/>
              </w:rPr>
              <w:instrText>ADDIN CSL_CITATION {"citationItems":[{"id":"ITEM-1","itemData":{"DOI":"10.2471/BLT.16.184374","abstract":"Increasing use of antibiotics and rising levels of bacterial resistance to antibiotics are a challenge to global health and development. Successful initiatives for containing the problem need to be communicated and disseminated. In Sweden, a rapid spread of resistant pneumococci in the southern part of the country triggered the formation of the Swedish strategic programme against antibiotic resistance, also known as Strama, in 1995. The creation of the programme was an important starting point for long-term coordinated efforts to tackle antibiotic resistance in the country. This paper describes the main strategies of the programme: committed work at the local and national levels; monitoring of antibiotic use for informed decision-making; a national target for antibiotic prescriptions; surveillance of antibiotic resistance for local, national and global action; tracking resistance trends; infection control to limit spread of resistance; and communication to raise awareness for action and behavioural change. A key element for achieving long-term changes has been the bottom-up approach, including working closely with prescribers at the local level. The work described here and the lessons learnt could inform countries implementing their own national action plans against antibiotic resistance","author":[{"dropping-particle":"","family":"Mölstad","given":"S","non-dropping-particle":"","parse-names":false,"suffix":""},{"dropping-particle":"","family":"Löfmark","given":"S","non-dropping-particle":"","parse-names":false,"suffix":""},{"dropping-particle":"","family":"Carlin","given":"K","non-dropping-particle":"","parse-names":false,"suffix":""},{"dropping-particle":"","family":"Erntell","given":"M","non-dropping-particle":"","parse-names":false,"suffix":""},{"dropping-particle":"","family":"Aspevall","given":"O","non-dropping-particle":"","parse-names":false,"suffix":""},{"dropping-particle":"","family":"Blad","given":"L","non-dropping-particle":"","parse-names":false,"suffix":""},{"dropping-particle":"","family":"Hanberger","given":"H","non-dropping-particle":"","parse-names":false,"suffix":""},{"dropping-particle":"","family":"Hedin","given":"K","non-dropping-particle":"","parse-names":false,"suffix":""},{"dropping-particle":"","family":"Hellman","given":"J","non-dropping-particle":"","parse-names":false,"suffix":""},{"dropping-particle":"","family":"Norman","given":"C","non-dropping-particle":"","parse-names":false,"suffix":""},{"dropping-particle":"","family":"Skoog","given":"G","non-dropping-particle":"","parse-names":false,"suffix":""},{"dropping-particle":"","family":"Stålsby-Lundborg","given":"C","non-dropping-particle":"","parse-names":false,"suffix":""},{"dropping-particle":"","family":"Tegmark Wisell","given":"K","non-dropping-particle":"","parse-names":false,"suffix":""},{"dropping-particle":"","family":"Åhréni","given":"C","non-dropping-particle":"","parse-names":false,"suffix":""},{"dropping-particle":"","family":"Cars","given":"O","non-dropping-particle":"","parse-names":false,"suffix":""}],"container-title":"Bulletin of the World Health Organization","id":"ITEM-1","issue":"11","issued":{"date-parts":[["2017"]]},"note":"cited By 3","page":"764-773","title":"Lessons learnt during 20 years of the swedish strategic programme against antibiotic resistance [Programme stratégique suédois contre la résistance aux antibiotiques - 20 années d’enseignements]","type":"article-journal","volume":"95"},"uris":["http://www.mendeley.com/documents/?uuid=d1e9cfbc-29b3-47b8-b365-0623e3ec8ba4"]}],"mendeley":{"formattedCitation":"(16)","plainTextFormattedCitation":"(16)","previouslyFormattedCitation":"(59)"},"properties":{"noteIndex":0},"schema":"https://github.com/citation-style-language/schema/raw/master/csl-citation.json"}</w:instrText>
            </w:r>
            <w:r>
              <w:rPr>
                <w:lang w:eastAsia="fr-CH"/>
              </w:rPr>
              <w:fldChar w:fldCharType="separate"/>
            </w:r>
            <w:r w:rsidR="00560D05" w:rsidRPr="00560D05">
              <w:rPr>
                <w:noProof/>
                <w:lang w:eastAsia="fr-CH"/>
              </w:rPr>
              <w:t>(16)</w:t>
            </w:r>
            <w:r>
              <w:rPr>
                <w:lang w:eastAsia="fr-CH"/>
              </w:rPr>
              <w:fldChar w:fldCharType="end"/>
            </w:r>
          </w:p>
        </w:tc>
      </w:tr>
      <w:tr w:rsidR="00770055" w14:paraId="7049A3E4" w14:textId="77777777" w:rsidTr="003F0E80">
        <w:tc>
          <w:tcPr>
            <w:cnfStyle w:val="001000000000" w:firstRow="0" w:lastRow="0" w:firstColumn="1" w:lastColumn="0" w:oddVBand="0" w:evenVBand="0" w:oddHBand="0" w:evenHBand="0" w:firstRowFirstColumn="0" w:firstRowLastColumn="0" w:lastRowFirstColumn="0" w:lastRowLastColumn="0"/>
            <w:tcW w:w="1554" w:type="dxa"/>
          </w:tcPr>
          <w:p w14:paraId="34AD8B69" w14:textId="77777777" w:rsidR="00770055" w:rsidRDefault="00770055" w:rsidP="003F0E80"/>
        </w:tc>
        <w:tc>
          <w:tcPr>
            <w:tcW w:w="1843" w:type="dxa"/>
          </w:tcPr>
          <w:p w14:paraId="00CA0567" w14:textId="77777777" w:rsidR="00770055" w:rsidRPr="00F3135D"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p>
        </w:tc>
        <w:tc>
          <w:tcPr>
            <w:tcW w:w="5245" w:type="dxa"/>
          </w:tcPr>
          <w:p w14:paraId="613DF41E" w14:textId="77777777" w:rsidR="00770055" w:rsidRDefault="00770055" w:rsidP="003F0E80">
            <w:pPr>
              <w:cnfStyle w:val="000000000000" w:firstRow="0" w:lastRow="0" w:firstColumn="0" w:lastColumn="0" w:oddVBand="0" w:evenVBand="0" w:oddHBand="0" w:evenHBand="0" w:firstRowFirstColumn="0" w:firstRowLastColumn="0" w:lastRowFirstColumn="0" w:lastRowLastColumn="0"/>
              <w:rPr>
                <w:bdr w:val="none" w:sz="0" w:space="0" w:color="auto" w:frame="1"/>
              </w:rPr>
            </w:pPr>
            <w:r w:rsidRPr="009854E4">
              <w:rPr>
                <w:bdr w:val="none" w:sz="0" w:space="0" w:color="auto" w:frame="1"/>
              </w:rPr>
              <w:t>Direct and st</w:t>
            </w:r>
            <w:r>
              <w:rPr>
                <w:bdr w:val="none" w:sz="0" w:space="0" w:color="auto" w:frame="1"/>
              </w:rPr>
              <w:t>rong support from the hierarchy. (success factor)</w:t>
            </w:r>
          </w:p>
          <w:p w14:paraId="20CB097B" w14:textId="77777777" w:rsidR="00770055" w:rsidRPr="00B803EE" w:rsidRDefault="00770055" w:rsidP="003F0E80">
            <w:pPr>
              <w:cnfStyle w:val="000000000000" w:firstRow="0" w:lastRow="0" w:firstColumn="0" w:lastColumn="0" w:oddVBand="0" w:evenVBand="0" w:oddHBand="0" w:evenHBand="0" w:firstRowFirstColumn="0" w:firstRowLastColumn="0" w:lastRowFirstColumn="0" w:lastRowLastColumn="0"/>
              <w:rPr>
                <w:i/>
              </w:rPr>
            </w:pPr>
            <w:r w:rsidRPr="00B803EE">
              <w:rPr>
                <w:i/>
                <w:color w:val="808080" w:themeColor="background1" w:themeShade="80"/>
              </w:rPr>
              <w:t>D</w:t>
            </w:r>
            <w:r w:rsidRPr="00B803EE">
              <w:rPr>
                <w:i/>
                <w:color w:val="808080" w:themeColor="background1" w:themeShade="80"/>
                <w:bdr w:val="none" w:sz="0" w:space="0" w:color="auto" w:frame="1"/>
                <w:lang w:eastAsia="fr-CH"/>
              </w:rPr>
              <w:t>irect and strong support from the hierarchy was mentioned as a factor to enhance success of the intervention by providing leadership and support. Assigning clear responsibilities for the intervention can also contributed to successful intervention implementation.</w:t>
            </w:r>
          </w:p>
        </w:tc>
        <w:tc>
          <w:tcPr>
            <w:tcW w:w="5635" w:type="dxa"/>
          </w:tcPr>
          <w:p w14:paraId="283765D0" w14:textId="77777777" w:rsidR="00770055" w:rsidRPr="00EE6B15" w:rsidRDefault="00770055" w:rsidP="003F0E80">
            <w:pPr>
              <w:cnfStyle w:val="000000000000" w:firstRow="0" w:lastRow="0" w:firstColumn="0" w:lastColumn="0" w:oddVBand="0" w:evenVBand="0" w:oddHBand="0" w:evenHBand="0" w:firstRowFirstColumn="0" w:firstRowLastColumn="0" w:lastRowFirstColumn="0" w:lastRowLastColumn="0"/>
            </w:pPr>
            <w:r>
              <w:rPr>
                <w:i/>
              </w:rPr>
              <w:t>“</w:t>
            </w:r>
            <w:r w:rsidRPr="009854E4">
              <w:rPr>
                <w:i/>
              </w:rPr>
              <w:t>Implementation had the support of the heads of both departments.</w:t>
            </w:r>
            <w:r>
              <w:rPr>
                <w:i/>
              </w:rPr>
              <w:t>”</w:t>
            </w:r>
            <w:r w:rsidRPr="009854E4">
              <w:t xml:space="preserve"> </w:t>
            </w:r>
            <w:r w:rsidRPr="0074732C">
              <w:rPr>
                <w:lang w:val="fr-CH" w:eastAsia="fr-CH"/>
              </w:rPr>
              <w:fldChar w:fldCharType="begin" w:fldLock="1"/>
            </w:r>
            <w:r w:rsidR="00560D05">
              <w:instrText>ADDIN CSL_CITATION {"citationItems":[{"id":"ITEM-1","itemData":{"DOI":"10.1007/s00134-008-1355-6","ISSN":"03424642","PMID":"19034426","abstract":"Objective: To test whether a reduction of third generation cephalosporin (3GC) use has a sustainable positive impact on the high endemic prevalence of 3GC resistant K. pneumoniae and E. coli. Design: Segmented regression analysis of interrupted time series was used to analyse antibiotic consumption and resistance data 30 months before and 30 after the intervention. Setting: Surgical intensive care unit (ICU) with 16-bed unit in a teaching hospital. Intervention: In July 2004, 3GCs were switched to piperacillin in combination with a β-lactamase-inhibitor as standard therapy for peritonitis and other intraabdominal infections. Results: Segmented regression analysis showed that the intervention achieved a significant and sustainable decrease in the use of 3GCs of -110.2 daily defined doses (DDD)/1,000 pd. 3GC use decreased from a level of 178.9 DDD/1,000 pd before to 68.7 DDD/1,000 pd after the intervention. The intervention resulted in a mean estimated reduction in total antibiotic use of 27%. Piperacillin/tazobactam showed a significant increase in level of 64.4 DDD/1,000 pd, and continued to increase by 2.3 DDD/1,000 pd per month after the intervention. The intervention was not associated with a significant change in the resistance densities of 3GC resistant K. pneumoniae and E. coli. Conclusion: Reducing 3GCs does not necessarily impact positively on the resistance situation in the ICU setting. Likewise, replacing piperacillin with β-lactamase inhibitor might provide a selection pressure on 3GC resistant E. coli and K. pneumoniae. To improve resistance, it might not be sufficient to restrict interventions to a risk area. © 2008 Springer-Verlag.","author":[{"dropping-particle":"","family":"Meyer","given":"Elisabeth","non-dropping-particle":"","parse-names":false,"suffix":""},{"dropping-particle":"","family":"Lapatschek","given":"Matthias","non-dropping-particle":"","parse-names":false,"suffix":""},{"dropping-particle":"","family":"Bechtold","given":"Andreas","non-dropping-particle":"","parse-names":false,"suffix":""},{"dropping-particle":"","family":"Schwarzkopf","given":"Gerhard","non-dropping-particle":"","parse-names":false,"suffix":""},{"dropping-particle":"","family":"Gastmeier","given":"Petra","non-dropping-particle":"","parse-names":false,"suffix":""},{"dropping-particle":"","family":"Schwab","given":"Frank","non-dropping-particle":"","parse-names":false,"suffix":""}],"container-title":"Intensive Care Medicine","id":"ITEM-1","issue":"5","issued":{"date-parts":[["2009"]]},"page":"862-870","title":"Impact of restriction of third generation cephalosporins on the burden of third generation cephalosporin resistant K. pneumoniae and E. coli in an ICU","type":"article-journal","volume":"35"},"uris":["http://www.mendeley.com/documents/?uuid=b4f24220-9c6b-4e32-a609-739714a11095"]}],"mendeley":{"formattedCitation":"(18)","plainTextFormattedCitation":"(18)","previouslyFormattedCitation":"(47)"},"properties":{"noteIndex":0},"schema":"https://github.com/citation-style-language/schema/raw/master/csl-citation.json"}</w:instrText>
            </w:r>
            <w:r w:rsidRPr="0074732C">
              <w:rPr>
                <w:lang w:val="fr-CH" w:eastAsia="fr-CH"/>
              </w:rPr>
              <w:fldChar w:fldCharType="separate"/>
            </w:r>
            <w:r w:rsidR="00560D05" w:rsidRPr="00560D05">
              <w:rPr>
                <w:noProof/>
                <w:lang w:eastAsia="fr-CH"/>
              </w:rPr>
              <w:t>(18)</w:t>
            </w:r>
            <w:r w:rsidRPr="0074732C">
              <w:rPr>
                <w:lang w:val="fr-CH" w:eastAsia="fr-CH"/>
              </w:rPr>
              <w:fldChar w:fldCharType="end"/>
            </w:r>
          </w:p>
        </w:tc>
      </w:tr>
      <w:tr w:rsidR="00770055" w14:paraId="2457F986" w14:textId="77777777" w:rsidTr="003F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54215F08" w14:textId="77777777" w:rsidR="00770055" w:rsidRDefault="00770055" w:rsidP="003F0E80"/>
        </w:tc>
        <w:tc>
          <w:tcPr>
            <w:tcW w:w="1843" w:type="dxa"/>
          </w:tcPr>
          <w:p w14:paraId="1F47A3D4" w14:textId="77777777" w:rsidR="00770055" w:rsidRPr="00F3135D" w:rsidRDefault="00770055" w:rsidP="003F0E80">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sidRPr="00F3135D">
              <w:rPr>
                <w:bCs/>
                <w:bdr w:val="none" w:sz="0" w:space="0" w:color="auto" w:frame="1"/>
                <w:lang w:eastAsia="fr-CH"/>
              </w:rPr>
              <w:t>Threshold for intervention effectiveness.</w:t>
            </w:r>
          </w:p>
        </w:tc>
        <w:tc>
          <w:tcPr>
            <w:tcW w:w="5245" w:type="dxa"/>
          </w:tcPr>
          <w:p w14:paraId="1A64C167" w14:textId="77777777" w:rsidR="00770055" w:rsidRDefault="00770055" w:rsidP="003F0E80">
            <w:pPr>
              <w:cnfStyle w:val="000000100000" w:firstRow="0" w:lastRow="0" w:firstColumn="0" w:lastColumn="0" w:oddVBand="0" w:evenVBand="0" w:oddHBand="1" w:evenHBand="0" w:firstRowFirstColumn="0" w:firstRowLastColumn="0" w:lastRowFirstColumn="0" w:lastRowLastColumn="0"/>
              <w:rPr>
                <w:b/>
                <w:bCs/>
                <w:bdr w:val="none" w:sz="0" w:space="0" w:color="auto" w:frame="1"/>
                <w:lang w:eastAsia="fr-CH"/>
              </w:rPr>
            </w:pPr>
            <w:r w:rsidRPr="00D92B66">
              <w:rPr>
                <w:bdr w:val="none" w:sz="0" w:space="0" w:color="auto" w:frame="1"/>
                <w:lang w:eastAsia="fr-CH"/>
              </w:rPr>
              <w:t>Reached the limits of effectiveness</w:t>
            </w:r>
            <w:r>
              <w:rPr>
                <w:bdr w:val="none" w:sz="0" w:space="0" w:color="auto" w:frame="1"/>
                <w:lang w:eastAsia="fr-CH"/>
              </w:rPr>
              <w:t xml:space="preserve"> (failure factor)</w:t>
            </w:r>
          </w:p>
          <w:p w14:paraId="265C478A" w14:textId="77777777" w:rsidR="00770055" w:rsidRPr="00737362" w:rsidRDefault="00770055" w:rsidP="003F0E80">
            <w:pPr>
              <w:cnfStyle w:val="000000100000" w:firstRow="0" w:lastRow="0" w:firstColumn="0" w:lastColumn="0" w:oddVBand="0" w:evenVBand="0" w:oddHBand="1" w:evenHBand="0" w:firstRowFirstColumn="0" w:firstRowLastColumn="0" w:lastRowFirstColumn="0" w:lastRowLastColumn="0"/>
              <w:rPr>
                <w:bCs/>
                <w:i/>
                <w:bdr w:val="none" w:sz="0" w:space="0" w:color="auto" w:frame="1"/>
                <w:lang w:eastAsia="fr-CH"/>
              </w:rPr>
            </w:pPr>
            <w:r w:rsidRPr="00737362">
              <w:rPr>
                <w:bCs/>
                <w:i/>
                <w:color w:val="808080" w:themeColor="background1" w:themeShade="80"/>
                <w:bdr w:val="none" w:sz="0" w:space="0" w:color="auto" w:frame="1"/>
                <w:lang w:eastAsia="fr-CH"/>
              </w:rPr>
              <w:t xml:space="preserve">Threshold for intervention effectiveness reached </w:t>
            </w:r>
            <w:r w:rsidRPr="00737362">
              <w:rPr>
                <w:i/>
                <w:color w:val="808080" w:themeColor="background1" w:themeShade="80"/>
                <w:bdr w:val="none" w:sz="0" w:space="0" w:color="auto" w:frame="1"/>
                <w:lang w:eastAsia="fr-CH"/>
              </w:rPr>
              <w:t>was identified as one publication mentioned that the intervention implemented in the country could have reached the limits of effectiveness. Indeed they think that the reduction of AMU, limitation of AMR prevalence or any other factors that could enhance the fight against AMR might be limited by the currently feasible action in the current system.</w:t>
            </w:r>
          </w:p>
        </w:tc>
        <w:tc>
          <w:tcPr>
            <w:tcW w:w="5635" w:type="dxa"/>
          </w:tcPr>
          <w:p w14:paraId="3D3138AC" w14:textId="77777777" w:rsidR="00770055" w:rsidRPr="00EE6B15" w:rsidRDefault="00770055" w:rsidP="003F0E80">
            <w:pPr>
              <w:cnfStyle w:val="000000100000" w:firstRow="0" w:lastRow="0" w:firstColumn="0" w:lastColumn="0" w:oddVBand="0" w:evenVBand="0" w:oddHBand="1" w:evenHBand="0" w:firstRowFirstColumn="0" w:firstRowLastColumn="0" w:lastRowFirstColumn="0" w:lastRowLastColumn="0"/>
            </w:pPr>
            <w:r>
              <w:rPr>
                <w:i/>
                <w:lang w:eastAsia="fr-CH"/>
              </w:rPr>
              <w:t>“</w:t>
            </w:r>
            <w:r w:rsidRPr="00A55ACA">
              <w:rPr>
                <w:i/>
                <w:lang w:eastAsia="fr-CH"/>
              </w:rPr>
              <w:t>We believe that audits and intensification of all previous activities have reached their limits of effectiveness, and new activities are needed to further enhance the appropriate use of antibiotics.</w:t>
            </w:r>
            <w:r>
              <w:rPr>
                <w:i/>
                <w:lang w:eastAsia="fr-CH"/>
              </w:rPr>
              <w:t>”</w:t>
            </w:r>
            <w:r>
              <w:rPr>
                <w:lang w:eastAsia="fr-CH"/>
              </w:rPr>
              <w:t xml:space="preserve"> </w:t>
            </w:r>
            <w:r w:rsidRPr="0074732C">
              <w:rPr>
                <w:lang w:eastAsia="fr-CH"/>
              </w:rPr>
              <w:fldChar w:fldCharType="begin" w:fldLock="1"/>
            </w:r>
            <w:r w:rsidR="00560D05">
              <w:rPr>
                <w:lang w:eastAsia="fr-CH"/>
              </w:rPr>
              <w:instrText>ADDIN CSL_CITATION {"citationItems":[{"id":"ITEM-1","itemData":{"DOI":"10.1586/14787210.2015.990381","ISSN":"17448336","abstract":"Introduction: Rising antibiotic resistance has become an increasing public health problem. There is a well-established correlation between antibiotic consumption and antimicrobial resistance. Consequently, measures to rationalize the prescribing of antibiotics should reduce the resistant strains. Following a 24% increase in antibiotic consumption at the end of the 1990s, multiple activities were designed and introduced by the Health Insurance Institute of Slovenia (ZZZS) and other organizations in Slovenia at the end of 1999. These activities reduced the antibiotic consumption by 18.7% by 2002. These measures have continued. Objective: To study changes in antibiotic utilization from 1995 to 2012 alongside the multiple interventions and their consequences, including changes in resistance patterns. Methods: This was a retrospective observational study involving all patients dispensed at least one ZZZS prescription for an antibiotic in Slovenia. Utilization was expressed in defined daily doses per thousand inhabitants per day. Multifaceted interventions were conducted over time involving all key stakeholder groups, that is, the Ministry of Health, ZZZS, physician groups and patients. These included comprehensive communication programs as well as prescribing restrictions for a number of antibiotics and classes. Results: From 1999 to 2012, antibiotic consumption decreased by 2-9% per year, with an overall decrease of 31%. There were also appreciable structural changes. Overall antibiotic utilization and the utilization of 7 out of 10 antibiotics significantly decreased after multiple interventions. The resistance of Streptococcus pneumoniae to penicillin decreased in line with decreased utilization. However, its resistance to macrolides increased from 5.4 to 21% despite halving of its utilization. The resistance of Escherichia coli to fluoroquinolones doubled from 10 to 21% despite utilization decreasing by a third. Expenditures on antibiotics decreased by 53%. Conclusion: Multiple demand-side measures introduced following increased utilization significantly decreased subsequent antibiotic utilization and associated costs. However, there was variable impact on antibiotic resistance. Additional targeted activities are planned to further reduce antibiotic prescribing and resistance.","author":[{"dropping-particle":"","family":"Fürst","given":"Jurij","non-dropping-particle":"","parse-names":false,"suffix":""},{"dropping-particle":"","family":"Čižman","given":"Milan","non-dropping-particle":"","parse-names":false,"suffix":""},{"dropping-particle":"","family":"Mrak","given":"Jana","non-dropping-particle":"","parse-names":false,"suffix":""},{"dropping-particle":"","family":"Kos","given":"Damjan","non-dropping-particle":"","parse-names":false,"suffix":""},{"dropping-particle":"","family":"Campbell","given":"Stephen","non-dropping-particle":"","parse-names":false,"suffix":""},{"dropping-particle":"","family":"Coenen","given":"Samuel","non-dropping-particle":"","parse-names":false,"suffix":""},{"dropping-particle":"","family":"Gustafsson","given":"Lars L.","non-dropping-particle":"","parse-names":false,"suffix":""},{"dropping-particle":"","family":"Fürst","given":"Luka","non-dropping-particle":"","parse-names":false,"suffix":""},{"dropping-particle":"","family":"Godman","given":"Brian","non-dropping-particle":"","parse-names":false,"suffix":""}],"container-title":"Expert Review of Anti-Infective Therapy","id":"ITEM-1","issue":"2","issued":{"date-parts":[["2015"]]},"page":"279-289","title":"The influence of a sustained multifaceted approach to improve antibiotic prescribing in Slovenia during the past decade: Findings and implications","type":"article-journal","volume":"13"},"uris":["http://www.mendeley.com/documents/?uuid=77d25099-c863-49e2-8f95-214a94f1be53"]}],"mendeley":{"formattedCitation":"(10)","plainTextFormattedCitation":"(10)","previouslyFormattedCitation":"(9)"},"properties":{"noteIndex":0},"schema":"https://github.com/citation-style-language/schema/raw/master/csl-citation.json"}</w:instrText>
            </w:r>
            <w:r w:rsidRPr="0074732C">
              <w:rPr>
                <w:lang w:eastAsia="fr-CH"/>
              </w:rPr>
              <w:fldChar w:fldCharType="separate"/>
            </w:r>
            <w:r w:rsidR="00560D05" w:rsidRPr="00560D05">
              <w:rPr>
                <w:noProof/>
                <w:lang w:eastAsia="fr-CH"/>
              </w:rPr>
              <w:t>(10)</w:t>
            </w:r>
            <w:r w:rsidRPr="0074732C">
              <w:rPr>
                <w:lang w:eastAsia="fr-CH"/>
              </w:rPr>
              <w:fldChar w:fldCharType="end"/>
            </w:r>
          </w:p>
        </w:tc>
      </w:tr>
    </w:tbl>
    <w:p w14:paraId="5E0C57C1" w14:textId="77777777" w:rsidR="00770055" w:rsidRDefault="00770055" w:rsidP="00770055"/>
    <w:p w14:paraId="1A8F6B4C"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Pr="00560D05">
        <w:rPr>
          <w:rFonts w:ascii="Calibri" w:hAnsi="Calibri" w:cs="Calibri"/>
          <w:noProof/>
          <w:szCs w:val="24"/>
        </w:rPr>
        <w:t xml:space="preserve">1. </w:t>
      </w:r>
      <w:r w:rsidRPr="00560D05">
        <w:rPr>
          <w:rFonts w:ascii="Calibri" w:hAnsi="Calibri" w:cs="Calibri"/>
          <w:noProof/>
          <w:szCs w:val="24"/>
        </w:rPr>
        <w:tab/>
        <w:t xml:space="preserve">Damschroder LJ, Aron DC, Keith RE, Kirsh SR, Alexander JA, Lowery JC. Fostering implementation of health services research findings into practice: a consolidated framework for advancing implementation science. Implement Sci. 2009;4(1):1–15. </w:t>
      </w:r>
    </w:p>
    <w:p w14:paraId="0B13F078"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2. </w:t>
      </w:r>
      <w:r w:rsidRPr="00560D05">
        <w:rPr>
          <w:rFonts w:ascii="Calibri" w:hAnsi="Calibri" w:cs="Calibri"/>
          <w:noProof/>
          <w:szCs w:val="24"/>
        </w:rPr>
        <w:tab/>
        <w:t xml:space="preserve">Hammerum AM, Heuer OE, Emborg HD, Bagger-Skjøt L, Jensen VF, Rogues AM, et al. Danish integrated antimicrobial resistance monitoring and research program. Emerg Infect Dis. 2007;13(11):1632–9. </w:t>
      </w:r>
    </w:p>
    <w:p w14:paraId="16FCE55E"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3. </w:t>
      </w:r>
      <w:r w:rsidRPr="00560D05">
        <w:rPr>
          <w:rFonts w:ascii="Calibri" w:hAnsi="Calibri" w:cs="Calibri"/>
          <w:noProof/>
          <w:szCs w:val="24"/>
        </w:rPr>
        <w:tab/>
        <w:t xml:space="preserve">Kadykalo S V, Anderson MEC, Alsop JE. Passive surveillance of antimicrobial resistance in Salmonella and Escherichia coli isolates from Ontario livestock, 2007-2015. Can Vet J = La Rev Vet Can. 2018 Jun;59(6):617–22. </w:t>
      </w:r>
    </w:p>
    <w:p w14:paraId="7EF7FC58"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4. </w:t>
      </w:r>
      <w:r w:rsidRPr="00560D05">
        <w:rPr>
          <w:rFonts w:ascii="Calibri" w:hAnsi="Calibri" w:cs="Calibri"/>
          <w:noProof/>
          <w:szCs w:val="24"/>
        </w:rPr>
        <w:tab/>
        <w:t xml:space="preserve">Meyer E, Jonas D, Schwab F, Rueden H, Gastmeier P, Daschner FD. Design of a surveillance system of antibiotic use and bacterial resistance in German intensive care units (SARI). Infection. 2003;31(4):208–15. </w:t>
      </w:r>
    </w:p>
    <w:p w14:paraId="0A98BAD3"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5. </w:t>
      </w:r>
      <w:r w:rsidRPr="00560D05">
        <w:rPr>
          <w:rFonts w:ascii="Calibri" w:hAnsi="Calibri" w:cs="Calibri"/>
          <w:noProof/>
          <w:szCs w:val="24"/>
        </w:rPr>
        <w:tab/>
        <w:t xml:space="preserve">de Jong A, Garch F El, Simjee S, Moyaert H, Rose M, Youala M, et al. Monitoring of antimicrobial susceptibility of udder pathogens recovered from cases of clinical mastitis in dairy cows across Europe: VetPath results. Vet Microbiol. 2018 Jan;213:73–81. </w:t>
      </w:r>
    </w:p>
    <w:p w14:paraId="2043F810"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6. </w:t>
      </w:r>
      <w:r w:rsidRPr="00560D05">
        <w:rPr>
          <w:rFonts w:ascii="Calibri" w:hAnsi="Calibri" w:cs="Calibri"/>
          <w:noProof/>
          <w:szCs w:val="24"/>
        </w:rPr>
        <w:tab/>
        <w:t xml:space="preserve">Altunsoy A, Aypak C, Azap A, Ergönül Ö, Balik I. The impact of a nationwide antibiotic restriction program on antibiotic usage and resistance against nosocomial pathogens in Turkey. Int J Med Sci. 2011;8(4):339–44. </w:t>
      </w:r>
    </w:p>
    <w:p w14:paraId="6A903542"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7. </w:t>
      </w:r>
      <w:r w:rsidRPr="00560D05">
        <w:rPr>
          <w:rFonts w:ascii="Calibri" w:hAnsi="Calibri" w:cs="Calibri"/>
          <w:noProof/>
          <w:szCs w:val="24"/>
        </w:rPr>
        <w:tab/>
        <w:t xml:space="preserve">Zou YM, Ma Y, Liu JH, Shi J, Fan T, Shan YY, et al. Trends and correlation of antibacterial usage and bacterial resistance: time series analysis for </w:t>
      </w:r>
      <w:r w:rsidRPr="00560D05">
        <w:rPr>
          <w:rFonts w:ascii="Calibri" w:hAnsi="Calibri" w:cs="Calibri"/>
          <w:noProof/>
          <w:szCs w:val="24"/>
        </w:rPr>
        <w:lastRenderedPageBreak/>
        <w:t xml:space="preserve">antibacterial stewardship in a Chinese teaching hospital (2009–2013). Eur J Clin Microbiol Infect Dis. 2015;34(4):795–803. </w:t>
      </w:r>
    </w:p>
    <w:p w14:paraId="39580EB3"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8. </w:t>
      </w:r>
      <w:r w:rsidRPr="00560D05">
        <w:rPr>
          <w:rFonts w:ascii="Calibri" w:hAnsi="Calibri" w:cs="Calibri"/>
          <w:noProof/>
          <w:szCs w:val="24"/>
        </w:rPr>
        <w:tab/>
        <w:t xml:space="preserve">Karp BE, Tate H, Plumblee JR, Dessai U, Whichard JM, Thacker EL, et al. National Antimicrobial Resistance Monitoring System: Two Decades of Advancing Public Health Through Integrated Surveillance of Antimicrobial Resistance. Foodborne Pathog Dis. 2017 Oct;14(10):545–57. </w:t>
      </w:r>
    </w:p>
    <w:p w14:paraId="0238CE2F"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9. </w:t>
      </w:r>
      <w:r w:rsidRPr="00560D05">
        <w:rPr>
          <w:rFonts w:ascii="Calibri" w:hAnsi="Calibri" w:cs="Calibri"/>
          <w:noProof/>
          <w:szCs w:val="24"/>
        </w:rPr>
        <w:tab/>
        <w:t xml:space="preserve">Rhomberg PR, Deshpande LM, Kirby JT, Jones RN. Activity of meropenem as serine carbapenemases evolve in US Medical Centers: monitoring report from the MYSTIC Program (2006). Diagn Microbiol Infect Dis. 2007;59(4):425–32. </w:t>
      </w:r>
    </w:p>
    <w:p w14:paraId="584A9CCA"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10. </w:t>
      </w:r>
      <w:r w:rsidRPr="00560D05">
        <w:rPr>
          <w:rFonts w:ascii="Calibri" w:hAnsi="Calibri" w:cs="Calibri"/>
          <w:noProof/>
          <w:szCs w:val="24"/>
        </w:rPr>
        <w:tab/>
        <w:t xml:space="preserve">Fürst J, Čižman M, Mrak J, Kos D, Campbell S, Coenen S, et al. The influence of a sustained multifaceted approach to improve antibiotic prescribing in Slovenia during the past decade: Findings and implications. Expert Rev Anti Infect Ther. 2015;13(2):279–89. </w:t>
      </w:r>
    </w:p>
    <w:p w14:paraId="416DE8AC"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11. </w:t>
      </w:r>
      <w:r w:rsidRPr="00560D05">
        <w:rPr>
          <w:rFonts w:ascii="Calibri" w:hAnsi="Calibri" w:cs="Calibri"/>
          <w:noProof/>
          <w:szCs w:val="24"/>
        </w:rPr>
        <w:tab/>
        <w:t>Rummukainen ML, Jakobsson A, Matsinen M, Järvenpää S, Nissinen A, Karppi P, et al. Reduction in inappropriate prevention of urinary tract infections in long-term care facilities. Am J Infect Control [Internet]. 2012;40(8):711–4. Available from: http://dx.doi.org/10.1016/j.ajic.2011.09.013</w:t>
      </w:r>
    </w:p>
    <w:p w14:paraId="3083DF8F" w14:textId="77777777" w:rsidR="00560D05" w:rsidRPr="00357CC8" w:rsidRDefault="00560D05" w:rsidP="00560D05">
      <w:pPr>
        <w:widowControl w:val="0"/>
        <w:autoSpaceDE w:val="0"/>
        <w:autoSpaceDN w:val="0"/>
        <w:adjustRightInd w:val="0"/>
        <w:ind w:left="640" w:hanging="640"/>
        <w:rPr>
          <w:rFonts w:ascii="Calibri" w:hAnsi="Calibri" w:cs="Calibri"/>
          <w:noProof/>
          <w:szCs w:val="24"/>
          <w:lang w:val="fr-CH"/>
        </w:rPr>
      </w:pPr>
      <w:r w:rsidRPr="00560D05">
        <w:rPr>
          <w:rFonts w:ascii="Calibri" w:hAnsi="Calibri" w:cs="Calibri"/>
          <w:noProof/>
          <w:szCs w:val="24"/>
        </w:rPr>
        <w:t xml:space="preserve">12. </w:t>
      </w:r>
      <w:r w:rsidRPr="00560D05">
        <w:rPr>
          <w:rFonts w:ascii="Calibri" w:hAnsi="Calibri" w:cs="Calibri"/>
          <w:noProof/>
          <w:szCs w:val="24"/>
        </w:rPr>
        <w:tab/>
        <w:t xml:space="preserve">Jones RN, Mendes C, Turner PJ, Masterton R. An overview of the Meropenem Yearly Susceptibility Test Information Collection (MYSTIC) Program: 1997-2004. </w:t>
      </w:r>
      <w:r w:rsidRPr="00357CC8">
        <w:rPr>
          <w:rFonts w:ascii="Calibri" w:hAnsi="Calibri" w:cs="Calibri"/>
          <w:noProof/>
          <w:szCs w:val="24"/>
          <w:lang w:val="fr-CH"/>
        </w:rPr>
        <w:t xml:space="preserve">Diagn Microbiol Infect Dis. 2005;53(4):247–56. </w:t>
      </w:r>
    </w:p>
    <w:p w14:paraId="4E2438F4"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357CC8">
        <w:rPr>
          <w:rFonts w:ascii="Calibri" w:hAnsi="Calibri" w:cs="Calibri"/>
          <w:noProof/>
          <w:szCs w:val="24"/>
          <w:lang w:val="fr-CH"/>
        </w:rPr>
        <w:t xml:space="preserve">13. </w:t>
      </w:r>
      <w:r w:rsidRPr="00357CC8">
        <w:rPr>
          <w:rFonts w:ascii="Calibri" w:hAnsi="Calibri" w:cs="Calibri"/>
          <w:noProof/>
          <w:szCs w:val="24"/>
          <w:lang w:val="fr-CH"/>
        </w:rPr>
        <w:tab/>
        <w:t xml:space="preserve">Ikeda Y, Mamiya T, Nishiyama H, Narusawa S, Koseki T, Mouri A, et al. </w:t>
      </w:r>
      <w:r w:rsidRPr="00560D05">
        <w:rPr>
          <w:rFonts w:ascii="Calibri" w:hAnsi="Calibri" w:cs="Calibri"/>
          <w:noProof/>
          <w:szCs w:val="24"/>
        </w:rPr>
        <w:t xml:space="preserve">A permission system for carbapenem use reduced incidence of drug-resistant bacteria and cost of antimicrobials at a general hospital in japan. Nagoya J Med Sci. 2012;74(1–2):93–104. </w:t>
      </w:r>
    </w:p>
    <w:p w14:paraId="5EA9D7D5"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14. </w:t>
      </w:r>
      <w:r w:rsidRPr="00560D05">
        <w:rPr>
          <w:rFonts w:ascii="Calibri" w:hAnsi="Calibri" w:cs="Calibri"/>
          <w:noProof/>
          <w:szCs w:val="24"/>
        </w:rPr>
        <w:tab/>
        <w:t xml:space="preserve">AgersoØ Y, Aarestrup FM. Voluntary ban on cephalosporin use in Danish pig production has effectively reduced extended-spectrum cephalosporinase-producing Escherichia coli in slaughter pigs. J Antimicrob Chemother. 2013;68(3):569–72. </w:t>
      </w:r>
    </w:p>
    <w:p w14:paraId="34C9F580"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15. </w:t>
      </w:r>
      <w:r w:rsidRPr="00560D05">
        <w:rPr>
          <w:rFonts w:ascii="Calibri" w:hAnsi="Calibri" w:cs="Calibri"/>
          <w:noProof/>
          <w:szCs w:val="24"/>
        </w:rPr>
        <w:tab/>
        <w:t xml:space="preserve">Chan YY, Lin TY, Huang CT, Deng ST, Wu TL, Leu HS, et al. Implementation and outcomes of a hospital-wide computerised antimicrobial stewardship programme in a large medical centre in Taiwan. Int J Antimicrob Agents. 2011;38(6):486–92. </w:t>
      </w:r>
    </w:p>
    <w:p w14:paraId="42DBF14A"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16. </w:t>
      </w:r>
      <w:r w:rsidRPr="00560D05">
        <w:rPr>
          <w:rFonts w:ascii="Calibri" w:hAnsi="Calibri" w:cs="Calibri"/>
          <w:noProof/>
          <w:szCs w:val="24"/>
        </w:rPr>
        <w:tab/>
        <w:t xml:space="preserve">Mölstad S, Löfmark S, Carlin K, Erntell M, Aspevall O, Blad L, et al. Lessons learnt during 20 years of the swedish strategic programme against antibiotic resistance [Programme stratégique suédois contre la résistance aux antibiotiques - 20 années d’enseignements]. Bull World Health Organ. 2017;95(11):764–73. </w:t>
      </w:r>
    </w:p>
    <w:p w14:paraId="0AC469CB" w14:textId="77777777" w:rsidR="00560D05" w:rsidRPr="00560D05" w:rsidRDefault="00560D05" w:rsidP="00560D05">
      <w:pPr>
        <w:widowControl w:val="0"/>
        <w:autoSpaceDE w:val="0"/>
        <w:autoSpaceDN w:val="0"/>
        <w:adjustRightInd w:val="0"/>
        <w:ind w:left="640" w:hanging="640"/>
        <w:rPr>
          <w:rFonts w:ascii="Calibri" w:hAnsi="Calibri" w:cs="Calibri"/>
          <w:noProof/>
          <w:szCs w:val="24"/>
        </w:rPr>
      </w:pPr>
      <w:r w:rsidRPr="00560D05">
        <w:rPr>
          <w:rFonts w:ascii="Calibri" w:hAnsi="Calibri" w:cs="Calibri"/>
          <w:noProof/>
          <w:szCs w:val="24"/>
        </w:rPr>
        <w:t xml:space="preserve">17. </w:t>
      </w:r>
      <w:r w:rsidRPr="00560D05">
        <w:rPr>
          <w:rFonts w:ascii="Calibri" w:hAnsi="Calibri" w:cs="Calibri"/>
          <w:noProof/>
          <w:szCs w:val="24"/>
        </w:rPr>
        <w:tab/>
        <w:t xml:space="preserve">Willemsen I, Cooper B, Van Buitenen C, Winters M, Andriesse G, Kluytmans J. Improving quinolone use in hospitals by using a bundle of interventions in an interrupted time series analysis. Antimicrob Agents Chemother. 2010;54(9):3763–9. </w:t>
      </w:r>
    </w:p>
    <w:p w14:paraId="2C1B5648" w14:textId="77777777" w:rsidR="00560D05" w:rsidRPr="00560D05" w:rsidRDefault="00560D05" w:rsidP="00560D05">
      <w:pPr>
        <w:widowControl w:val="0"/>
        <w:autoSpaceDE w:val="0"/>
        <w:autoSpaceDN w:val="0"/>
        <w:adjustRightInd w:val="0"/>
        <w:ind w:left="640" w:hanging="640"/>
        <w:rPr>
          <w:rFonts w:ascii="Calibri" w:hAnsi="Calibri" w:cs="Calibri"/>
          <w:noProof/>
        </w:rPr>
      </w:pPr>
      <w:r w:rsidRPr="00560D05">
        <w:rPr>
          <w:rFonts w:ascii="Calibri" w:hAnsi="Calibri" w:cs="Calibri"/>
          <w:noProof/>
          <w:szCs w:val="24"/>
        </w:rPr>
        <w:t xml:space="preserve">18. </w:t>
      </w:r>
      <w:r w:rsidRPr="00560D05">
        <w:rPr>
          <w:rFonts w:ascii="Calibri" w:hAnsi="Calibri" w:cs="Calibri"/>
          <w:noProof/>
          <w:szCs w:val="24"/>
        </w:rPr>
        <w:tab/>
        <w:t xml:space="preserve">Meyer E, Lapatschek M, Bechtold A, Schwarzkopf G, Gastmeier P, Schwab F. Impact of restriction of third generation cephalosporins on the burden of third generation cephalosporin resistant K. pneumoniae and E. coli in an ICU. Intensive Care Med. 2009;35(5):862–70. </w:t>
      </w:r>
    </w:p>
    <w:p w14:paraId="2FC9D136" w14:textId="77777777" w:rsidR="00C7727A" w:rsidRDefault="00560D05" w:rsidP="00560D05">
      <w:r>
        <w:fldChar w:fldCharType="end"/>
      </w:r>
    </w:p>
    <w:sectPr w:rsidR="00C7727A" w:rsidSect="00560D05">
      <w:pgSz w:w="16838" w:h="11906" w:orient="landscape"/>
      <w:pgMar w:top="1418" w:right="1418" w:bottom="1134" w:left="1418"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6C7F7" w14:textId="77777777" w:rsidR="00000000" w:rsidRDefault="00357CC8">
      <w:pPr>
        <w:spacing w:after="0"/>
      </w:pPr>
      <w:r>
        <w:separator/>
      </w:r>
    </w:p>
  </w:endnote>
  <w:endnote w:type="continuationSeparator" w:id="0">
    <w:p w14:paraId="50394CA8" w14:textId="77777777" w:rsidR="00000000" w:rsidRDefault="00357C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243309"/>
      <w:docPartObj>
        <w:docPartGallery w:val="Page Numbers (Bottom of Page)"/>
        <w:docPartUnique/>
      </w:docPartObj>
    </w:sdtPr>
    <w:sdtEndPr>
      <w:rPr>
        <w:noProof/>
      </w:rPr>
    </w:sdtEndPr>
    <w:sdtContent>
      <w:p w14:paraId="69F63F60" w14:textId="59A36886" w:rsidR="00A03CD7" w:rsidRDefault="005B4EC5">
        <w:pPr>
          <w:pStyle w:val="Footer"/>
          <w:jc w:val="right"/>
        </w:pPr>
        <w:r>
          <w:fldChar w:fldCharType="begin"/>
        </w:r>
        <w:r>
          <w:instrText xml:space="preserve"> PAGE   \* MERGEFORMAT </w:instrText>
        </w:r>
        <w:r>
          <w:fldChar w:fldCharType="separate"/>
        </w:r>
        <w:r w:rsidR="00357CC8">
          <w:rPr>
            <w:noProof/>
          </w:rPr>
          <w:t>7</w:t>
        </w:r>
        <w:r>
          <w:rPr>
            <w:noProof/>
          </w:rPr>
          <w:fldChar w:fldCharType="end"/>
        </w:r>
      </w:p>
    </w:sdtContent>
  </w:sdt>
  <w:p w14:paraId="26EA42C8" w14:textId="77777777" w:rsidR="00A03CD7" w:rsidRDefault="00357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4BE00" w14:textId="77777777" w:rsidR="00000000" w:rsidRDefault="00357CC8">
      <w:pPr>
        <w:spacing w:after="0"/>
      </w:pPr>
      <w:r>
        <w:separator/>
      </w:r>
    </w:p>
  </w:footnote>
  <w:footnote w:type="continuationSeparator" w:id="0">
    <w:p w14:paraId="562FD05D" w14:textId="77777777" w:rsidR="00000000" w:rsidRDefault="00357CC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55"/>
    <w:rsid w:val="00357CC8"/>
    <w:rsid w:val="00560D05"/>
    <w:rsid w:val="005B4EC5"/>
    <w:rsid w:val="00770055"/>
    <w:rsid w:val="00C7727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AEDD80"/>
  <w15:chartTrackingRefBased/>
  <w15:docId w15:val="{7747E9C1-6A3A-4473-A6C6-726433129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D05"/>
    <w:pPr>
      <w:spacing w:after="200" w:line="240" w:lineRule="auto"/>
    </w:pPr>
    <w:rPr>
      <w:lang w:val="en-GB"/>
    </w:rPr>
  </w:style>
  <w:style w:type="paragraph" w:styleId="Heading1">
    <w:name w:val="heading 1"/>
    <w:basedOn w:val="Normal"/>
    <w:next w:val="Normal"/>
    <w:link w:val="Heading1Char"/>
    <w:uiPriority w:val="9"/>
    <w:qFormat/>
    <w:rsid w:val="0077005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055"/>
    <w:rPr>
      <w:rFonts w:asciiTheme="majorHAnsi" w:eastAsiaTheme="majorEastAsia" w:hAnsiTheme="majorHAnsi" w:cstheme="majorBidi"/>
      <w:b/>
      <w:bCs/>
      <w:color w:val="2E74B5" w:themeColor="accent1" w:themeShade="BF"/>
      <w:sz w:val="28"/>
      <w:szCs w:val="28"/>
      <w:lang w:val="en-GB"/>
    </w:rPr>
  </w:style>
  <w:style w:type="character" w:styleId="CommentReference">
    <w:name w:val="annotation reference"/>
    <w:basedOn w:val="DefaultParagraphFont"/>
    <w:uiPriority w:val="99"/>
    <w:semiHidden/>
    <w:unhideWhenUsed/>
    <w:rsid w:val="00770055"/>
    <w:rPr>
      <w:sz w:val="16"/>
      <w:szCs w:val="16"/>
    </w:rPr>
  </w:style>
  <w:style w:type="paragraph" w:styleId="CommentText">
    <w:name w:val="annotation text"/>
    <w:basedOn w:val="Normal"/>
    <w:link w:val="CommentTextChar"/>
    <w:uiPriority w:val="99"/>
    <w:unhideWhenUsed/>
    <w:rsid w:val="00770055"/>
    <w:rPr>
      <w:sz w:val="20"/>
      <w:szCs w:val="20"/>
    </w:rPr>
  </w:style>
  <w:style w:type="character" w:customStyle="1" w:styleId="CommentTextChar">
    <w:name w:val="Comment Text Char"/>
    <w:basedOn w:val="DefaultParagraphFont"/>
    <w:link w:val="CommentText"/>
    <w:uiPriority w:val="99"/>
    <w:rsid w:val="00770055"/>
    <w:rPr>
      <w:sz w:val="20"/>
      <w:szCs w:val="20"/>
      <w:lang w:val="en-GB"/>
    </w:rPr>
  </w:style>
  <w:style w:type="table" w:styleId="ListTable3-Accent1">
    <w:name w:val="List Table 3 Accent 1"/>
    <w:basedOn w:val="TableNormal"/>
    <w:uiPriority w:val="48"/>
    <w:rsid w:val="00770055"/>
    <w:pPr>
      <w:spacing w:after="0" w:line="240" w:lineRule="auto"/>
    </w:pPr>
    <w:rPr>
      <w:lang w:val="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Caption">
    <w:name w:val="caption"/>
    <w:basedOn w:val="Normal"/>
    <w:next w:val="Normal"/>
    <w:uiPriority w:val="35"/>
    <w:unhideWhenUsed/>
    <w:qFormat/>
    <w:rsid w:val="00770055"/>
    <w:rPr>
      <w:i/>
      <w:iCs/>
      <w:color w:val="44546A" w:themeColor="text2"/>
      <w:sz w:val="18"/>
      <w:szCs w:val="18"/>
    </w:rPr>
  </w:style>
  <w:style w:type="paragraph" w:styleId="Footer">
    <w:name w:val="footer"/>
    <w:basedOn w:val="Normal"/>
    <w:link w:val="FooterChar"/>
    <w:uiPriority w:val="99"/>
    <w:unhideWhenUsed/>
    <w:rsid w:val="00770055"/>
    <w:pPr>
      <w:tabs>
        <w:tab w:val="center" w:pos="4536"/>
        <w:tab w:val="right" w:pos="9072"/>
      </w:tabs>
      <w:spacing w:after="0"/>
    </w:pPr>
  </w:style>
  <w:style w:type="character" w:customStyle="1" w:styleId="FooterChar">
    <w:name w:val="Footer Char"/>
    <w:basedOn w:val="DefaultParagraphFont"/>
    <w:link w:val="Footer"/>
    <w:uiPriority w:val="99"/>
    <w:rsid w:val="00770055"/>
    <w:rPr>
      <w:lang w:val="en-GB"/>
    </w:rPr>
  </w:style>
  <w:style w:type="paragraph" w:styleId="BalloonText">
    <w:name w:val="Balloon Text"/>
    <w:basedOn w:val="Normal"/>
    <w:link w:val="BalloonTextChar"/>
    <w:uiPriority w:val="99"/>
    <w:semiHidden/>
    <w:unhideWhenUsed/>
    <w:rsid w:val="0077005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055"/>
    <w:rPr>
      <w:rFonts w:ascii="Segoe UI" w:hAnsi="Segoe UI" w:cs="Segoe UI"/>
      <w:sz w:val="18"/>
      <w:szCs w:val="18"/>
      <w:lang w:val="en-GB"/>
    </w:rPr>
  </w:style>
  <w:style w:type="character" w:styleId="LineNumber">
    <w:name w:val="line number"/>
    <w:basedOn w:val="DefaultParagraphFont"/>
    <w:uiPriority w:val="99"/>
    <w:semiHidden/>
    <w:unhideWhenUsed/>
    <w:rsid w:val="00770055"/>
  </w:style>
  <w:style w:type="paragraph" w:styleId="CommentSubject">
    <w:name w:val="annotation subject"/>
    <w:basedOn w:val="CommentText"/>
    <w:next w:val="CommentText"/>
    <w:link w:val="CommentSubjectChar"/>
    <w:uiPriority w:val="99"/>
    <w:semiHidden/>
    <w:unhideWhenUsed/>
    <w:rsid w:val="00560D05"/>
    <w:rPr>
      <w:b/>
      <w:bCs/>
    </w:rPr>
  </w:style>
  <w:style w:type="character" w:customStyle="1" w:styleId="CommentSubjectChar">
    <w:name w:val="Comment Subject Char"/>
    <w:basedOn w:val="CommentTextChar"/>
    <w:link w:val="CommentSubject"/>
    <w:uiPriority w:val="99"/>
    <w:semiHidden/>
    <w:rsid w:val="00560D0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FF9F1-AABE-4EC3-842E-F0776AA3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13135</Words>
  <Characters>72248</Characters>
  <Application>Microsoft Office Word</Application>
  <DocSecurity>0</DocSecurity>
  <Lines>602</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Anaïs Léger</dc:creator>
  <cp:keywords/>
  <dc:description/>
  <cp:lastModifiedBy>Anaïs Leger</cp:lastModifiedBy>
  <cp:revision>3</cp:revision>
  <dcterms:created xsi:type="dcterms:W3CDTF">2021-01-25T14:08:00Z</dcterms:created>
  <dcterms:modified xsi:type="dcterms:W3CDTF">2021-01-28T10:46:00Z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http://www.zotero.org/styles/journal-of-antimicrobial-chemotherapy</vt:lpwstr>
  </property>
  <property fmtid="{D5CDD505-2E9C-101B-9397-08002B2CF9AE}" pid="15" name="Mendeley Recent Style Name 6_1">
    <vt:lpwstr>Journal of Antimicrobial Chemotherapy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45382368-6583-36e5-a3ce-0d69fa7e3af5</vt:lpwstr>
  </property>
  <property fmtid="{D5CDD505-2E9C-101B-9397-08002B2CF9AE}" pid="24" name="Mendeley Citation Style_1">
    <vt:lpwstr>http://www.zotero.org/styles/vancouver</vt:lpwstr>
  </property>
</Properties>
</file>