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622A" w:rsidRDefault="0005622A" w:rsidP="0005622A">
      <w:r>
        <w:t xml:space="preserve">Linked to Léger </w:t>
      </w:r>
      <w:r w:rsidRPr="00C37771">
        <w:rPr>
          <w:i/>
        </w:rPr>
        <w:t>et al.</w:t>
      </w:r>
      <w:r>
        <w:t xml:space="preserve"> </w:t>
      </w:r>
      <w:r w:rsidRPr="00C37771">
        <w:rPr>
          <w:b/>
        </w:rPr>
        <w:t xml:space="preserve">Characterizing social-ecological context and success factors of AMR interventions across the One Health spectrum: Analysis of 42 interventions targeting </w:t>
      </w:r>
      <w:r w:rsidRPr="00C37771">
        <w:rPr>
          <w:b/>
          <w:i/>
        </w:rPr>
        <w:t>E. coli</w:t>
      </w:r>
    </w:p>
    <w:p w:rsidR="0005622A" w:rsidRDefault="0005622A" w:rsidP="0005622A">
      <w:pPr>
        <w:pStyle w:val="Heading1"/>
        <w:rPr>
          <w:lang w:val="en-US"/>
        </w:rPr>
      </w:pPr>
      <w:r>
        <w:rPr>
          <w:lang w:val="en-US"/>
        </w:rPr>
        <w:t>Additional files B: Supplementary results for the</w:t>
      </w:r>
      <w:r w:rsidRPr="005254F9">
        <w:rPr>
          <w:lang w:val="en-US"/>
        </w:rPr>
        <w:t xml:space="preserve"> description of </w:t>
      </w:r>
      <w:r>
        <w:rPr>
          <w:lang w:val="en-US"/>
        </w:rPr>
        <w:t xml:space="preserve">articles referring to </w:t>
      </w:r>
      <w:r w:rsidRPr="00DB0D78">
        <w:rPr>
          <w:i/>
          <w:lang w:val="en-US"/>
        </w:rPr>
        <w:t>E. coli</w:t>
      </w:r>
      <w:r w:rsidRPr="005254F9">
        <w:rPr>
          <w:lang w:val="en-US"/>
        </w:rPr>
        <w:t xml:space="preserve"> AMR interventions</w:t>
      </w:r>
      <w:r>
        <w:rPr>
          <w:lang w:val="en-US"/>
        </w:rPr>
        <w:t>, coded in AMR-Intervene</w:t>
      </w:r>
      <w:r w:rsidR="00E40AC6">
        <w:rPr>
          <w:lang w:val="en-US"/>
        </w:rPr>
        <w:t xml:space="preserve"> (2 tables, 2 figures)</w:t>
      </w:r>
    </w:p>
    <w:p w:rsidR="0005622A" w:rsidRPr="00CB3961" w:rsidRDefault="0005622A" w:rsidP="0005622A">
      <w:pPr>
        <w:rPr>
          <w:lang w:val="en-US"/>
        </w:rPr>
      </w:pPr>
    </w:p>
    <w:p w:rsidR="0005622A" w:rsidRPr="0005622A" w:rsidRDefault="0005622A" w:rsidP="0005622A">
      <w:pPr>
        <w:pStyle w:val="Caption"/>
        <w:keepNext/>
        <w:rPr>
          <w:sz w:val="22"/>
        </w:rPr>
      </w:pPr>
      <w:bookmarkStart w:id="0" w:name="_Ref14861695"/>
      <w:r w:rsidRPr="0005622A">
        <w:rPr>
          <w:b/>
          <w:sz w:val="22"/>
        </w:rPr>
        <w:t>Table</w:t>
      </w:r>
      <w:bookmarkEnd w:id="0"/>
      <w:r w:rsidRPr="0005622A">
        <w:rPr>
          <w:b/>
          <w:sz w:val="22"/>
        </w:rPr>
        <w:t xml:space="preserve"> B1:</w:t>
      </w:r>
      <w:r w:rsidRPr="0005622A">
        <w:rPr>
          <w:noProof/>
          <w:sz w:val="22"/>
        </w:rPr>
        <w:t xml:space="preserve"> Summary of the coded articles about the 42 E.coli AMR interventions (n=52 articles coded) </w:t>
      </w:r>
    </w:p>
    <w:tbl>
      <w:tblPr>
        <w:tblStyle w:val="ListTable3-Accent1"/>
        <w:tblW w:w="0" w:type="auto"/>
        <w:tblLook w:val="04A0" w:firstRow="1" w:lastRow="0" w:firstColumn="1" w:lastColumn="0" w:noHBand="0" w:noVBand="1"/>
      </w:tblPr>
      <w:tblGrid>
        <w:gridCol w:w="1245"/>
        <w:gridCol w:w="3570"/>
        <w:gridCol w:w="3411"/>
        <w:gridCol w:w="1692"/>
        <w:gridCol w:w="1701"/>
        <w:gridCol w:w="2375"/>
      </w:tblGrid>
      <w:tr w:rsidR="0005622A" w:rsidRPr="00C44B9E" w:rsidTr="00D40BEC">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100" w:firstRow="0" w:lastRow="0" w:firstColumn="1" w:lastColumn="0" w:oddVBand="0" w:evenVBand="0" w:oddHBand="0" w:evenHBand="0" w:firstRowFirstColumn="1" w:firstRowLastColumn="0" w:lastRowFirstColumn="0" w:lastRowLastColumn="0"/>
            <w:tcW w:w="1245" w:type="dxa"/>
            <w:noWrap/>
            <w:hideMark/>
          </w:tcPr>
          <w:p w:rsidR="0005622A" w:rsidRPr="00C44B9E" w:rsidRDefault="0005622A" w:rsidP="0005622A">
            <w:r>
              <w:t>Publication reference</w:t>
            </w:r>
          </w:p>
        </w:tc>
        <w:tc>
          <w:tcPr>
            <w:tcW w:w="3570" w:type="dxa"/>
            <w:noWrap/>
            <w:hideMark/>
          </w:tcPr>
          <w:p w:rsidR="0005622A" w:rsidRPr="00C44B9E" w:rsidRDefault="0005622A" w:rsidP="0005622A">
            <w:pPr>
              <w:cnfStyle w:val="100000000000" w:firstRow="1" w:lastRow="0" w:firstColumn="0" w:lastColumn="0" w:oddVBand="0" w:evenVBand="0" w:oddHBand="0" w:evenHBand="0" w:firstRowFirstColumn="0" w:firstRowLastColumn="0" w:lastRowFirstColumn="0" w:lastRowLastColumn="0"/>
            </w:pPr>
            <w:r>
              <w:t>Name of the intervention</w:t>
            </w:r>
          </w:p>
        </w:tc>
        <w:tc>
          <w:tcPr>
            <w:tcW w:w="3411" w:type="dxa"/>
          </w:tcPr>
          <w:p w:rsidR="0005622A" w:rsidRDefault="0005622A" w:rsidP="0005622A">
            <w:pPr>
              <w:cnfStyle w:val="100000000000" w:firstRow="1" w:lastRow="0" w:firstColumn="0" w:lastColumn="0" w:oddVBand="0" w:evenVBand="0" w:oddHBand="0" w:evenHBand="0" w:firstRowFirstColumn="0" w:firstRowLastColumn="0" w:lastRowFirstColumn="0" w:lastRowLastColumn="0"/>
            </w:pPr>
            <w:r>
              <w:t>Country of implementation</w:t>
            </w:r>
          </w:p>
        </w:tc>
        <w:tc>
          <w:tcPr>
            <w:tcW w:w="1692" w:type="dxa"/>
            <w:noWrap/>
            <w:hideMark/>
          </w:tcPr>
          <w:p w:rsidR="0005622A" w:rsidRPr="00C44B9E" w:rsidRDefault="0005622A" w:rsidP="0005622A">
            <w:pPr>
              <w:cnfStyle w:val="100000000000" w:firstRow="1" w:lastRow="0" w:firstColumn="0" w:lastColumn="0" w:oddVBand="0" w:evenVBand="0" w:oddHBand="0" w:evenHBand="0" w:firstRowFirstColumn="0" w:firstRowLastColumn="0" w:lastRowFirstColumn="0" w:lastRowLastColumn="0"/>
            </w:pPr>
            <w:r>
              <w:t>Level of implementation</w:t>
            </w:r>
          </w:p>
        </w:tc>
        <w:tc>
          <w:tcPr>
            <w:tcW w:w="1701" w:type="dxa"/>
            <w:noWrap/>
            <w:hideMark/>
          </w:tcPr>
          <w:p w:rsidR="0005622A" w:rsidRPr="00C44B9E" w:rsidRDefault="0005622A" w:rsidP="0005622A">
            <w:pPr>
              <w:cnfStyle w:val="100000000000" w:firstRow="1" w:lastRow="0" w:firstColumn="0" w:lastColumn="0" w:oddVBand="0" w:evenVBand="0" w:oddHBand="0" w:evenHBand="0" w:firstRowFirstColumn="0" w:firstRowLastColumn="0" w:lastRowFirstColumn="0" w:lastRowLastColumn="0"/>
            </w:pPr>
            <w:r>
              <w:t>Sector of implementation</w:t>
            </w:r>
          </w:p>
        </w:tc>
        <w:tc>
          <w:tcPr>
            <w:tcW w:w="2375" w:type="dxa"/>
            <w:noWrap/>
            <w:hideMark/>
          </w:tcPr>
          <w:p w:rsidR="0005622A" w:rsidRPr="00C44B9E" w:rsidRDefault="0005622A" w:rsidP="0005622A">
            <w:pPr>
              <w:cnfStyle w:val="100000000000" w:firstRow="1" w:lastRow="0" w:firstColumn="0" w:lastColumn="0" w:oddVBand="0" w:evenVBand="0" w:oddHBand="0" w:evenHBand="0" w:firstRowFirstColumn="0" w:firstRowLastColumn="0" w:lastRowFirstColumn="0" w:lastRowLastColumn="0"/>
            </w:pPr>
            <w:r>
              <w:t>Challenge of collective action</w:t>
            </w:r>
          </w:p>
        </w:tc>
      </w:tr>
      <w:tr w:rsidR="0005622A" w:rsidRPr="00C44B9E" w:rsidTr="0005622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45" w:type="dxa"/>
            <w:noWrap/>
            <w:hideMark/>
          </w:tcPr>
          <w:p w:rsidR="0005622A" w:rsidRDefault="0005622A" w:rsidP="0005622A">
            <w:r>
              <w:fldChar w:fldCharType="begin" w:fldLock="1"/>
            </w:r>
            <w:r w:rsidR="00E40AC6">
              <w:instrText>ADDIN CSL_CITATION {"citationItems":[{"id":"ITEM-1","itemData":{"DOI":"10.1016/S1473-3099(17)30394-8","ISSN":"1474-4457 (Electronic)","PMID":"28818544","abstract":"BACKGROUND: Bacterial bloodstream infection is a common cause of morbidity and mortality in sub-Saharan Africa, yet few facilities are able to maintain long-term surveillance. The Malawi-Liverpool-Wellcome Trust Clinical Research Programme has done sentinel surveillance of bacteraemia since 1998. We report long-term trends in bloodstream infection and antimicrobial resistance from this surveillance. METHODS: In this surveillance study, we analysed blood cultures that were routinely taken from adult and paediatric patients with fever or suspicion of sepsis admitted to Queen Elizabeth Central Hospital, Blantyre, Malawi from 1998 to 2016. The hospital served an urban population of 920 000 in 2016, with 1000 beds, although occupancy often exceeds capacity. The hospital admits about 10 000 adults and 30 000 children each year. Antimicrobial susceptibility tests were done by the disc diffusion method according to British Society of Antimicrobial Chemotherapy guidelines. We used the Cochran-Armitage test for trend to examine trends in rates of antimicrobial resistance, and negative binomial regression to examine trends in icidence of bloodstream infection over time. FINDINGS: Between Jan 1, 1998, and Dec 31, 2016, we isolated 29 183 pathogens from 194 539 blood cultures. Pathogen detection decreased significantly from 327.1/100 000 in 1998 to 120.2/100 000 in 2016 (p&lt;0.0001). 13 366 (51.1%) of 26 174 bacterial isolates were resistant to the Malawian first-line antibiotics amoxicillin or penicillin, chloramphenicol, and co-trimoxazole; 68.3% of Gram-negative and 6.6% of Gram-positive pathogens. The proportions of non-Salmonella Enterobacteriaceae with extended spectrum beta-lactamase (ESBL) or fluoroquinolone resistance rose significantly after 2003 to 61.9% in 2016 (p&lt;0.0001). Between 2003 and 2016, ESBL resistance rose from 0.7% to 30.3% in Escherichia coli, from 11.8% to 90.5% in Klebsiella spp and from 30.4% to 71.9% in other Enterobacteriaceae. Similarly, resistance to ciprofloxacin rose from 2.5% to 31.1% in E coli, from 1.7% to 70.2% in Klebsiella spp and from 5.9% to 68.8% in other Enterobacteriaceae. By contrast, more than 92.0% of common Gram-positive pathogens remain susceptible to either penicillin or chloramphenicol. Meticillin-resistant Staphylococcus aureus (MRSA) was first reported in 1998 at 7.7% and represented 18.4% of S aureus isolates in 2016. INTERPRETATION: The rapid expansion of ESBL and fluoroquinolone resistance among common Gram-negat…","author":[{"dropping-particle":"","family":"Musicha","given":"Patrick","non-dropping-particle":"","parse-names":false,"suffix":""},{"dropping-particle":"","family":"Cornick","given":"Jennifer E","non-dropping-particle":"","parse-names":false,"suffix":""},{"dropping-particle":"","family":"Bar-Zeev","given":"Naor","non-dropping-particle":"","parse-names":false,"suffix":""},{"dropping-particle":"","family":"French","given":"Neil","non-dropping-particle":"","parse-names":false,"suffix":""},{"dropping-particle":"","family":"Masesa","given":"Clemens","non-dropping-particle":"","parse-names":false,"suffix":""},{"dropping-particle":"","family":"Denis","given":"Brigitte","non-dropping-particle":"","parse-names":false,"suffix":""},{"dropping-particle":"","family":"Kennedy","given":"Neil","non-dropping-particle":"","parse-names":false,"suffix":""},{"dropping-particle":"","family":"Mallewa","given":"Jane","non-dropping-particle":"","parse-names":false,"suffix":""},{"dropping-particle":"","family":"Gordon","given":"Melita A","non-dropping-particle":"","parse-names":false,"suffix":""},{"dropping-particle":"","family":"Msefula","given":"Chisomo L","non-dropping-particle":"","parse-names":false,"suffix":""},{"dropping-particle":"","family":"Heyderman","given":"Robert S","non-dropping-particle":"","parse-names":false,"suffix":""},{"dropping-particle":"","family":"Everett","given":"Dean B","non-dropping-particle":"","parse-names":false,"suffix":""},{"dropping-particle":"","family":"Feasey","given":"Nicholas A","non-dropping-particle":"","parse-names":false,"suffix":""}],"container-title":"The Lancet. Infectious diseases","id":"ITEM-1","issue":"10","issued":{"date-parts":[["2017","10"]]},"language":"eng","page":"1042-1052","publisher-place":"United States","title":"Trends in antimicrobial resistance in bloodstream infection isolates at a large urban hospital in Malawi (1998-2016): a surveillance study.","type":"article-journal","volume":"17"},"uris":["http://www.mendeley.com/documents/?uuid=c74096a2-fc08-4e51-853b-4e5891983077"]}],"mendeley":{"formattedCitation":"(1)","plainTextFormattedCitation":"(1)","previouslyFormattedCitation":"(45)"},"properties":{"noteIndex":0},"schema":"https://github.com/citation-style-language/schema/raw/master/csl-citation.json"}</w:instrText>
            </w:r>
            <w:r>
              <w:fldChar w:fldCharType="separate"/>
            </w:r>
            <w:r w:rsidR="00E40AC6" w:rsidRPr="00E40AC6">
              <w:rPr>
                <w:b w:val="0"/>
                <w:noProof/>
              </w:rPr>
              <w:t>(1)</w:t>
            </w:r>
            <w:r>
              <w:fldChar w:fldCharType="end"/>
            </w:r>
          </w:p>
          <w:p w:rsidR="0005622A" w:rsidRPr="00C44B9E" w:rsidRDefault="0005622A" w:rsidP="0005622A"/>
        </w:tc>
        <w:tc>
          <w:tcPr>
            <w:tcW w:w="3570"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t>M</w:t>
            </w:r>
            <w:r w:rsidRPr="00C44B9E">
              <w:t>onitoring of AMR at QECH</w:t>
            </w:r>
          </w:p>
        </w:tc>
        <w:tc>
          <w:tcPr>
            <w:tcW w:w="3411" w:type="dxa"/>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Malawi</w:t>
            </w:r>
          </w:p>
        </w:tc>
        <w:tc>
          <w:tcPr>
            <w:tcW w:w="1692"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Local</w:t>
            </w:r>
          </w:p>
        </w:tc>
        <w:tc>
          <w:tcPr>
            <w:tcW w:w="1701"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Human</w:t>
            </w:r>
          </w:p>
        </w:tc>
        <w:tc>
          <w:tcPr>
            <w:tcW w:w="2375"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Surveillance</w:t>
            </w:r>
          </w:p>
        </w:tc>
      </w:tr>
      <w:tr w:rsidR="0005622A" w:rsidRPr="00C44B9E" w:rsidTr="0005622A">
        <w:trPr>
          <w:trHeight w:val="300"/>
        </w:trPr>
        <w:tc>
          <w:tcPr>
            <w:cnfStyle w:val="001000000000" w:firstRow="0" w:lastRow="0" w:firstColumn="1" w:lastColumn="0" w:oddVBand="0" w:evenVBand="0" w:oddHBand="0" w:evenHBand="0" w:firstRowFirstColumn="0" w:firstRowLastColumn="0" w:lastRowFirstColumn="0" w:lastRowLastColumn="0"/>
            <w:tcW w:w="1245" w:type="dxa"/>
            <w:noWrap/>
            <w:hideMark/>
          </w:tcPr>
          <w:p w:rsidR="0005622A" w:rsidRPr="00C44B9E" w:rsidRDefault="0005622A" w:rsidP="0005622A">
            <w:r>
              <w:fldChar w:fldCharType="begin" w:fldLock="1"/>
            </w:r>
            <w:r w:rsidR="00E40AC6">
              <w:instrText>ADDIN CSL_CITATION {"citationItems":[{"id":"ITEM-1","itemData":{"DOI":"10.1007/s100960100615","ISSN":"09349723","abstract":"An observational study on the epidemiology of multiresistant Enterobacteriaceae was conducted in the neurology and neurosurgery wards of a university hospital to determine the impact of hospital hygiene measures and an additional temporary restrictive antibiotic agent policy on the sudden rise in incidence of these bacteria. The incidence and prevalence of patients with multiresistant Enterobacteriaceae were assessed, and patient isolates were typed phenotypically and by random amplified polymorphic DNA analysis. All hospital hygiene measures implemented were recorded, and the influence of the restrictive policy on antibiotic use was analyzed. This policy consisted of a prior authorization requirement and the withdrawal of all antibiotics with a possible selective pressure on multiresistant strains (gentamicin, tobramycin, quinolones, cotrimoxazole, broad-spectrum penicillins, and cephalosporins). This ban left only carbapenems and amikacin for treatment. Typing showed that 17 of the 61 (28%) patients involved were infected or colonized with a single multiresistant strain of Klebsiella oxytoca, for which an environmental source was identified. The isolates recovered from the other patients comprised eight different species, and subsequent genotyping yielded a great variety of strains. The increased incidence could not be controlled with hospital hygiene measures alone. Only after implementation of the restrictive antibiotic policy did the epidemic strain vanish and the endemic incidence of multiresistant Enterobacteriaceae decrease to &lt;50% of the level before intervention. In the years since, the incidence has remained at this low level, and the antibiotic costs have decreased to a level lower than before intervention.","author":[{"dropping-particle":"","family":"Leverstein-van Hall","given":"M.","non-dropping-particle":"","parse-names":false,"suffix":""},{"dropping-particle":"","family":"Fluit","given":"A.","non-dropping-particle":"","parse-names":false,"suffix":""},{"dropping-particle":"","family":"Blok","given":"H.","non-dropping-particle":"","parse-names":false,"suffix":""},{"dropping-particle":"","family":"Box","given":"A.","non-dropping-particle":"","parse-names":false,"suffix":""},{"dropping-particle":"","family":"Peters","given":"E.","non-dropping-particle":"","parse-names":false,"suffix":""},{"dropping-particle":"","family":"Weersink","given":"A.","non-dropping-particle":"","parse-names":false,"suffix":""},{"dropping-particle":"","family":"Verhoef","given":"J.","non-dropping-particle":"","parse-names":false,"suffix":""}],"container-title":"European Journal of Clinical Microbiology and Infectious Diseases","id":"ITEM-1","issue":"11","issued":{"date-parts":[["2001"]]},"page":"785-791","title":"Control of nosocomial multiresistant Enterobacteriaceae using a temporary restrictive antibiotic agent policy","type":"article-journal","volume":"20"},"uris":["http://www.mendeley.com/documents/?uuid=977110d9-4b7a-41f4-8c38-026e2a01330a"]}],"mendeley":{"formattedCitation":"(2)","plainTextFormattedCitation":"(2)","previouslyFormattedCitation":"(46)"},"properties":{"noteIndex":0},"schema":"https://github.com/citation-style-language/schema/raw/master/csl-citation.json"}</w:instrText>
            </w:r>
            <w:r>
              <w:fldChar w:fldCharType="separate"/>
            </w:r>
            <w:r w:rsidR="00E40AC6" w:rsidRPr="00E40AC6">
              <w:rPr>
                <w:b w:val="0"/>
                <w:noProof/>
              </w:rPr>
              <w:t>(2)</w:t>
            </w:r>
            <w:r>
              <w:fldChar w:fldCharType="end"/>
            </w:r>
          </w:p>
        </w:tc>
        <w:tc>
          <w:tcPr>
            <w:tcW w:w="3570"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TRAP</w:t>
            </w:r>
          </w:p>
        </w:tc>
        <w:tc>
          <w:tcPr>
            <w:tcW w:w="3411" w:type="dxa"/>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Netherlands</w:t>
            </w:r>
          </w:p>
        </w:tc>
        <w:tc>
          <w:tcPr>
            <w:tcW w:w="1692"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Local</w:t>
            </w:r>
          </w:p>
        </w:tc>
        <w:tc>
          <w:tcPr>
            <w:tcW w:w="1701"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Human</w:t>
            </w:r>
          </w:p>
        </w:tc>
        <w:tc>
          <w:tcPr>
            <w:tcW w:w="2375"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Prevention, Containment</w:t>
            </w:r>
          </w:p>
        </w:tc>
      </w:tr>
      <w:tr w:rsidR="0005622A" w:rsidRPr="00C44B9E" w:rsidTr="0005622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45" w:type="dxa"/>
            <w:noWrap/>
            <w:hideMark/>
          </w:tcPr>
          <w:p w:rsidR="0005622A" w:rsidRPr="00C44B9E" w:rsidRDefault="0005622A" w:rsidP="0005622A">
            <w:r>
              <w:fldChar w:fldCharType="begin" w:fldLock="1"/>
            </w:r>
            <w:r w:rsidR="00E40AC6">
              <w:instrText>ADDIN CSL_CITATION {"citationItems":[{"id":"ITEM-1","itemData":{"DOI":"10.1007/s00134-008-1355-6","ISSN":"03424642","PMID":"19034426","abstract":"Objective: To test whether a reduction of third generation cephalosporin (3GC) use has a sustainable positive impact on the high endemic prevalence of 3GC resistant K. pneumoniae and E. coli. Design: Segmented regression analysis of interrupted time series was used to analyse antibiotic consumption and resistance data 30 months before and 30 after the intervention. Setting: Surgical intensive care unit (ICU) with 16-bed unit in a teaching hospital. Intervention: In July 2004, 3GCs were switched to piperacillin in combination with a β-lactamase-inhibitor as standard therapy for peritonitis and other intraabdominal infections. Results: Segmented regression analysis showed that the intervention achieved a significant and sustainable decrease in the use of 3GCs of -110.2 daily defined doses (DDD)/1,000 pd. 3GC use decreased from a level of 178.9 DDD/1,000 pd before to 68.7 DDD/1,000 pd after the intervention. The intervention resulted in a mean estimated reduction in total antibiotic use of 27%. Piperacillin/tazobactam showed a significant increase in level of 64.4 DDD/1,000 pd, and continued to increase by 2.3 DDD/1,000 pd per month after the intervention. The intervention was not associated with a significant change in the resistance densities of 3GC resistant K. pneumoniae and E. coli. Conclusion: Reducing 3GCs does not necessarily impact positively on the resistance situation in the ICU setting. Likewise, replacing piperacillin with β-lactamase inhibitor might provide a selection pressure on 3GC resistant E. coli and K. pneumoniae. To improve resistance, it might not be sufficient to restrict interventions to a risk area. © 2008 Springer-Verlag.","author":[{"dropping-particle":"","family":"Meyer","given":"Elisabeth","non-dropping-particle":"","parse-names":false,"suffix":""},{"dropping-particle":"","family":"Lapatschek","given":"Matthias","non-dropping-particle":"","parse-names":false,"suffix":""},{"dropping-particle":"","family":"Bechtold","given":"Andreas","non-dropping-particle":"","parse-names":false,"suffix":""},{"dropping-particle":"","family":"Schwarzkopf","given":"Gerhard","non-dropping-particle":"","parse-names":false,"suffix":""},{"dropping-particle":"","family":"Gastmeier","given":"Petra","non-dropping-particle":"","parse-names":false,"suffix":""},{"dropping-particle":"","family":"Schwab","given":"Frank","non-dropping-particle":"","parse-names":false,"suffix":""}],"container-title":"Intensive Care Medicine","id":"ITEM-1","issue":"5","issued":{"date-parts":[["2009"]]},"page":"862-870","title":"Impact of restriction of third generation cephalosporins on the burden of third generation cephalosporin resistant K. pneumoniae and E. coli in an ICU","type":"article-journal","volume":"35"},"uris":["http://www.mendeley.com/documents/?uuid=b4f24220-9c6b-4e32-a609-739714a11095"]}],"mendeley":{"formattedCitation":"(3)","plainTextFormattedCitation":"(3)","previouslyFormattedCitation":"(47)"},"properties":{"noteIndex":0},"schema":"https://github.com/citation-style-language/schema/raw/master/csl-citation.json"}</w:instrText>
            </w:r>
            <w:r>
              <w:fldChar w:fldCharType="separate"/>
            </w:r>
            <w:r w:rsidR="00E40AC6" w:rsidRPr="00E40AC6">
              <w:rPr>
                <w:b w:val="0"/>
                <w:noProof/>
              </w:rPr>
              <w:t>(3)</w:t>
            </w:r>
            <w:r>
              <w:fldChar w:fldCharType="end"/>
            </w:r>
          </w:p>
        </w:tc>
        <w:tc>
          <w:tcPr>
            <w:tcW w:w="3570"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t>T</w:t>
            </w:r>
            <w:r w:rsidRPr="00C44B9E">
              <w:t>reatment guideline in ICU</w:t>
            </w:r>
          </w:p>
        </w:tc>
        <w:tc>
          <w:tcPr>
            <w:tcW w:w="3411" w:type="dxa"/>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Germany</w:t>
            </w:r>
          </w:p>
        </w:tc>
        <w:tc>
          <w:tcPr>
            <w:tcW w:w="1692"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Local</w:t>
            </w:r>
          </w:p>
        </w:tc>
        <w:tc>
          <w:tcPr>
            <w:tcW w:w="1701"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Human</w:t>
            </w:r>
          </w:p>
        </w:tc>
        <w:tc>
          <w:tcPr>
            <w:tcW w:w="2375"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Conservation</w:t>
            </w:r>
          </w:p>
        </w:tc>
      </w:tr>
      <w:tr w:rsidR="0005622A" w:rsidRPr="00C44B9E" w:rsidTr="0005622A">
        <w:trPr>
          <w:trHeight w:val="300"/>
        </w:trPr>
        <w:tc>
          <w:tcPr>
            <w:cnfStyle w:val="001000000000" w:firstRow="0" w:lastRow="0" w:firstColumn="1" w:lastColumn="0" w:oddVBand="0" w:evenVBand="0" w:oddHBand="0" w:evenHBand="0" w:firstRowFirstColumn="0" w:firstRowLastColumn="0" w:lastRowFirstColumn="0" w:lastRowLastColumn="0"/>
            <w:tcW w:w="1245" w:type="dxa"/>
            <w:noWrap/>
            <w:hideMark/>
          </w:tcPr>
          <w:p w:rsidR="0005622A" w:rsidRPr="00C44B9E" w:rsidRDefault="0005622A" w:rsidP="0005622A">
            <w:r>
              <w:fldChar w:fldCharType="begin" w:fldLock="1"/>
            </w:r>
            <w:r w:rsidR="00E40AC6">
              <w:instrText>ADDIN CSL_CITATION {"citationItems":[{"id":"ITEM-1","itemData":{"DOI":"10.1128/AAC.01581-09","ISSN":"00664804","PMID":"20585135","abstract":"The objectives of the present study were to determine the effects of multiple targeted interventions on the level of use of quinolones and the observed rates of resistance to quinolones in Escherichia coli isolates from hospitalized patients. A bundle consisting of four interventions to improve the use of quinolones was implemented. The outcome was measured from the monthly levels of use of intravenous (i.v.) and oral quinolones and the susceptibility patterns for E. coli isolates from hospitalized patients. Statistical analyses were performed using segmented regression analysis and segmented Poisson regression models. Before the bundle was implemented, the annual use of quinolones was 2.7 defined daily doses (DDDs)/100 patient days. After the interventions, in 2007, this was reduced to 1.7 DDDs/100 patient days. The first intervention, a switch from i.v. to oral medication, was associated with a stepwise reduction in i.v. quinolone use of 71 prescribed daily doses (PDDs) per month (95% confidence interval [CI] = 47 to 95 PDDs/month, P &lt; 0.001). Intervention 2, introduction of a new antibiotic guideline and education program, was associated with a stepwise reduction in the overall use of quinolones (reduction, 107 PDDs/month [95% CI = 58 to 156 PDDs/month). Before the interventions the quinolone resistance rate was increasing, on average, by 4.6% (95% CI = 2.6 to 6.1%) per year. This increase leveled off, which was associated with intervention 2 and intervention 4, active monitoring of prescriptions and feedback. Trends in resistance to other antimicrobial agents did not change. This study showed that the hospital-wide use of quinolones can be significantly reduced by an active policy consisting of multiple interventions. There was also a stepwise reduction in the rate of quinolone resistance associated with the bundle of interventions. Copyright © 2010, American Society for Microbiology. All Rights Reserved.","author":[{"dropping-particle":"","family":"Willemsen","given":"Ina","non-dropping-particle":"","parse-names":false,"suffix":""},{"dropping-particle":"","family":"Cooper","given":"Ben","non-dropping-particle":"","parse-names":false,"suffix":""},{"dropping-particle":"","family":"Buitenen","given":"Carin","non-dropping-particle":"Van","parse-names":false,"suffix":""},{"dropping-particle":"","family":"Winters","given":"Marjolein","non-dropping-particle":"","parse-names":false,"suffix":""},{"dropping-particle":"","family":"Andriesse","given":"Gunnar","non-dropping-particle":"","parse-names":false,"suffix":""},{"dropping-particle":"","family":"Kluytmans","given":"Jan","non-dropping-particle":"","parse-names":false,"suffix":""}],"container-title":"Antimicrobial Agents and Chemotherapy","id":"ITEM-1","issue":"9","issued":{"date-parts":[["2010"]]},"page":"3763-3769","title":"Improving quinolone use in hospitals by using a bundle of interventions in an interrupted time series analysis","type":"article-journal","volume":"54"},"uris":["http://www.mendeley.com/documents/?uuid=8ba66272-a7b5-460f-a4f8-6f8347cb1f1a"]}],"mendeley":{"formattedCitation":"(4)","plainTextFormattedCitation":"(4)","previouslyFormattedCitation":"(48)"},"properties":{"noteIndex":0},"schema":"https://github.com/citation-style-language/schema/raw/master/csl-citation.json"}</w:instrText>
            </w:r>
            <w:r>
              <w:fldChar w:fldCharType="separate"/>
            </w:r>
            <w:r w:rsidR="00E40AC6" w:rsidRPr="00E40AC6">
              <w:rPr>
                <w:b w:val="0"/>
                <w:noProof/>
              </w:rPr>
              <w:t>(4)</w:t>
            </w:r>
            <w:r>
              <w:fldChar w:fldCharType="end"/>
            </w:r>
          </w:p>
        </w:tc>
        <w:tc>
          <w:tcPr>
            <w:tcW w:w="3570"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t>B</w:t>
            </w:r>
            <w:r w:rsidRPr="00C44B9E">
              <w:t>undle of interventions in Dutch hospital</w:t>
            </w:r>
          </w:p>
        </w:tc>
        <w:tc>
          <w:tcPr>
            <w:tcW w:w="3411" w:type="dxa"/>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Netherlands</w:t>
            </w:r>
          </w:p>
        </w:tc>
        <w:tc>
          <w:tcPr>
            <w:tcW w:w="1692"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Local</w:t>
            </w:r>
          </w:p>
        </w:tc>
        <w:tc>
          <w:tcPr>
            <w:tcW w:w="1701"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Human</w:t>
            </w:r>
          </w:p>
        </w:tc>
        <w:tc>
          <w:tcPr>
            <w:tcW w:w="2375"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Conservation</w:t>
            </w:r>
          </w:p>
        </w:tc>
      </w:tr>
      <w:tr w:rsidR="0005622A" w:rsidRPr="00C44B9E" w:rsidTr="0005622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45" w:type="dxa"/>
            <w:noWrap/>
            <w:hideMark/>
          </w:tcPr>
          <w:p w:rsidR="0005622A" w:rsidRPr="00DB5E37" w:rsidRDefault="0005622A" w:rsidP="0005622A">
            <w:r w:rsidRPr="00DB5E37">
              <w:fldChar w:fldCharType="begin" w:fldLock="1"/>
            </w:r>
            <w:r w:rsidR="00E40AC6">
              <w:instrText>ADDIN CSL_CITATION {"citationItems":[{"id":"ITEM-1","itemData":{"DOI":"10.1017/ice.2018.245","ISSN":"1559-6834 (Electronic)","PMID":"30296959","abstract":"OBJECTIVE: Due to concerns over increasing fluoroquinolone (FQ) resistance among  gram-negative organisms, our stewardship program implemented a preauthorization use policy. The goal of this study was to assess the relationship between hospital FQ use and antibiotic resistance. DESIGN: Retrospective cohort. SETTING: Large academic medical center. METHODS: We performed a retrospective analysis of FQ susceptibility of hospital isolates for 5 common gram-negative bacteria: Acinetobacter spp., Enterobacter cloacae, Escherichia coli, Klebsiella pneumoniae, and Pseudomonas aeruginosa. Primary endpoint was the change of FQ susceptibility. A Poisson regression model was used to calculate the rate of change between the preintervention period (1998-2005) and the postimplementation period (2006-2016). RESULTS: Large rates of decline of FQ susceptibility began in 1998, particularly among P. aeruginosa, Acinetobacter spp., and E. cloacae. Our FQ restriction policy improved FQ use from 173 days of therapy (DOT) per 1,000 patient days to &lt;60 DOT per 1,000 patient days. Fluoroquinolone susceptibility increased for Acinetobacter spp. (rate ratio [RR], 1.038; 95% confidence interval [CI], 1.005-1.072), E. cloacae (RR, 1.028; 95% CI, 1.013-1.044), and P. aeruginosa (RR, 1.013; 95% CI, 1.006-1.020). No significant change in susceptibility was detected for K. pneumoniae (RR, 1.002; 95% CI, 0.996-1.008), and the susceptibility for E. coli continued to decline, although the decline was not as steep (RR, 0.981; 95% CI, 0.975-0.987). CONCLUSIONS: A stewardship-driven FQ restriction program stopped overall declining FQ susceptibility rates for all species except E. coli. For 3 species (ie, Acinetobacter spp, E. cloacae, and P. aeruginosa), susceptibility rates improved after implementation, and this improvement has been sustained over a 10-year period.","author":[{"dropping-particle":"","family":"Lee","given":"Rachael A","non-dropping-particle":"","parse-names":false,"suffix":""},{"dropping-particle":"","family":"Scully","given":"Morgan C","non-dropping-particle":"","parse-names":false,"suffix":""},{"dropping-particle":"","family":"Camins","given":"Bernard C","non-dropping-particle":"","parse-names":false,"suffix":""},{"dropping-particle":"","family":"Griffin","given":"Russell L","non-dropping-particle":"","parse-names":false,"suffix":""},{"dropping-particle":"","family":"Kunz","given":"Danielle F","non-dropping-particle":"","parse-names":false,"suffix":""},{"dropping-particle":"","family":"Moser","given":"Stephen A","non-dropping-particle":"","parse-names":false,"suffix":""},{"dropping-particle":"","family":"Hoesley","given":"Craig J","non-dropping-particle":"","parse-names":false,"suffix":""},{"dropping-particle":"","family":"McCarty","given":"Todd P","non-dropping-particle":"","parse-names":false,"suffix":""},{"dropping-particle":"","family":"Pappas","given":"Peter G","non-dropping-particle":"","parse-names":false,"suffix":""}],"container-title":"Infection control and hospital epidemiology","id":"ITEM-1","issue":"12","issued":{"date-parts":[["2018","12"]]},"language":"eng","page":"1419-1424","publisher-place":"United States","title":"Improvement of gram-negative susceptibility to fluoroquinolones after implementation of a pre-authorization policy for fluoroquinolone use: A decade-long experience.","type":"article-journal","volume":"39"},"uris":["http://www.mendeley.com/documents/?uuid=c28e6ab3-f31b-4eb9-82a7-916317c75c5b"]}],"mendeley":{"formattedCitation":"(5)","plainTextFormattedCitation":"(5)","previouslyFormattedCitation":"(49)"},"properties":{"noteIndex":0},"schema":"https://github.com/citation-style-language/schema/raw/master/csl-citation.json"}</w:instrText>
            </w:r>
            <w:r w:rsidRPr="00DB5E37">
              <w:fldChar w:fldCharType="separate"/>
            </w:r>
            <w:r w:rsidR="00E40AC6" w:rsidRPr="00E40AC6">
              <w:rPr>
                <w:b w:val="0"/>
                <w:noProof/>
              </w:rPr>
              <w:t>(5)</w:t>
            </w:r>
            <w:r w:rsidRPr="00DB5E37">
              <w:fldChar w:fldCharType="end"/>
            </w:r>
          </w:p>
        </w:tc>
        <w:tc>
          <w:tcPr>
            <w:tcW w:w="3570"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ASP in Alabama hospital</w:t>
            </w:r>
          </w:p>
        </w:tc>
        <w:tc>
          <w:tcPr>
            <w:tcW w:w="3411" w:type="dxa"/>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United States</w:t>
            </w:r>
          </w:p>
        </w:tc>
        <w:tc>
          <w:tcPr>
            <w:tcW w:w="1692"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Local</w:t>
            </w:r>
          </w:p>
        </w:tc>
        <w:tc>
          <w:tcPr>
            <w:tcW w:w="1701"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Human</w:t>
            </w:r>
          </w:p>
        </w:tc>
        <w:tc>
          <w:tcPr>
            <w:tcW w:w="2375"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Conservation</w:t>
            </w:r>
          </w:p>
        </w:tc>
      </w:tr>
      <w:tr w:rsidR="0005622A" w:rsidRPr="00C44B9E" w:rsidTr="0005622A">
        <w:trPr>
          <w:trHeight w:val="300"/>
        </w:trPr>
        <w:tc>
          <w:tcPr>
            <w:cnfStyle w:val="001000000000" w:firstRow="0" w:lastRow="0" w:firstColumn="1" w:lastColumn="0" w:oddVBand="0" w:evenVBand="0" w:oddHBand="0" w:evenHBand="0" w:firstRowFirstColumn="0" w:firstRowLastColumn="0" w:lastRowFirstColumn="0" w:lastRowLastColumn="0"/>
            <w:tcW w:w="1245" w:type="dxa"/>
            <w:noWrap/>
            <w:hideMark/>
          </w:tcPr>
          <w:p w:rsidR="0005622A" w:rsidRPr="00DB5E37" w:rsidRDefault="0005622A" w:rsidP="0005622A">
            <w:r w:rsidRPr="00DB5E37">
              <w:fldChar w:fldCharType="begin" w:fldLock="1"/>
            </w:r>
            <w:r w:rsidR="00E40AC6">
              <w:instrText>ADDIN CSL_CITATION {"citationItems":[{"id":"ITEM-1","itemData":{"ISSN":"0928-1231","author":[{"dropping-particle":"","family":"Ding","given":"Hui","non-dropping-particle":"","parse-names":false,"suffix":""},{"dropping-particle":"","family":"Yang","given":"Yonghong","non-dropping-particle":"","parse-names":false,"suffix":""},{"dropping-particle":"","family":"Wei","given":"Jinghai","non-dropping-particle":"","parse-names":false,"suffix":""},{"dropping-particle":"","family":"Fan","given":"Shaozhen","non-dropping-particle":"","parse-names":false,"suffix":""},{"dropping-particle":"","family":"Yu","given":"Sangjie","non-dropping-particle":"","parse-names":false,"suffix":""},{"dropping-particle":"","family":"Yao","given":"Kaihu","non-dropping-particle":"","parse-names":false,"suffix":""},{"dropping-particle":"","family":"Wang","given":"Aihua","non-dropping-particle":"","parse-names":false,"suffix":""},{"dropping-particle":"","family":"Shen","given":"Xuzhuang","non-dropping-particle":"","parse-names":false,"suffix":""}],"container-title":"Pharmacy world &amp; science","id":"ITEM-1","issue":"6","issued":{"date-parts":[["2008"]]},"page":"787-793","publisher":"Springer","title":"Influencing the use of antibiotics in a Chinese pediatric intensive care unit","type":"article-journal","volume":"30"},"uris":["http://www.mendeley.com/documents/?uuid=41967691-61b9-4311-b562-24d419681e1e"]}],"mendeley":{"formattedCitation":"(6)","plainTextFormattedCitation":"(6)","previouslyFormattedCitation":"(50)"},"properties":{"noteIndex":0},"schema":"https://github.com/citation-style-language/schema/raw/master/csl-citation.json"}</w:instrText>
            </w:r>
            <w:r w:rsidRPr="00DB5E37">
              <w:fldChar w:fldCharType="separate"/>
            </w:r>
            <w:r w:rsidR="00E40AC6" w:rsidRPr="00E40AC6">
              <w:rPr>
                <w:b w:val="0"/>
                <w:noProof/>
              </w:rPr>
              <w:t>(6)</w:t>
            </w:r>
            <w:r w:rsidRPr="00DB5E37">
              <w:fldChar w:fldCharType="end"/>
            </w:r>
          </w:p>
        </w:tc>
        <w:tc>
          <w:tcPr>
            <w:tcW w:w="3570"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t>G</w:t>
            </w:r>
            <w:r w:rsidRPr="00C44B9E">
              <w:t>uideline for rational use in paediatric unit</w:t>
            </w:r>
          </w:p>
        </w:tc>
        <w:tc>
          <w:tcPr>
            <w:tcW w:w="3411" w:type="dxa"/>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China</w:t>
            </w:r>
          </w:p>
        </w:tc>
        <w:tc>
          <w:tcPr>
            <w:tcW w:w="1692"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Local</w:t>
            </w:r>
          </w:p>
        </w:tc>
        <w:tc>
          <w:tcPr>
            <w:tcW w:w="1701"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Human</w:t>
            </w:r>
          </w:p>
        </w:tc>
        <w:tc>
          <w:tcPr>
            <w:tcW w:w="2375"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Conservation</w:t>
            </w:r>
          </w:p>
        </w:tc>
      </w:tr>
      <w:tr w:rsidR="0005622A" w:rsidRPr="00C44B9E" w:rsidTr="0005622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45" w:type="dxa"/>
            <w:noWrap/>
            <w:hideMark/>
          </w:tcPr>
          <w:p w:rsidR="0005622A" w:rsidRPr="00DB5E37" w:rsidRDefault="0005622A" w:rsidP="0005622A">
            <w:r w:rsidRPr="00DB5E37">
              <w:fldChar w:fldCharType="begin" w:fldLock="1"/>
            </w:r>
            <w:r w:rsidR="00E40AC6">
              <w:instrText>ADDIN CSL_CITATION {"citationItems":[{"id":"ITEM-1","itemData":{"ISSN":"0924-8579","author":[{"dropping-particle":"","family":"Petrikkos","given":"George","non-dropping-particle":"","parse-names":false,"suffix":""},{"dropping-particle":"","family":"Markogiannakis","given":"Antonios","non-dropping-particle":"","parse-names":false,"suffix":""},{"dropping-particle":"","family":"Papapareskevas","given":"Joseph","non-dropping-particle":"","parse-names":false,"suffix":""},{"dropping-particle":"","family":"Daikos","given":"George L","non-dropping-particle":"","parse-names":false,"suffix":""},{"dropping-particle":"","family":"Stefanakos","given":"George","non-dropping-particle":"","parse-names":false,"suffix":""},{"dropping-particle":"","family":"Zissis","given":"Nicholas P","non-dropping-particle":"","parse-names":false,"suffix":""},{"dropping-particle":"","family":"Avlamis","given":"Athina","non-dropping-particle":"","parse-names":false,"suffix":""}],"container-title":"International journal of antimicrobial agents","id":"ITEM-1","issue":"1","issued":{"date-parts":[["2007"]]},"page":"34-38","publisher":"Elsevier","title":"Differences in the changes in resistance patterns to third-and fourth-generation cephalosporins and piperacillin/tazobactam among Klebsiella pneumoniae and Escherichia coli clinical isolates following a restriction policy in a Greek tertiary care hospital","type":"article-journal","volume":"29"},"uris":["http://www.mendeley.com/documents/?uuid=41a51d30-8335-44e7-a0d2-577a7dee4f2a"]}],"mendeley":{"formattedCitation":"(7)","plainTextFormattedCitation":"(7)","previouslyFormattedCitation":"(51)"},"properties":{"noteIndex":0},"schema":"https://github.com/citation-style-language/schema/raw/master/csl-citation.json"}</w:instrText>
            </w:r>
            <w:r w:rsidRPr="00DB5E37">
              <w:fldChar w:fldCharType="separate"/>
            </w:r>
            <w:r w:rsidR="00E40AC6" w:rsidRPr="00E40AC6">
              <w:rPr>
                <w:b w:val="0"/>
                <w:noProof/>
              </w:rPr>
              <w:t>(7)</w:t>
            </w:r>
            <w:r w:rsidRPr="00DB5E37">
              <w:fldChar w:fldCharType="end"/>
            </w:r>
          </w:p>
        </w:tc>
        <w:tc>
          <w:tcPr>
            <w:tcW w:w="3570"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t>R</w:t>
            </w:r>
            <w:r w:rsidRPr="00C44B9E">
              <w:t>estriction policy in Greek hospital</w:t>
            </w:r>
          </w:p>
        </w:tc>
        <w:tc>
          <w:tcPr>
            <w:tcW w:w="3411" w:type="dxa"/>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Greece</w:t>
            </w:r>
          </w:p>
        </w:tc>
        <w:tc>
          <w:tcPr>
            <w:tcW w:w="1692"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Local</w:t>
            </w:r>
          </w:p>
        </w:tc>
        <w:tc>
          <w:tcPr>
            <w:tcW w:w="1701"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Human</w:t>
            </w:r>
          </w:p>
        </w:tc>
        <w:tc>
          <w:tcPr>
            <w:tcW w:w="2375"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Conservation</w:t>
            </w:r>
          </w:p>
        </w:tc>
      </w:tr>
      <w:tr w:rsidR="0005622A" w:rsidRPr="00C44B9E" w:rsidTr="0005622A">
        <w:trPr>
          <w:trHeight w:val="300"/>
        </w:trPr>
        <w:tc>
          <w:tcPr>
            <w:cnfStyle w:val="001000000000" w:firstRow="0" w:lastRow="0" w:firstColumn="1" w:lastColumn="0" w:oddVBand="0" w:evenVBand="0" w:oddHBand="0" w:evenHBand="0" w:firstRowFirstColumn="0" w:firstRowLastColumn="0" w:lastRowFirstColumn="0" w:lastRowLastColumn="0"/>
            <w:tcW w:w="1245" w:type="dxa"/>
            <w:noWrap/>
            <w:hideMark/>
          </w:tcPr>
          <w:p w:rsidR="0005622A" w:rsidRPr="00DB5E37" w:rsidRDefault="0005622A" w:rsidP="0005622A">
            <w:r w:rsidRPr="00DB5E37">
              <w:fldChar w:fldCharType="begin" w:fldLock="1"/>
            </w:r>
            <w:r w:rsidR="00E40AC6">
              <w:instrText>ADDIN CSL_CITATION {"citationItems":[{"id":"ITEM-1","itemData":{"ISSN":"0196-6553","author":[{"dropping-particle":"","family":"Kim","given":"Nak-Hyun","non-dropping-particle":"","parse-names":false,"suffix":""},{"dropping-particle":"","family":"Han","given":"Woong-Dae","non-dropping-particle":"","parse-names":false,"suffix":""},{"dropping-particle":"","family":"Song","given":"Kyoung-Ho","non-dropping-particle":"","parse-names":false,"suffix":""},{"dropping-particle":"","family":"Seo","given":"Hye-kyung","non-dropping-particle":"","parse-names":false,"suffix":""},{"dropping-particle":"","family":"Shin","given":"Myoung-jin","non-dropping-particle":"","parse-names":false,"suffix":""},{"dropping-particle":"","family":"Kim","given":"Taek Soo","non-dropping-particle":"","parse-names":false,"suffix":""},{"dropping-particle":"","family":"Park","given":"Kyoung Un","non-dropping-particle":"","parse-names":false,"suffix":""},{"dropping-particle":"","family":"Ahn","given":"Soyeon","non-dropping-particle":"","parse-names":false,"suffix":""},{"dropping-particle":"","family":"Yoo","given":"Jung Sik","non-dropping-particle":"","parse-names":false,"suffix":""},{"dropping-particle":"","family":"Kim","given":"Eu Suk","non-dropping-particle":"","parse-names":false,"suffix":""}],"container-title":"American journal of infection control","id":"ITEM-1","issue":"12","issued":{"date-parts":[["2014"]]},"page":"1270-1273","publisher":"Elsevier","title":"Successful containment of carbapenem-resistant Enterobacteriaceae by strict contact precautions without active surveillance","type":"article-journal","volume":"42"},"uris":["http://www.mendeley.com/documents/?uuid=1ed6b8ab-27aa-40f0-bb49-0fa4ea32a383"]}],"mendeley":{"formattedCitation":"(8)","plainTextFormattedCitation":"(8)","previouslyFormattedCitation":"(52)"},"properties":{"noteIndex":0},"schema":"https://github.com/citation-style-language/schema/raw/master/csl-citation.json"}</w:instrText>
            </w:r>
            <w:r w:rsidRPr="00DB5E37">
              <w:fldChar w:fldCharType="separate"/>
            </w:r>
            <w:r w:rsidR="00E40AC6" w:rsidRPr="00E40AC6">
              <w:rPr>
                <w:b w:val="0"/>
                <w:noProof/>
              </w:rPr>
              <w:t>(8)</w:t>
            </w:r>
            <w:r w:rsidRPr="00DB5E37">
              <w:fldChar w:fldCharType="end"/>
            </w:r>
          </w:p>
        </w:tc>
        <w:tc>
          <w:tcPr>
            <w:tcW w:w="3570"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t>S</w:t>
            </w:r>
            <w:r w:rsidRPr="00C44B9E">
              <w:t>tewardship South Korean hospital</w:t>
            </w:r>
          </w:p>
        </w:tc>
        <w:tc>
          <w:tcPr>
            <w:tcW w:w="3411" w:type="dxa"/>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South Korea</w:t>
            </w:r>
          </w:p>
        </w:tc>
        <w:tc>
          <w:tcPr>
            <w:tcW w:w="1692"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Local</w:t>
            </w:r>
          </w:p>
        </w:tc>
        <w:tc>
          <w:tcPr>
            <w:tcW w:w="1701"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Human</w:t>
            </w:r>
          </w:p>
        </w:tc>
        <w:tc>
          <w:tcPr>
            <w:tcW w:w="2375"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Surveillance, Conservation</w:t>
            </w:r>
          </w:p>
        </w:tc>
      </w:tr>
      <w:tr w:rsidR="0005622A" w:rsidRPr="00C44B9E" w:rsidTr="0005622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45" w:type="dxa"/>
            <w:noWrap/>
            <w:hideMark/>
          </w:tcPr>
          <w:p w:rsidR="0005622A" w:rsidRPr="00DB5E37" w:rsidRDefault="0005622A" w:rsidP="0005622A">
            <w:r w:rsidRPr="00DB5E37">
              <w:lastRenderedPageBreak/>
              <w:fldChar w:fldCharType="begin" w:fldLock="1"/>
            </w:r>
            <w:r w:rsidR="00E40AC6">
              <w:instrText>ADDIN CSL_CITATION {"citationItems":[{"id":"ITEM-1","itemData":{"ISSN":"0195-6701","author":[{"dropping-particle":"","family":"Champs","given":"C","non-dropping-particle":"De","parse-names":false,"suffix":""},{"dropping-particle":"","family":"Franchineau","given":"P","non-dropping-particle":"","parse-names":false,"suffix":""},{"dropping-particle":"","family":"Gourgand","given":"J M","non-dropping-particle":"","parse-names":false,"suffix":""},{"dropping-particle":"","family":"Loriette","given":"Y","non-dropping-particle":"","parse-names":false,"suffix":""},{"dropping-particle":"","family":"Gaulme","given":"J","non-dropping-particle":"","parse-names":false,"suffix":""},{"dropping-particle":"","family":"Sirot","given":"J","non-dropping-particle":"","parse-names":false,"suffix":""}],"container-title":"Journal of hospital infection","id":"ITEM-1","issue":"3","issued":{"date-parts":[["1994"]]},"page":"219-229","publisher":"Elsevier","title":"Clinical and bacteriological survey after change in aminoglycoside treatment to control an epidemic of Enterobacter cloacae","type":"article-journal","volume":"28"},"uris":["http://www.mendeley.com/documents/?uuid=4d6e8061-e9d8-44bb-a82d-1caa9fa0e8cb"]}],"mendeley":{"formattedCitation":"(9)","plainTextFormattedCitation":"(9)","previouslyFormattedCitation":"(53)"},"properties":{"noteIndex":0},"schema":"https://github.com/citation-style-language/schema/raw/master/csl-citation.json"}</w:instrText>
            </w:r>
            <w:r w:rsidRPr="00DB5E37">
              <w:fldChar w:fldCharType="separate"/>
            </w:r>
            <w:r w:rsidR="00E40AC6" w:rsidRPr="00E40AC6">
              <w:rPr>
                <w:b w:val="0"/>
                <w:noProof/>
              </w:rPr>
              <w:t>(9)</w:t>
            </w:r>
            <w:r w:rsidRPr="00DB5E37">
              <w:fldChar w:fldCharType="end"/>
            </w:r>
          </w:p>
        </w:tc>
        <w:tc>
          <w:tcPr>
            <w:tcW w:w="3570"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Gentamycin replacement</w:t>
            </w:r>
          </w:p>
        </w:tc>
        <w:tc>
          <w:tcPr>
            <w:tcW w:w="3411" w:type="dxa"/>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France</w:t>
            </w:r>
          </w:p>
        </w:tc>
        <w:tc>
          <w:tcPr>
            <w:tcW w:w="1692"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Local</w:t>
            </w:r>
          </w:p>
        </w:tc>
        <w:tc>
          <w:tcPr>
            <w:tcW w:w="1701"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Human</w:t>
            </w:r>
          </w:p>
        </w:tc>
        <w:tc>
          <w:tcPr>
            <w:tcW w:w="2375"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Conservation</w:t>
            </w:r>
          </w:p>
        </w:tc>
      </w:tr>
      <w:tr w:rsidR="0005622A" w:rsidRPr="00C44B9E" w:rsidTr="0005622A">
        <w:trPr>
          <w:trHeight w:val="300"/>
        </w:trPr>
        <w:tc>
          <w:tcPr>
            <w:cnfStyle w:val="001000000000" w:firstRow="0" w:lastRow="0" w:firstColumn="1" w:lastColumn="0" w:oddVBand="0" w:evenVBand="0" w:oddHBand="0" w:evenHBand="0" w:firstRowFirstColumn="0" w:firstRowLastColumn="0" w:lastRowFirstColumn="0" w:lastRowLastColumn="0"/>
            <w:tcW w:w="1245" w:type="dxa"/>
            <w:noWrap/>
            <w:hideMark/>
          </w:tcPr>
          <w:p w:rsidR="0005622A" w:rsidRPr="00C44B9E" w:rsidRDefault="0005622A" w:rsidP="0005622A">
            <w:r>
              <w:fldChar w:fldCharType="begin" w:fldLock="1"/>
            </w:r>
            <w:r w:rsidR="00E40AC6">
              <w:instrText>ADDIN CSL_CITATION {"citationItems":[{"id":"ITEM-1","itemData":{"DOI":"10.18999/nagjms.74.1-2.93","ISSN":"00277622","PMID":"22515115","abstract":"Some drug management systems have been established in Japanese hospitals to reduce medical costs and regulate drug usage. Among the many available prescription drugs, antimicrobials should be given special attention because their inappropriate use often leads to sudden outbreaks of resistant bacteria. As drug specialists, pharmacists should monitor the use of all drugs, particularly antimicrobials. Carbapenems are a class of broad-spectrum antimicrobials that are widely used to treat infections worldwide. However, their inappropriate use has led to an increase in the incidence of drug-resistant bacteria and consequently, medical costs, at hospitals. To reduce inappropriate use and drug resistance, we have established a permission system to control the use of carbapenems at the Japanese Red Cross Nagoya Daiichi Hospital. In this study, we retrospectively evaluated the applicability of the new permission system compared to that of the notification system and the non control system for 14 months each. The two management systems were able to maintain total antibiotic use density and control the outbreak of drug-resistant bacteria (P. aeruginosa, E. coli, and K. pneumoniae). The number of carbapenem prescriptions was decreased dramatically when this permission system was enforced. Compared to the non control system, the cost of antimicrobials was reduced by $757,470 for the 14-month study period using the permission system. These results suggest that our system to control the use of antimicrobials can efficiently suppress the incidence of drug-resistant bacteria and medical costs at hospitals.","author":[{"dropping-particle":"","family":"Ikeda","given":"Yoshiaki","non-dropping-particle":"","parse-names":false,"suffix":""},{"dropping-particle":"","family":"Mamiya","given":"Takayoshi","non-dropping-particle":"","parse-names":false,"suffix":""},{"dropping-particle":"","family":"Nishiyama","given":"Hideki","non-dropping-particle":"","parse-names":false,"suffix":""},{"dropping-particle":"","family":"Narusawa","given":"Shiho","non-dropping-particle":"","parse-names":false,"suffix":""},{"dropping-particle":"","family":"Koseki","given":"Takenao","non-dropping-particle":"","parse-names":false,"suffix":""},{"dropping-particle":"","family":"Mouri","given":"Akihiro","non-dropping-particle":"","parse-names":false,"suffix":""},{"dropping-particle":"","family":"Nabeshima","given":"Toshitaka","non-dropping-particle":"","parse-names":false,"suffix":""}],"container-title":"Nagoya Journal of Medical Science","id":"ITEM-1","issue":"1-2","issued":{"date-parts":[["2012"]]},"page":"93-104","title":"A permission system for carbapenem use reduced incidence of drug-resistant bacteria and cost of antimicrobials at a general hospital in japan","type":"article-journal","volume":"74"},"uris":["http://www.mendeley.com/documents/?uuid=99faf27c-20ca-4ed4-8471-5036b288c124"]}],"mendeley":{"formattedCitation":"(10)","plainTextFormattedCitation":"(10)","previouslyFormattedCitation":"(54)"},"properties":{"noteIndex":0},"schema":"https://github.com/citation-style-language/schema/raw/master/csl-citation.json"}</w:instrText>
            </w:r>
            <w:r>
              <w:fldChar w:fldCharType="separate"/>
            </w:r>
            <w:r w:rsidR="00E40AC6" w:rsidRPr="00E40AC6">
              <w:rPr>
                <w:b w:val="0"/>
                <w:noProof/>
              </w:rPr>
              <w:t>(10)</w:t>
            </w:r>
            <w:r>
              <w:fldChar w:fldCharType="end"/>
            </w:r>
          </w:p>
        </w:tc>
        <w:tc>
          <w:tcPr>
            <w:tcW w:w="3570"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ICT Red cross hospital</w:t>
            </w:r>
          </w:p>
        </w:tc>
        <w:tc>
          <w:tcPr>
            <w:tcW w:w="3411" w:type="dxa"/>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Japan</w:t>
            </w:r>
          </w:p>
        </w:tc>
        <w:tc>
          <w:tcPr>
            <w:tcW w:w="1692"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Local</w:t>
            </w:r>
          </w:p>
        </w:tc>
        <w:tc>
          <w:tcPr>
            <w:tcW w:w="1701"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Human</w:t>
            </w:r>
          </w:p>
        </w:tc>
        <w:tc>
          <w:tcPr>
            <w:tcW w:w="2375"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Conservation</w:t>
            </w:r>
          </w:p>
        </w:tc>
      </w:tr>
      <w:tr w:rsidR="0005622A" w:rsidRPr="00C44B9E" w:rsidTr="0005622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45" w:type="dxa"/>
            <w:noWrap/>
            <w:hideMark/>
          </w:tcPr>
          <w:p w:rsidR="0005622A" w:rsidRPr="00C44B9E" w:rsidRDefault="0005622A" w:rsidP="0005622A">
            <w:r>
              <w:fldChar w:fldCharType="begin" w:fldLock="1"/>
            </w:r>
            <w:r w:rsidR="00E40AC6">
              <w:instrText>ADDIN CSL_CITATION {"citationItems":[{"id":"ITEM-1","itemData":{"DOI":"10.1016/j.ijantimicag.2011.08.011","ISSN":"09248579","abstract":"Antibiotic stewardship is important to address the problem of antimicrobial resistance, but a practical and sustainable strategy to provide stewardship in a large hospital setting is lacking. We developed a hospital-wide computerised antimicrobial approval system (HCAAS) to guide the use of antimicrobial agents in late 2004 in a 3500-bed medical centre in Taiwan. The objective of this study was to evaluate the impacts of HCAAS on the hospital from 2003 to 2009. Following HCAAS deployment, the gradients of consumption over time during the study period of third- and fourth-generation cephalosporins, fluoroquinolones and glycopeptides fell significantly, whilst that of carbapenems increased. The amount and expenditure of antimicrobial use did not increase with the overall healthcare-associated infection rate, and inpatient mortality rate remained stable with a slight decreasing trend. The rate of meticillin-resistant Staphylococcus aureus started to decline in 2002 and continued after HCAAS deployment. There was an increasing isolation of extended-spectrum β-lactamase-producing Escherichia coli and Klebsiella pneumoniae, presumably leading to the increased use of carbapenems. The isolation rate of Clostridium difficile from patients who developed diarrhoea after antimicrobial therapy did not change over the years, with a mean annual rate of 10.0% after the implementation of HCAAS. HCAAS along with strict infection control measures is necessary to reduce the spread of resistant organisms within the hospital. HCAAS is a sustainable system for providing antibiotic stewardship and exerts a positive impact on the hospital by reducing antimicrobial consumption and expenditure whilst not compromising healthcare quality. © 2011 Elsevier B.V. and the International Society of Chemotherapy.","author":[{"dropping-particle":"","family":"Chan","given":"Yuk Ying","non-dropping-particle":"","parse-names":false,"suffix":""},{"dropping-particle":"","family":"Lin","given":"Tzou Yien","non-dropping-particle":"","parse-names":false,"suffix":""},{"dropping-particle":"","family":"Huang","given":"Ching Tai","non-dropping-particle":"","parse-names":false,"suffix":""},{"dropping-particle":"","family":"Deng","given":"Shin Tarng","non-dropping-particle":"","parse-names":false,"suffix":""},{"dropping-particle":"","family":"Wu","given":"Tsu Lan","non-dropping-particle":"","parse-names":false,"suffix":""},{"dropping-particle":"","family":"Leu","given":"Hsieh Shong","non-dropping-particle":"","parse-names":false,"suffix":""},{"dropping-particle":"","family":"Chiu","given":"Cheng Hsun","non-dropping-particle":"","parse-names":false,"suffix":""}],"container-title":"International Journal of Antimicrobial Agents","id":"ITEM-1","issue":"6","issued":{"date-parts":[["2011"]]},"page":"486-492","title":"Implementation and outcomes of a hospital-wide computerised antimicrobial stewardship programme in a large medical centre in Taiwan","type":"article-journal","volume":"38"},"uris":["http://www.mendeley.com/documents/?uuid=ecf9d233-b35b-4ccb-93f0-ecc0d5fee90f"]}],"mendeley":{"formattedCitation":"(11)","plainTextFormattedCitation":"(11)","previouslyFormattedCitation":"(55)"},"properties":{"noteIndex":0},"schema":"https://github.com/citation-style-language/schema/raw/master/csl-citation.json"}</w:instrText>
            </w:r>
            <w:r>
              <w:fldChar w:fldCharType="separate"/>
            </w:r>
            <w:r w:rsidR="00E40AC6" w:rsidRPr="00E40AC6">
              <w:rPr>
                <w:b w:val="0"/>
                <w:noProof/>
              </w:rPr>
              <w:t>(11)</w:t>
            </w:r>
            <w:r>
              <w:fldChar w:fldCharType="end"/>
            </w:r>
          </w:p>
        </w:tc>
        <w:tc>
          <w:tcPr>
            <w:tcW w:w="3570"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HCAAS</w:t>
            </w:r>
          </w:p>
        </w:tc>
        <w:tc>
          <w:tcPr>
            <w:tcW w:w="3411" w:type="dxa"/>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Taiwan</w:t>
            </w:r>
          </w:p>
        </w:tc>
        <w:tc>
          <w:tcPr>
            <w:tcW w:w="1692"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Local</w:t>
            </w:r>
          </w:p>
        </w:tc>
        <w:tc>
          <w:tcPr>
            <w:tcW w:w="1701"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Human</w:t>
            </w:r>
          </w:p>
        </w:tc>
        <w:tc>
          <w:tcPr>
            <w:tcW w:w="2375"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Conservation</w:t>
            </w:r>
          </w:p>
        </w:tc>
      </w:tr>
      <w:tr w:rsidR="0005622A" w:rsidRPr="00C44B9E" w:rsidTr="0005622A">
        <w:trPr>
          <w:trHeight w:val="300"/>
        </w:trPr>
        <w:tc>
          <w:tcPr>
            <w:cnfStyle w:val="001000000000" w:firstRow="0" w:lastRow="0" w:firstColumn="1" w:lastColumn="0" w:oddVBand="0" w:evenVBand="0" w:oddHBand="0" w:evenHBand="0" w:firstRowFirstColumn="0" w:firstRowLastColumn="0" w:lastRowFirstColumn="0" w:lastRowLastColumn="0"/>
            <w:tcW w:w="1245" w:type="dxa"/>
            <w:noWrap/>
            <w:hideMark/>
          </w:tcPr>
          <w:p w:rsidR="0005622A" w:rsidRPr="00C44B9E" w:rsidRDefault="0005622A" w:rsidP="0005622A">
            <w:r>
              <w:fldChar w:fldCharType="begin" w:fldLock="1"/>
            </w:r>
            <w:r w:rsidR="00E40AC6">
              <w:instrText>ADDIN CSL_CITATION {"citationItems":[{"id":"ITEM-1","itemData":{"ISSN":"0934-9723","author":[{"dropping-particle":"","family":"Zou","given":"Y M","non-dropping-particle":"","parse-names":false,"suffix":""},{"dropping-particle":"","family":"Ma","given":"Y","non-dropping-particle":"","parse-names":false,"suffix":""},{"dropping-particle":"","family":"Liu","given":"J H","non-dropping-particle":"","parse-names":false,"suffix":""},{"dropping-particle":"","family":"Shi","given":"J","non-dropping-particle":"","parse-names":false,"suffix":""},{"dropping-particle":"","family":"Fan","given":"T","non-dropping-particle":"","parse-names":false,"suffix":""},{"dropping-particle":"","family":"Shan","given":"Y Y","non-dropping-particle":"","parse-names":false,"suffix":""},{"dropping-particle":"","family":"Yao","given":"H P","non-dropping-particle":"","parse-names":false,"suffix":""},{"dropping-particle":"","family":"Dong","given":"Y L","non-dropping-particle":"","parse-names":false,"suffix":""}],"container-title":"European Journal of Clinical Microbiology &amp; Infectious Diseases","id":"ITEM-1","issue":"4","issued":{"date-parts":[["2015"]]},"page":"795-803","publisher":"Springer","title":"Trends and correlation of antibacterial usage and bacterial resistance: time series analysis for antibacterial stewardship in a Chinese teaching hospital (2009–2013)","type":"article-journal","volume":"34"},"uris":["http://www.mendeley.com/documents/?uuid=5b3a17ce-8d80-4750-9fed-a6f6ca63b93e"]}],"mendeley":{"formattedCitation":"(12)","plainTextFormattedCitation":"(12)","previouslyFormattedCitation":"(56)"},"properties":{"noteIndex":0},"schema":"https://github.com/citation-style-language/schema/raw/master/csl-citation.json"}</w:instrText>
            </w:r>
            <w:r>
              <w:fldChar w:fldCharType="separate"/>
            </w:r>
            <w:r w:rsidR="00E40AC6" w:rsidRPr="00E40AC6">
              <w:rPr>
                <w:b w:val="0"/>
                <w:noProof/>
              </w:rPr>
              <w:t>(12)</w:t>
            </w:r>
            <w:r>
              <w:fldChar w:fldCharType="end"/>
            </w:r>
          </w:p>
        </w:tc>
        <w:tc>
          <w:tcPr>
            <w:tcW w:w="3570"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CASRA</w:t>
            </w:r>
          </w:p>
        </w:tc>
        <w:tc>
          <w:tcPr>
            <w:tcW w:w="3411" w:type="dxa"/>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China</w:t>
            </w:r>
          </w:p>
        </w:tc>
        <w:tc>
          <w:tcPr>
            <w:tcW w:w="1692"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National</w:t>
            </w:r>
          </w:p>
        </w:tc>
        <w:tc>
          <w:tcPr>
            <w:tcW w:w="1701"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Human</w:t>
            </w:r>
          </w:p>
        </w:tc>
        <w:tc>
          <w:tcPr>
            <w:tcW w:w="2375"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Surveillance</w:t>
            </w:r>
          </w:p>
        </w:tc>
      </w:tr>
      <w:tr w:rsidR="0005622A" w:rsidRPr="00C44B9E" w:rsidTr="0005622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45" w:type="dxa"/>
            <w:noWrap/>
            <w:hideMark/>
          </w:tcPr>
          <w:p w:rsidR="0005622A" w:rsidRPr="00C44B9E" w:rsidRDefault="0005622A" w:rsidP="0005622A">
            <w:r>
              <w:fldChar w:fldCharType="begin" w:fldLock="1"/>
            </w:r>
            <w:r w:rsidR="00E40AC6">
              <w:instrText>ADDIN CSL_CITATION {"citationItems":[{"id":"ITEM-1","itemData":{"DOI":"10.3109/03009734.2014.909911","ISSN":"03009734","abstract":"Background. The aim of this paper was to describe and analyze the effect of antibiotic policy changes on antibiotic consumption in Swedish hospitals and to review antibiotic stewardship in Swedish hospitals. Results. The main findings were: 1) Antibiotic consumption has significantly increased in Swedish hospitals over the last decade. The consumption of cephalosporins has decreased, whereas that of most other drugs including piperacillin-tazobactam, carbapenems, and penicillinase-sensitive and -resistant penicillins has increased and replaced cephalosporins. 2) Invasive infections caused by ESBL-producing Escherichia coli and Klebsiella pneumoniae have increased, but the proportion of pathogens resistant to third-generation cephalosporins causing invasive infections is still very low in a European and international perspective. Furthermore, the following gaps in knowledge were identified: 1) lack of national, regional, and local data on the incidence of antibiotic resistance among bacteria causing hospital-acquired infections e.g. bloodstream infections and hospital-acquired pneumonia-data on which standard treatment guidelines should be based; 2) lack of data on the incidence of Clostridium difficile infections and the effect of change of antibiotic policies on the incidence of C. difficile infections and infections caused by antibiotic-resistant pathogens; and 3) lack of prospective surveillance programs regarding appropriate antibiotic treatment, including selection of optimal antimicrobial drug regimens, dosage, duration of therapy, and adverse ecological effects such as increases in C. difficile infections and emergence of antibiotic-resistant pathogens. Conclusions. Evidence-based actions to improve antibiotic use and to slow down the problem of antibiotic resistance need to be strengthened. The effect of such actions should be analyzed, and standard treatment guidelines should be continuously updated at national, regional, and local levels. © 2014 Informa Healthcare.","author":[{"dropping-particle":"","family":"Hanberger","given":"Håkan","non-dropping-particle":"","parse-names":false,"suffix":""},{"dropping-particle":"","family":"Skoog","given":"Gunilla","non-dropping-particle":"","parse-names":false,"suffix":""},{"dropping-particle":"","family":"Ternhag","given":"Anders","non-dropping-particle":"","parse-names":false,"suffix":""},{"dropping-particle":"","family":"Giske","given":"Christian G.","non-dropping-particle":"","parse-names":false,"suffix":""}],"container-title":"Upsala Journal of Medical Sciences","id":"ITEM-1","issue":"2","issued":{"date-parts":[["2014"]]},"page":"154-161","title":"Antibiotic consumption and antibiotic stewardship in Swedish hospitals","type":"article-journal","volume":"119"},"uris":["http://www.mendeley.com/documents/?uuid=445d97d6-d462-4f44-add2-023086b3406c"]}],"mendeley":{"formattedCitation":"(13)","plainTextFormattedCitation":"(13)","previouslyFormattedCitation":"(57)"},"properties":{"noteIndex":0},"schema":"https://github.com/citation-style-language/schema/raw/master/csl-citation.json"}</w:instrText>
            </w:r>
            <w:r>
              <w:fldChar w:fldCharType="separate"/>
            </w:r>
            <w:r w:rsidR="00E40AC6" w:rsidRPr="00E40AC6">
              <w:rPr>
                <w:b w:val="0"/>
                <w:noProof/>
              </w:rPr>
              <w:t>(13)</w:t>
            </w:r>
            <w:r>
              <w:fldChar w:fldCharType="end"/>
            </w:r>
          </w:p>
        </w:tc>
        <w:tc>
          <w:tcPr>
            <w:tcW w:w="3570"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proofErr w:type="spellStart"/>
            <w:r w:rsidRPr="00C44B9E">
              <w:t>Strama</w:t>
            </w:r>
            <w:proofErr w:type="spellEnd"/>
          </w:p>
        </w:tc>
        <w:tc>
          <w:tcPr>
            <w:tcW w:w="3411" w:type="dxa"/>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Sweden</w:t>
            </w:r>
          </w:p>
        </w:tc>
        <w:tc>
          <w:tcPr>
            <w:tcW w:w="1692"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National</w:t>
            </w:r>
          </w:p>
        </w:tc>
        <w:tc>
          <w:tcPr>
            <w:tcW w:w="1701"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Human</w:t>
            </w:r>
          </w:p>
        </w:tc>
        <w:tc>
          <w:tcPr>
            <w:tcW w:w="2375"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Conservation</w:t>
            </w:r>
          </w:p>
        </w:tc>
      </w:tr>
      <w:tr w:rsidR="0005622A" w:rsidRPr="00C44B9E" w:rsidTr="0005622A">
        <w:trPr>
          <w:trHeight w:val="300"/>
        </w:trPr>
        <w:tc>
          <w:tcPr>
            <w:cnfStyle w:val="001000000000" w:firstRow="0" w:lastRow="0" w:firstColumn="1" w:lastColumn="0" w:oddVBand="0" w:evenVBand="0" w:oddHBand="0" w:evenHBand="0" w:firstRowFirstColumn="0" w:firstRowLastColumn="0" w:lastRowFirstColumn="0" w:lastRowLastColumn="0"/>
            <w:tcW w:w="1245" w:type="dxa"/>
            <w:noWrap/>
            <w:hideMark/>
          </w:tcPr>
          <w:p w:rsidR="0005622A" w:rsidRPr="00C44B9E" w:rsidRDefault="0005622A" w:rsidP="0005622A">
            <w:r>
              <w:fldChar w:fldCharType="begin" w:fldLock="1"/>
            </w:r>
            <w:r w:rsidR="00E40AC6">
              <w:instrText>ADDIN CSL_CITATION {"citationItems":[{"id":"ITEM-1","itemData":{"DOI":"10.7150/ijms.8.339","ISSN":"14491907","PMID":"21647326","abstract":"Purpose: Antimicrobial resistance among microorganisms is a global concern. In 2003, a nationwide antibiotic restriction program (NARP) was released in Turkey. In this study we evaluated the effect of NARP on antibiotic consumption, antimicrobial resistance, and cost. Materials and Methods: The data obtained from all of the four university hospitals, and one referral tertiary-care educational state hospital in Ankara. Antimicrobial resistance profiles of 14,233 selected microorganisms all grown in blood cultures and antibiotic consumption from 2001 to 2005 were analyzed retrospectively. Results: A negative correlation was observed between the ceftriaxone consumption and the prevalence of ceftriaxone resistant E.coli and Klebsiella spp. (rho:-0.395, p:0.332 and rho:-0.627, p:0.037, respectively). The decreased usage of carbapenems was correlated with decreased carbapenems-resistant Pseudomonas spp. and Acinetobacter spp (rho:0.155, p:0.712 and rho:0.180, p:0.668, respectively for imipenem). Methicillin resistance rates of S.aureus were decreased from 44% to 41%. After two years of NARP 5,389,155.82 USD saving occurred. Conclusion: NARP is effective in lowering the costs and antibiotic resistance. © Ivyspring International Publisher.","author":[{"dropping-particle":"","family":"Altunsoy","given":"Adalet","non-dropping-particle":"","parse-names":false,"suffix":""},{"dropping-particle":"","family":"Aypak","given":"Cenk","non-dropping-particle":"","parse-names":false,"suffix":""},{"dropping-particle":"","family":"Azap","given":"Alpay","non-dropping-particle":"","parse-names":false,"suffix":""},{"dropping-particle":"","family":"Ergönül","given":"Önder","non-dropping-particle":"","parse-names":false,"suffix":""},{"dropping-particle":"","family":"Balik","given":"Ismail","non-dropping-particle":"","parse-names":false,"suffix":""}],"container-title":"International Journal of Medical Sciences","id":"ITEM-1","issue":"4","issued":{"date-parts":[["2011"]]},"page":"339-344","title":"The impact of a nationwide antibiotic restriction program on antibiotic usage and resistance against nosocomial pathogens in Turkey","type":"article-journal","volume":"8"},"uris":["http://www.mendeley.com/documents/?uuid=5f96aac0-ee44-4b60-9d2c-c68dd5e34f5e"]}],"mendeley":{"formattedCitation":"(14)","plainTextFormattedCitation":"(14)","previouslyFormattedCitation":"(58)"},"properties":{"noteIndex":0},"schema":"https://github.com/citation-style-language/schema/raw/master/csl-citation.json"}</w:instrText>
            </w:r>
            <w:r>
              <w:fldChar w:fldCharType="separate"/>
            </w:r>
            <w:r w:rsidR="00E40AC6" w:rsidRPr="00E40AC6">
              <w:rPr>
                <w:b w:val="0"/>
                <w:noProof/>
              </w:rPr>
              <w:t>(14)</w:t>
            </w:r>
            <w:r>
              <w:fldChar w:fldCharType="end"/>
            </w:r>
          </w:p>
        </w:tc>
        <w:tc>
          <w:tcPr>
            <w:tcW w:w="3570"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NARP</w:t>
            </w:r>
          </w:p>
        </w:tc>
        <w:tc>
          <w:tcPr>
            <w:tcW w:w="3411" w:type="dxa"/>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Turkey</w:t>
            </w:r>
          </w:p>
        </w:tc>
        <w:tc>
          <w:tcPr>
            <w:tcW w:w="1692"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National</w:t>
            </w:r>
          </w:p>
        </w:tc>
        <w:tc>
          <w:tcPr>
            <w:tcW w:w="1701"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Human</w:t>
            </w:r>
          </w:p>
        </w:tc>
        <w:tc>
          <w:tcPr>
            <w:tcW w:w="2375"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Conservation</w:t>
            </w:r>
          </w:p>
        </w:tc>
      </w:tr>
      <w:tr w:rsidR="0005622A" w:rsidRPr="00C44B9E" w:rsidTr="0005622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45" w:type="dxa"/>
            <w:noWrap/>
            <w:hideMark/>
          </w:tcPr>
          <w:p w:rsidR="0005622A" w:rsidRPr="00C44B9E" w:rsidRDefault="0005622A" w:rsidP="0005622A">
            <w:r>
              <w:fldChar w:fldCharType="begin" w:fldLock="1"/>
            </w:r>
            <w:r w:rsidR="00E40AC6">
              <w:instrText>ADDIN CSL_CITATION {"citationItems":[{"id":"ITEM-1","itemData":{"DOI":"10.2471/BLT.16.184374","abstract":"Increasing use of antibiotics and rising levels of bacterial resistance to antibiotics are a challenge to global health and development. Successful initiatives for containing the problem need to be communicated and disseminated. In Sweden, a rapid spread of resistant pneumococci in the southern part of the country triggered the formation of the Swedish strategic programme against antibiotic resistance, also known as Strama, in 1995. The creation of the programme was an important starting point for long-term coordinated efforts to tackle antibiotic resistance in the country. This paper describes the main strategies of the programme: committed work at the local and national levels; monitoring of antibiotic use for informed decision-making; a national target for antibiotic prescriptions; surveillance of antibiotic resistance for local, national and global action; tracking resistance trends; infection control to limit spread of resistance; and communication to raise awareness for action and behavioural change. A key element for achieving long-term changes has been the bottom-up approach, including working closely with prescribers at the local level. The work described here and the lessons learnt could inform countries implementing their own national action plans against antibiotic resistance","author":[{"dropping-particle":"","family":"Mölstad","given":"S","non-dropping-particle":"","parse-names":false,"suffix":""},{"dropping-particle":"","family":"Löfmark","given":"S","non-dropping-particle":"","parse-names":false,"suffix":""},{"dropping-particle":"","family":"Carlin","given":"K","non-dropping-particle":"","parse-names":false,"suffix":""},{"dropping-particle":"","family":"Erntell","given":"M","non-dropping-particle":"","parse-names":false,"suffix":""},{"dropping-particle":"","family":"Aspevall","given":"O","non-dropping-particle":"","parse-names":false,"suffix":""},{"dropping-particle":"","family":"Blad","given":"L","non-dropping-particle":"","parse-names":false,"suffix":""},{"dropping-particle":"","family":"Hanberger","given":"H","non-dropping-particle":"","parse-names":false,"suffix":""},{"dropping-particle":"","family":"Hedin","given":"K","non-dropping-particle":"","parse-names":false,"suffix":""},{"dropping-particle":"","family":"Hellman","given":"J","non-dropping-particle":"","parse-names":false,"suffix":""},{"dropping-particle":"","family":"Norman","given":"C","non-dropping-particle":"","parse-names":false,"suffix":""},{"dropping-particle":"","family":"Skoog","given":"G","non-dropping-particle":"","parse-names":false,"suffix":""},{"dropping-particle":"","family":"Stålsby-Lundborg","given":"C","non-dropping-particle":"","parse-names":false,"suffix":""},{"dropping-particle":"","family":"Tegmark Wisell","given":"K","non-dropping-particle":"","parse-names":false,"suffix":""},{"dropping-particle":"","family":"Åhréni","given":"C","non-dropping-particle":"","parse-names":false,"suffix":""},{"dropping-particle":"","family":"Cars","given":"O","non-dropping-particle":"","parse-names":false,"suffix":""}],"container-title":"Bulletin of the World Health Organization","id":"ITEM-1","issue":"11","issued":{"date-parts":[["2017"]]},"note":"cited By 3","page":"764-773","title":"Lessons learnt during 20 years of the swedish strategic programme against antibiotic resistance [Programme stratégique suédois contre la résistance aux antibiotiques - 20 années d’enseignements]","type":"article-journal","volume":"95"},"uris":["http://www.mendeley.com/documents/?uuid=d1e9cfbc-29b3-47b8-b365-0623e3ec8ba4"]}],"mendeley":{"formattedCitation":"(15)","plainTextFormattedCitation":"(15)","previouslyFormattedCitation":"(59)"},"properties":{"noteIndex":0},"schema":"https://github.com/citation-style-language/schema/raw/master/csl-citation.json"}</w:instrText>
            </w:r>
            <w:r>
              <w:fldChar w:fldCharType="separate"/>
            </w:r>
            <w:r w:rsidR="00E40AC6" w:rsidRPr="00E40AC6">
              <w:rPr>
                <w:b w:val="0"/>
                <w:noProof/>
              </w:rPr>
              <w:t>(15)</w:t>
            </w:r>
            <w:r>
              <w:fldChar w:fldCharType="end"/>
            </w:r>
          </w:p>
        </w:tc>
        <w:tc>
          <w:tcPr>
            <w:tcW w:w="3570"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proofErr w:type="spellStart"/>
            <w:r w:rsidRPr="00C44B9E">
              <w:t>Strama</w:t>
            </w:r>
            <w:proofErr w:type="spellEnd"/>
          </w:p>
        </w:tc>
        <w:tc>
          <w:tcPr>
            <w:tcW w:w="3411" w:type="dxa"/>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Sweden</w:t>
            </w:r>
          </w:p>
        </w:tc>
        <w:tc>
          <w:tcPr>
            <w:tcW w:w="1692"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Local, National</w:t>
            </w:r>
          </w:p>
        </w:tc>
        <w:tc>
          <w:tcPr>
            <w:tcW w:w="1701"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Human</w:t>
            </w:r>
          </w:p>
        </w:tc>
        <w:tc>
          <w:tcPr>
            <w:tcW w:w="2375"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Surveillance, Conservation</w:t>
            </w:r>
          </w:p>
        </w:tc>
      </w:tr>
      <w:tr w:rsidR="0005622A" w:rsidRPr="00C44B9E" w:rsidTr="0005622A">
        <w:trPr>
          <w:trHeight w:val="300"/>
        </w:trPr>
        <w:tc>
          <w:tcPr>
            <w:cnfStyle w:val="001000000000" w:firstRow="0" w:lastRow="0" w:firstColumn="1" w:lastColumn="0" w:oddVBand="0" w:evenVBand="0" w:oddHBand="0" w:evenHBand="0" w:firstRowFirstColumn="0" w:firstRowLastColumn="0" w:lastRowFirstColumn="0" w:lastRowLastColumn="0"/>
            <w:tcW w:w="1245" w:type="dxa"/>
            <w:noWrap/>
            <w:hideMark/>
          </w:tcPr>
          <w:p w:rsidR="0005622A" w:rsidRPr="00C44B9E" w:rsidRDefault="0005622A" w:rsidP="0005622A">
            <w:r>
              <w:fldChar w:fldCharType="begin" w:fldLock="1"/>
            </w:r>
            <w:r w:rsidR="00E40AC6">
              <w:instrText>ADDIN CSL_CITATION {"citationItems":[{"id":"ITEM-1","itemData":{"DOI":"10.1016/j.diagmicrobio.2007.09.006","ISSN":"07328893","abstract":"The MYSTIC (Meropenem Yearly Susceptibility Test Information Collection) Program is a longitudinal antimicrobial surveillance study that has been in place since 1997 in centers that are actively prescribing meropenem. This report examines the activity of meropenem and other broad-spectrum antibacterial comparators against the 7124 isolates submitted by 40 European centers during 2006 and compares the results with those obtained in 2002. Cumulative susceptibility rates against all methicillin-susceptible staphylococci were amikacin (99.2%) &gt; meropenem and imipenem (98.1%) &gt; piperacillin + tazobactam (96.6%) &gt; gentamicin (91.8%) &gt; tobramycin (91.1%) &gt; ciprofloxacin (83.1%) &gt; ceftazidime (59.7%). Against all species of Enterobacteriaceae, the rates were meropenem (98.9%) &gt; imipenem (97.9%) &gt; amikacin (97.1%) &gt; gentamicin (91.0%) &gt; piperacillin + tazobactam (83.4%) &gt; ceftazidime (82.3%) &gt; ciprofloxacin (82.2%) &gt; tobramycin (75.1%). The carbapenems were also the most effective class against nonfermenters, although there are increasing numbers of multidrug-resistant (MDR)-Acinetobacter spp. being reported. Overall meropenem is still retaining excellent activity against the majority of isolates studied. The continued need for surveillance studies such as MYSTIC in order that correct clinical decisions concerning antibiotic selection are made is once again demonstrated. © 2008 Elsevier Inc. All rights reserved.","author":[{"dropping-particle":"","family":"Turner","given":"Philip J.","non-dropping-particle":"","parse-names":false,"suffix":""}],"container-title":"Diagnostic Microbiology and Infectious Disease","id":"ITEM-1","issue":"2","issued":{"date-parts":[["2008"]]},"page":"185-192","title":"Meropenem activity against European isolates: report on the MYSTIC (Meropenem Yearly Susceptibility Test Information Collection) 2006 results","type":"article-journal","volume":"60"},"uris":["http://www.mendeley.com/documents/?uuid=44e19a40-63b1-441b-8316-a37a7fdd8e07"]}],"mendeley":{"formattedCitation":"(16)","plainTextFormattedCitation":"(16)","previouslyFormattedCitation":"(60)"},"properties":{"noteIndex":0},"schema":"https://github.com/citation-style-language/schema/raw/master/csl-citation.json"}</w:instrText>
            </w:r>
            <w:r>
              <w:fldChar w:fldCharType="separate"/>
            </w:r>
            <w:r w:rsidR="00E40AC6" w:rsidRPr="00E40AC6">
              <w:rPr>
                <w:b w:val="0"/>
                <w:noProof/>
              </w:rPr>
              <w:t>(16)</w:t>
            </w:r>
            <w:r>
              <w:fldChar w:fldCharType="end"/>
            </w:r>
          </w:p>
        </w:tc>
        <w:tc>
          <w:tcPr>
            <w:tcW w:w="3570"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MYSTIC</w:t>
            </w:r>
          </w:p>
        </w:tc>
        <w:tc>
          <w:tcPr>
            <w:tcW w:w="3411" w:type="dxa"/>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Belgium, Croatia, Czech Republic, Finland, Germany, Greece, Poland, Russia, Spain, Sweden, Turkey, United Kingdom</w:t>
            </w:r>
          </w:p>
        </w:tc>
        <w:tc>
          <w:tcPr>
            <w:tcW w:w="1692"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Regional</w:t>
            </w:r>
          </w:p>
        </w:tc>
        <w:tc>
          <w:tcPr>
            <w:tcW w:w="1701"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Human</w:t>
            </w:r>
          </w:p>
        </w:tc>
        <w:tc>
          <w:tcPr>
            <w:tcW w:w="2375"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Surveillance</w:t>
            </w:r>
          </w:p>
        </w:tc>
      </w:tr>
      <w:tr w:rsidR="0005622A" w:rsidRPr="00C44B9E" w:rsidTr="0005622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45" w:type="dxa"/>
            <w:noWrap/>
            <w:hideMark/>
          </w:tcPr>
          <w:p w:rsidR="0005622A" w:rsidRPr="00C44B9E" w:rsidRDefault="0005622A" w:rsidP="0005622A">
            <w:r>
              <w:fldChar w:fldCharType="begin" w:fldLock="1"/>
            </w:r>
            <w:r w:rsidR="00E40AC6">
              <w:instrText>ADDIN CSL_CITATION {"citationItems":[{"id":"ITEM-1","itemData":{"DOI":"10.1016/j.diagmicrobio.2005.10.006","ISSN":"07328893","abstract":"This overview provides a summary of the Meropenem Yearly Susceptibility Test Information Collection (MYSTIC) Program over an 8-year period from 1997 to 2004. The evolution of the MYSTIC Program is described, as well as its design compared with other surveillance programs. In addition, the global MYSTIC Program data, published to date, are summarized, and the empiric use of carbapenems, their current indications, and meropenem usage versus resistance was discussed. From 1997 to 2004, 120 medical centers that were actively prescribing meropenem in 32 countries worldwide participated in the program. The MYSTIC Program results demonstrate the sustained potency and continued effectiveness of meropenem globally against clinically relevant Gram-negative and Gram-positive pathogens including extended spectrum β-lactamase- and AmpC β-lactamase-producing organisms, which may also display resistance to the fluoroquinolones and/or aminoglycosides. Furthermore, in centers actively prescribing meropenem, resistance to meropenem is not increasing despite greater resistance among the comparator antimicrobial agents. Thus, antipseudomonal carbapenems such as meropenem and imipenem remain an effective treatment option. © 2005 Elsevier Inc. All rights reserved.","author":[{"dropping-particle":"","family":"Jones","given":"Ronald N.","non-dropping-particle":"","parse-names":false,"suffix":""},{"dropping-particle":"","family":"Mendes","given":"Caio","non-dropping-particle":"","parse-names":false,"suffix":""},{"dropping-particle":"","family":"Turner","given":"Philip J.","non-dropping-particle":"","parse-names":false,"suffix":""},{"dropping-particle":"","family":"Masterton","given":"Robert","non-dropping-particle":"","parse-names":false,"suffix":""}],"container-title":"Diagnostic Microbiology and Infectious Disease","id":"ITEM-1","issue":"4","issued":{"date-parts":[["2005"]]},"page":"247-256","title":"An overview of the Meropenem Yearly Susceptibility Test Information Collection (MYSTIC) Program: 1997-2004","type":"article-journal","volume":"53"},"uris":["http://www.mendeley.com/documents/?uuid=eb6ad0bd-62fd-43e7-9557-dd9f486d6c4e"]}],"mendeley":{"formattedCitation":"(17)","plainTextFormattedCitation":"(17)","previouslyFormattedCitation":"(61)"},"properties":{"noteIndex":0},"schema":"https://github.com/citation-style-language/schema/raw/master/csl-citation.json"}</w:instrText>
            </w:r>
            <w:r>
              <w:fldChar w:fldCharType="separate"/>
            </w:r>
            <w:r w:rsidR="00E40AC6" w:rsidRPr="00E40AC6">
              <w:rPr>
                <w:b w:val="0"/>
                <w:noProof/>
              </w:rPr>
              <w:t>(17)</w:t>
            </w:r>
            <w:r>
              <w:fldChar w:fldCharType="end"/>
            </w:r>
          </w:p>
        </w:tc>
        <w:tc>
          <w:tcPr>
            <w:tcW w:w="3570"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MYSTIC</w:t>
            </w:r>
          </w:p>
        </w:tc>
        <w:tc>
          <w:tcPr>
            <w:tcW w:w="3411" w:type="dxa"/>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All countries, Argentina, Australia, Belgium, Brazil, Bulgaria, Canada, Colombia, Croatia, Czech Republic, Finland, Germany, Greece, Hong Kong, Israel, Malta, Mexico, Peru, Poland, Russia, South Africa, Spain, Sweden, Switzerland, Turkey, United Kingdom, United States, Venezuela</w:t>
            </w:r>
          </w:p>
        </w:tc>
        <w:tc>
          <w:tcPr>
            <w:tcW w:w="1692"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International</w:t>
            </w:r>
          </w:p>
        </w:tc>
        <w:tc>
          <w:tcPr>
            <w:tcW w:w="1701"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Human</w:t>
            </w:r>
          </w:p>
        </w:tc>
        <w:tc>
          <w:tcPr>
            <w:tcW w:w="2375"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Surveillance</w:t>
            </w:r>
          </w:p>
        </w:tc>
      </w:tr>
      <w:tr w:rsidR="0005622A" w:rsidRPr="00C44B9E" w:rsidTr="0005622A">
        <w:trPr>
          <w:trHeight w:val="300"/>
        </w:trPr>
        <w:tc>
          <w:tcPr>
            <w:cnfStyle w:val="001000000000" w:firstRow="0" w:lastRow="0" w:firstColumn="1" w:lastColumn="0" w:oddVBand="0" w:evenVBand="0" w:oddHBand="0" w:evenHBand="0" w:firstRowFirstColumn="0" w:firstRowLastColumn="0" w:lastRowFirstColumn="0" w:lastRowLastColumn="0"/>
            <w:tcW w:w="1245" w:type="dxa"/>
            <w:noWrap/>
            <w:hideMark/>
          </w:tcPr>
          <w:p w:rsidR="0005622A" w:rsidRPr="00C44B9E" w:rsidRDefault="0005622A" w:rsidP="0005622A">
            <w:r>
              <w:fldChar w:fldCharType="begin" w:fldLock="1"/>
            </w:r>
            <w:r w:rsidR="00E40AC6">
              <w:instrText>ADDIN CSL_CITATION {"citationItems":[{"id":"ITEM-1","itemData":{"DOI":"10.1007/s15010-006-6619-x","ISSN":"03008126","abstract":"Objective: To report the experience gained over 4 years in working with the German SARI project (Surveillance of Antimicrobial. Use and Antimicrobial Resistance in Intensive Care Units), and to compare SARI with data from the Swedish STRAMA and the US AUR surveillance system. Methods: Prospective unit and Laboratory based surveillance was carried out in 40 German ICUs from 2001 through 2004. WHO 2004 definitions of defined daily doses (DDD) per 1,000 patient days (pd) were used to express antimicrobial consumption (AD). Apart from the proportion of resistant isolates (RP), the incidence density of resistant isolates (RD) was calculated on the basis of the number of resistant isolates per 1,000 pd. To determine the changes over time, the Wilcoxon signed rank test for paired samples was used. Results: From 1/2001 through 12/2004, 40 ICUs provided data on 53,399 isolates, a total of 789,569 DDD and 597,592 pd. Total AD ranged from 427 to 2,798, with the median being 1,351. There was no statistically significant change in total antimicrobial use, but a statistically significant decrease was observed in the use of aminoglycosides. RD was highest for MRSA with 4.4 resistant isolates/1,000 pd followed by imipenem resistant Pseudomonas aeruginosa with 1.7 resistant isolates/1,000 pd. The corresponding RPs were 21.5% and 23.2%. Over the 4-year period (2001-2004), significant increases were seen in the RDs of third generation cephaLosporin and ciprofloxacin resistant Escherichia coli. In 2004, the mean RD reached 0.28 and 1.41, respectively. In comparison, the RP of selected pathogens was highest in the US ICUs and Lowest in Swedish ICUs, with the exception of imipenem resistant P. aeruginosa. Conclusion: Antibiotic consumption remained stable over a period of 4 years, (the mean being 1,321 DDD/1,000 pd). The same applied to the situation regarding resistance in Staphylococcus aureus, enterococci and P. aeruginosa. For most pathogens the RP was higher in SARI ICUs than in Swedish ICUs, but Lower than in US ICUs. © Urban &amp; Vogel.","author":[{"dropping-particle":"","family":"Meyer","given":"E.","non-dropping-particle":"","parse-names":false,"suffix":""},{"dropping-particle":"","family":"Schwab","given":"F.","non-dropping-particle":"","parse-names":false,"suffix":""},{"dropping-particle":"","family":"Gastmeier","given":"P.","non-dropping-particle":"","parse-names":false,"suffix":""},{"dropping-particle":"","family":"Rueden","given":"H.","non-dropping-particle":"","parse-names":false,"suffix":""},{"dropping-particle":"","family":"Daschner","given":"F. D.","non-dropping-particle":"","parse-names":false,"suffix":""}],"container-title":"Infection","id":"ITEM-1","issue":"6","issued":{"date-parts":[["2006"]]},"page":"303-309","title":"Surveillance of antimicrobial use and antimicrobial resistance in German intensive care units (SARI): A summary of the data from 2001 through 2004","type":"article-journal","volume":"34"},"uris":["http://www.mendeley.com/documents/?uuid=77f7bef3-42dc-41e5-996f-2a3007fde810"]}],"mendeley":{"formattedCitation":"(18)","plainTextFormattedCitation":"(18)","previouslyFormattedCitation":"(62)"},"properties":{"noteIndex":0},"schema":"https://github.com/citation-style-language/schema/raw/master/csl-citation.json"}</w:instrText>
            </w:r>
            <w:r>
              <w:fldChar w:fldCharType="separate"/>
            </w:r>
            <w:r w:rsidR="00E40AC6" w:rsidRPr="00E40AC6">
              <w:rPr>
                <w:b w:val="0"/>
                <w:noProof/>
              </w:rPr>
              <w:t>(18)</w:t>
            </w:r>
            <w:r>
              <w:fldChar w:fldCharType="end"/>
            </w:r>
          </w:p>
        </w:tc>
        <w:tc>
          <w:tcPr>
            <w:tcW w:w="3570"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SARI</w:t>
            </w:r>
          </w:p>
        </w:tc>
        <w:tc>
          <w:tcPr>
            <w:tcW w:w="3411" w:type="dxa"/>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Germany</w:t>
            </w:r>
          </w:p>
        </w:tc>
        <w:tc>
          <w:tcPr>
            <w:tcW w:w="1692"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National</w:t>
            </w:r>
          </w:p>
        </w:tc>
        <w:tc>
          <w:tcPr>
            <w:tcW w:w="1701"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Human</w:t>
            </w:r>
          </w:p>
        </w:tc>
        <w:tc>
          <w:tcPr>
            <w:tcW w:w="2375"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Surveillance</w:t>
            </w:r>
          </w:p>
        </w:tc>
      </w:tr>
      <w:tr w:rsidR="0005622A" w:rsidRPr="00C44B9E" w:rsidTr="0005622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45" w:type="dxa"/>
            <w:noWrap/>
            <w:hideMark/>
          </w:tcPr>
          <w:p w:rsidR="0005622A" w:rsidRPr="00DB5E37" w:rsidRDefault="0005622A" w:rsidP="0005622A">
            <w:r w:rsidRPr="00DB5E37">
              <w:lastRenderedPageBreak/>
              <w:fldChar w:fldCharType="begin" w:fldLock="1"/>
            </w:r>
            <w:r w:rsidR="00E40AC6">
              <w:instrText>ADDIN CSL_CITATION {"citationItems":[{"id":"ITEM-1","itemData":{"DOI":"10.1016/j.jhin.2006.07.006","ISSN":"01956701","abstract":"Risk factors for the selection of Stenotrophomonas maltophilia were analysed by correlating antimicrobial use and structure parameters (e.g. hospital type) with the incidence density of S. maltophilia and the percentage of S. maltophilia isolated from 39 intensive care units (ICUs). SARI (Surveillance of Antimicrobial Use and Antimicrobial Resistance in German Intensive Care Units) is a prospective unit- and laboratory-based surveillance system that collects data on the 13 most important organisms responsible for nosocomial infections. The percentage of S. maltophilia among these organisms and the number of S. maltophilia per 1000 patient-days were calculated. The data were subsequently correlated with antibiotic use density calculated in defined daily doses (DDDs) per 1000 patient-days and structure parameters. The data covered a total of 28 266 isolates and 431 351 DDDs. The antibiotic use density ranged from 427 to 2218, with the median being 1346. Over the two-year period, the median of S. maltophilia per 1000 patient-days was 1.4 (range 0-7.6). Calculation of antibiotic use and S. maltophilia per 1000 patient-days showed a significant positive correlation with the use of carbapenems, ceftazidime, glycopeptides and fluoroquinolones, as well as with total antibiotic use. In the multiple logistic regression analysis, carbapenem use and &gt;12 ICU beds were independently and positively associated with a high number of S. maltophilia per 1000 patient-days. Benchmarking data provided for incidence densities of S. maltophilia in ICUs revealed the heterogeneous situation of the burden of S. maltophilia in individual ICUs. The multi-centre data showed that carbapenem use and &gt;12 ICU beds were independent risk factors for the isolation of S. maltophilia. © 2006 The Hospital Infection Society.","author":[{"dropping-particle":"","family":"Meyer","given":"E.","non-dropping-particle":"","parse-names":false,"suffix":""},{"dropping-particle":"","family":"Schwab","given":"F.","non-dropping-particle":"","parse-names":false,"suffix":""},{"dropping-particle":"","family":"Gastmeier","given":"P.","non-dropping-particle":"","parse-names":false,"suffix":""},{"dropping-particle":"","family":"Rueden","given":"H.","non-dropping-particle":"","parse-names":false,"suffix":""},{"dropping-particle":"","family":"Daschner","given":"F. D.","non-dropping-particle":"","parse-names":false,"suffix":""},{"dropping-particle":"","family":"Jonas","given":"D.","non-dropping-particle":"","parse-names":false,"suffix":""}],"container-title":"Journal of Hospital Infection","id":"ITEM-1","issue":"3","issued":{"date-parts":[["2006"]]},"page":"238-243","title":"Stenotrophomonas maltophilia and antibiotic use in German intensive care units: data from Project SARI (Surveillance of Antimicrobial Use and Antimicrobial Resistance in German Intensive Care Units)","type":"article-journal","volume":"64"},"uris":["http://www.mendeley.com/documents/?uuid=7bdae4f2-769b-4c5f-91d2-bcb470b94af3"]}],"mendeley":{"formattedCitation":"(19)","plainTextFormattedCitation":"(19)","previouslyFormattedCitation":"(63)"},"properties":{"noteIndex":0},"schema":"https://github.com/citation-style-language/schema/raw/master/csl-citation.json"}</w:instrText>
            </w:r>
            <w:r w:rsidRPr="00DB5E37">
              <w:fldChar w:fldCharType="separate"/>
            </w:r>
            <w:r w:rsidR="00E40AC6" w:rsidRPr="00E40AC6">
              <w:rPr>
                <w:b w:val="0"/>
                <w:noProof/>
              </w:rPr>
              <w:t>(19)</w:t>
            </w:r>
            <w:r w:rsidRPr="00DB5E37">
              <w:fldChar w:fldCharType="end"/>
            </w:r>
          </w:p>
        </w:tc>
        <w:tc>
          <w:tcPr>
            <w:tcW w:w="3570"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SARI</w:t>
            </w:r>
          </w:p>
        </w:tc>
        <w:tc>
          <w:tcPr>
            <w:tcW w:w="3411" w:type="dxa"/>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Germany</w:t>
            </w:r>
          </w:p>
        </w:tc>
        <w:tc>
          <w:tcPr>
            <w:tcW w:w="1692"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National</w:t>
            </w:r>
          </w:p>
        </w:tc>
        <w:tc>
          <w:tcPr>
            <w:tcW w:w="1701"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Human</w:t>
            </w:r>
          </w:p>
        </w:tc>
        <w:tc>
          <w:tcPr>
            <w:tcW w:w="2375"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Surveillance</w:t>
            </w:r>
          </w:p>
        </w:tc>
      </w:tr>
      <w:tr w:rsidR="0005622A" w:rsidRPr="00C44B9E" w:rsidTr="0005622A">
        <w:trPr>
          <w:trHeight w:val="300"/>
        </w:trPr>
        <w:tc>
          <w:tcPr>
            <w:cnfStyle w:val="001000000000" w:firstRow="0" w:lastRow="0" w:firstColumn="1" w:lastColumn="0" w:oddVBand="0" w:evenVBand="0" w:oddHBand="0" w:evenHBand="0" w:firstRowFirstColumn="0" w:firstRowLastColumn="0" w:lastRowFirstColumn="0" w:lastRowLastColumn="0"/>
            <w:tcW w:w="1245" w:type="dxa"/>
            <w:noWrap/>
            <w:hideMark/>
          </w:tcPr>
          <w:p w:rsidR="0005622A" w:rsidRPr="00DB5E37" w:rsidRDefault="0005622A" w:rsidP="0005622A">
            <w:r w:rsidRPr="00DB5E37">
              <w:fldChar w:fldCharType="begin" w:fldLock="1"/>
            </w:r>
            <w:r w:rsidR="00E40AC6">
              <w:instrText>ADDIN CSL_CITATION {"citationItems":[{"id":"ITEM-1","itemData":{"ISSN":"0342-4642","author":[{"dropping-particle":"","family":"Meyer","given":"Elisabeth","non-dropping-particle":"","parse-names":false,"suffix":""},{"dropping-particle":"","family":"Schwab","given":"Frank","non-dropping-particle":"","parse-names":false,"suffix":""},{"dropping-particle":"","family":"Jonas","given":"Daniel","non-dropping-particle":"","parse-names":false,"suffix":""},{"dropping-particle":"","family":"Rueden","given":"Henning","non-dropping-particle":"","parse-names":false,"suffix":""},{"dropping-particle":"","family":"Gastmeier","given":"Petra","non-dropping-particle":"","parse-names":false,"suffix":""},{"dropping-particle":"","family":"Daschner","given":"Franz D","non-dropping-particle":"","parse-names":false,"suffix":""}],"container-title":"Intensive care medicine","id":"ITEM-1","issue":"6","issued":{"date-parts":[["2004"]]},"page":"1089-1096","publisher":"Springer","title":"Surveillance of antimicrobial use and antimicrobial resistance in intensive care units (SARI): 1. Antimicrobial use in German intensive care units","type":"article-journal","volume":"30"},"uris":["http://www.mendeley.com/documents/?uuid=6b509902-7257-4e8b-91e9-8c181e5ee427"]}],"mendeley":{"formattedCitation":"(20)","plainTextFormattedCitation":"(20)","previouslyFormattedCitation":"(64)"},"properties":{"noteIndex":0},"schema":"https://github.com/citation-style-language/schema/raw/master/csl-citation.json"}</w:instrText>
            </w:r>
            <w:r w:rsidRPr="00DB5E37">
              <w:fldChar w:fldCharType="separate"/>
            </w:r>
            <w:r w:rsidR="00E40AC6" w:rsidRPr="00E40AC6">
              <w:rPr>
                <w:b w:val="0"/>
                <w:noProof/>
              </w:rPr>
              <w:t>(20)</w:t>
            </w:r>
            <w:r w:rsidRPr="00DB5E37">
              <w:fldChar w:fldCharType="end"/>
            </w:r>
          </w:p>
        </w:tc>
        <w:tc>
          <w:tcPr>
            <w:tcW w:w="3570"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SARI</w:t>
            </w:r>
          </w:p>
        </w:tc>
        <w:tc>
          <w:tcPr>
            <w:tcW w:w="3411" w:type="dxa"/>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Germany</w:t>
            </w:r>
          </w:p>
        </w:tc>
        <w:tc>
          <w:tcPr>
            <w:tcW w:w="1692"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National</w:t>
            </w:r>
          </w:p>
        </w:tc>
        <w:tc>
          <w:tcPr>
            <w:tcW w:w="1701"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Human</w:t>
            </w:r>
          </w:p>
        </w:tc>
        <w:tc>
          <w:tcPr>
            <w:tcW w:w="2375"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Surveillance</w:t>
            </w:r>
          </w:p>
        </w:tc>
      </w:tr>
      <w:tr w:rsidR="0005622A" w:rsidRPr="00C44B9E" w:rsidTr="0005622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45" w:type="dxa"/>
            <w:noWrap/>
            <w:hideMark/>
          </w:tcPr>
          <w:p w:rsidR="0005622A" w:rsidRPr="00C44B9E" w:rsidRDefault="0005622A" w:rsidP="0005622A">
            <w:r>
              <w:fldChar w:fldCharType="begin" w:fldLock="1"/>
            </w:r>
            <w:r w:rsidR="00E40AC6">
              <w:instrText>ADDIN CSL_CITATION {"citationItems":[{"id":"ITEM-1","itemData":{"DOI":"10.1093/jac/dks427","ISSN":"03057453","abstract":"Objectives: To measure the effect of a voluntary ban on cephalosporin usage in the Danish pig production on the prevalence of extended-spectrum cephalosporinase (ESC)-producing Escherichia coli in pigs and pork. Methods: Data on cephalosporin consumption were obtained from the VetStat database. For detection of ESC-producing E. coli, three sampling types were included: at slaughter, caecal samples were collected from pigs in 2009 and 2010 (June) before and in two periods (2010 and 2011) after a voluntary ban on cephalosporins was effected (July 2010); at farm level, pools of five stool samples from different pigsties were collected in 2010 and in 2011; and samples from pork were collected randomly at retail stores and outlets from 2009 to 2011. ESC-producing E. coli was isolated after selective enrichment in MacConkey broth with 1 mg/L ceftriaxone. ESC genes were detected using PCR, microtube array and sequencing. Results: From July 2010 the consumption of cephalosporins approximated zero. The occurrence of ESC-producing E. coli in pigs at slaughter was not significantly different (P = 0.7) between 2009 [10.8% (85/786)] and 2010 [11.8% (48/407)], but in 2011 the occurrence [3.6% (28/777)] decreased significantly (P &lt; 0.001). A significant decrease (P = 0.002) in occurrence of ESC-producing E. coli at pig farm level from 2010 [11% (11/99)] to 2011 (0/78) was also observed. The blaCTX-M-1 gene was most often detected (63%), but blaCTX-M-14 and blaCTX-M-15 were also found. Occurrence in pork was between 1.3% and 0.9%. Conclusions: The discontinuation of an already low use of cephalosporins in pig production has significantly reduced the occurrence of ESC-producing E. coli. © The Author 2012. Published by Oxford University Press on behalf of the British Society for Antimicrobial Chemotherapy. All rights reserved.","author":[{"dropping-particle":"","family":"AgersoØ","given":"Yvonne","non-dropping-particle":"","parse-names":false,"suffix":""},{"dropping-particle":"","family":"Aarestrup","given":"Frank M.","non-dropping-particle":"","parse-names":false,"suffix":""}],"container-title":"Journal of Antimicrobial Chemotherapy","id":"ITEM-1","issue":"3","issued":{"date-parts":[["2013"]]},"page":"569-572","title":"Voluntary ban on cephalosporin use in Danish pig production has effectively reduced extended-spectrum cephalosporinase-producing Escherichia coli in slaughter pigs","type":"article-journal","volume":"68"},"uris":["http://www.mendeley.com/documents/?uuid=a8c41662-48cc-4915-96c7-467b5d3e8f5c"]}],"mendeley":{"formattedCitation":"(21)","plainTextFormattedCitation":"(21)","previouslyFormattedCitation":"(65)"},"properties":{"noteIndex":0},"schema":"https://github.com/citation-style-language/schema/raw/master/csl-citation.json"}</w:instrText>
            </w:r>
            <w:r>
              <w:fldChar w:fldCharType="separate"/>
            </w:r>
            <w:r w:rsidR="00E40AC6" w:rsidRPr="00E40AC6">
              <w:rPr>
                <w:b w:val="0"/>
                <w:noProof/>
              </w:rPr>
              <w:t>(21)</w:t>
            </w:r>
            <w:r>
              <w:fldChar w:fldCharType="end"/>
            </w:r>
          </w:p>
        </w:tc>
        <w:tc>
          <w:tcPr>
            <w:tcW w:w="3570"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Voluntary ban of cephalosporin in pigs in Denmark</w:t>
            </w:r>
          </w:p>
        </w:tc>
        <w:tc>
          <w:tcPr>
            <w:tcW w:w="3411" w:type="dxa"/>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Denmark</w:t>
            </w:r>
          </w:p>
        </w:tc>
        <w:tc>
          <w:tcPr>
            <w:tcW w:w="1692"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National</w:t>
            </w:r>
          </w:p>
        </w:tc>
        <w:tc>
          <w:tcPr>
            <w:tcW w:w="1701"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Animal</w:t>
            </w:r>
          </w:p>
        </w:tc>
        <w:tc>
          <w:tcPr>
            <w:tcW w:w="2375"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Conservation</w:t>
            </w:r>
          </w:p>
        </w:tc>
      </w:tr>
      <w:tr w:rsidR="0005622A" w:rsidRPr="00C44B9E" w:rsidTr="0005622A">
        <w:trPr>
          <w:trHeight w:val="300"/>
        </w:trPr>
        <w:tc>
          <w:tcPr>
            <w:cnfStyle w:val="001000000000" w:firstRow="0" w:lastRow="0" w:firstColumn="1" w:lastColumn="0" w:oddVBand="0" w:evenVBand="0" w:oddHBand="0" w:evenHBand="0" w:firstRowFirstColumn="0" w:firstRowLastColumn="0" w:lastRowFirstColumn="0" w:lastRowLastColumn="0"/>
            <w:tcW w:w="1245" w:type="dxa"/>
            <w:noWrap/>
            <w:hideMark/>
          </w:tcPr>
          <w:p w:rsidR="0005622A" w:rsidRPr="00C44B9E" w:rsidRDefault="0005622A" w:rsidP="0005622A">
            <w:r>
              <w:fldChar w:fldCharType="begin" w:fldLock="1"/>
            </w:r>
            <w:r w:rsidR="00E40AC6">
              <w:instrText>ADDIN CSL_CITATION {"citationItems":[{"id":"ITEM-1","itemData":{"DOI":"10.1016/j.diagmicrobio.2007.05.009","ISSN":"07328893","abstract":"The Meropenem Yearly Susceptibility Test Information Collection (MYSTIC) Surveillance Program was designed to monitor the antimicrobial potency and spectrum of meropenem, and selected broad-spectrum comparison agents against pathogens from hospitalized patients. In the 2006 (year 8 of the study) United States sample, a total of 2841 isolates (94.7% compliance) including 641 Escherichia coli, 619 Klebsiella spp., 606 Pseudomonas aeruginosa, 456 oxacillin-susceptible Staphylococcus aureus, 300 streptococci, 149 Enterococcus faecalis, and 70 Gram-positive anaerobic organisms were tested by reference broth microdilution or agar dilution susceptibility methods. The carbapenems, especially meropenem, consistently demonstrated the lowest resistance rates against Enterobacteriaceae strains, and the fluoroquinolones had the highest and increasing resistance rates. The presence of qnr-mediated fluoroquinolone resistance was investigated using polymerase chain reaction methods but was only observed at very low levels (2.1%) and was not clonally associated. Confirmed extended-spectrum β-lactamase rates for E. coli and Klebsiella spp. were only 4.8% and 5.0%, respectively, with mobile AmpC (CMY-2 and FOX-5) enzymes shown in 13 additional Enterobacteriaceae isolates. Clonally related KPC-type serine carbapenemase production (57 strains, 9.5%) was observed at a rate 2-fold greater than the prior year among Klebsiella spp. isolates, primarily from 1 geographic region (Middle Atlantic States). These MYSTIC Program (2006) results demonstrate the continued need to monitor the carbapenem class potency and spectrum of activity against Enterobacteriaceae as well as P. aeruginosa because of the documented presence of serine carbapenemases and rare incidence of metallo-β-lactamases that may further compromise their activity and that of other β-lactam agents. © 2007 Elsevier Inc. All rights reserved.","author":[{"dropping-particle":"","family":"Rhomberg","given":"Paul R.","non-dropping-particle":"","parse-names":false,"suffix":""},{"dropping-particle":"","family":"Deshpande","given":"Lalitagauri M.","non-dropping-particle":"","parse-names":false,"suffix":""},{"dropping-particle":"","family":"Kirby","given":"Jeffrey T.","non-dropping-particle":"","parse-names":false,"suffix":""},{"dropping-particle":"","family":"Jones","given":"Ronald N.","non-dropping-particle":"","parse-names":false,"suffix":""}],"container-title":"Diagnostic Microbiology and Infectious Disease","id":"ITEM-1","issue":"4","issued":{"date-parts":[["2007"]]},"page":"425-432","title":"Activity of meropenem as serine carbapenemases evolve in US Medical Centers: monitoring report from the MYSTIC Program (2006)","type":"article-journal","volume":"59"},"uris":["http://www.mendeley.com/documents/?uuid=a1737185-e3b5-4ceb-93dc-e86be9c4a393"]}],"mendeley":{"formattedCitation":"(22)","plainTextFormattedCitation":"(22)","previouslyFormattedCitation":"(66)"},"properties":{"noteIndex":0},"schema":"https://github.com/citation-style-language/schema/raw/master/csl-citation.json"}</w:instrText>
            </w:r>
            <w:r>
              <w:fldChar w:fldCharType="separate"/>
            </w:r>
            <w:r w:rsidR="00E40AC6" w:rsidRPr="00E40AC6">
              <w:rPr>
                <w:b w:val="0"/>
                <w:noProof/>
              </w:rPr>
              <w:t>(22)</w:t>
            </w:r>
            <w:r>
              <w:fldChar w:fldCharType="end"/>
            </w:r>
          </w:p>
        </w:tc>
        <w:tc>
          <w:tcPr>
            <w:tcW w:w="3570"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MYSTIC</w:t>
            </w:r>
          </w:p>
        </w:tc>
        <w:tc>
          <w:tcPr>
            <w:tcW w:w="3411" w:type="dxa"/>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All countries, United States</w:t>
            </w:r>
          </w:p>
        </w:tc>
        <w:tc>
          <w:tcPr>
            <w:tcW w:w="1692"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International</w:t>
            </w:r>
          </w:p>
        </w:tc>
        <w:tc>
          <w:tcPr>
            <w:tcW w:w="1701"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Human</w:t>
            </w:r>
          </w:p>
        </w:tc>
        <w:tc>
          <w:tcPr>
            <w:tcW w:w="2375"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Surveillance</w:t>
            </w:r>
          </w:p>
        </w:tc>
      </w:tr>
      <w:tr w:rsidR="0005622A" w:rsidRPr="00C44B9E" w:rsidTr="0005622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45" w:type="dxa"/>
            <w:noWrap/>
            <w:hideMark/>
          </w:tcPr>
          <w:p w:rsidR="0005622A" w:rsidRPr="00C44B9E" w:rsidRDefault="0005622A" w:rsidP="0005622A">
            <w:r>
              <w:fldChar w:fldCharType="begin" w:fldLock="1"/>
            </w:r>
            <w:r w:rsidR="00E40AC6">
              <w:instrText>ADDIN CSL_CITATION {"citationItems":[{"id":"ITEM-1","itemData":{"DOI":"10.1016/S1473-3099(08)70017-3","ISSN":"14733099","PMID":"18222163","abstract":"Increasing use of antibiotics and the spread of resistant pneumococcal clones in the early 1990s alarmed the medical profession and medical authorities in Sweden. Strama (Swedish Strategic Programme for the Rational Use of Antimicrobial Agents and Surveillance of Resistance) was therefore started in 1994 to provide surveillance of antibiotic use and resistance, and to implement the rational use of antibiotics and development of new knowledge. Between 1995 and 2004, antibiotic use for outpatients decreased from 15·7 to 12·6 defined daily doses per 1000 inhabitants per day and from 536 to 410 prescriptions per 1000 inhabitants per year. The reduction was most prominent in children aged 5-14 years (52%) and for macrolides (65%). During this period, the number of hospital admissions for acute mastoiditis, rhinosinusitis, and quinsy (peritonsillar abscess) was stable or declining. Although the epidemic spread in southern Sweden of penicillin-resistant Streptococcus pneumoniae was curbed, the national frequency increased from 4% to 6%. Resistance remained low in most other bacterial species during this period. This multidisciplinary, coordinated programme has contributed to the reduction of antibiotic use without measurable negative consequences. However, antibiotic resistance in several bacterial species is slowly increasing, which has led to calls for continued sustained efforts to preserve the effectiveness of available antibiotics. © 2008 Elsevier Ltd. All rights reserved.","author":[{"dropping-particle":"","family":"Mölstad","given":"S.","non-dropping-particle":"","parse-names":false,"suffix":""},{"dropping-particle":"","family":"Erntell","given":"M.","non-dropping-particle":"","parse-names":false,"suffix":""},{"dropping-particle":"","family":"Hanberger","given":"H.","non-dropping-particle":"","parse-names":false,"suffix":""},{"dropping-particle":"","family":"Melander","given":"E.","non-dropping-particle":"","parse-names":false,"suffix":""},{"dropping-particle":"","family":"Norman","given":"C.","non-dropping-particle":"","parse-names":false,"suffix":""},{"dropping-particle":"","family":"Skoog","given":"G.","non-dropping-particle":"","parse-names":false,"suffix":""},{"dropping-particle":"","family":"Lundborg","given":"C. Stålsby","non-dropping-particle":"","parse-names":false,"suffix":""},{"dropping-particle":"","family":"Söderström","given":"A.","non-dropping-particle":"","parse-names":false,"suffix":""},{"dropping-particle":"","family":"Torell","given":"E.","non-dropping-particle":"","parse-names":false,"suffix":""},{"dropping-particle":"","family":"Cars","given":"O.","non-dropping-particle":"","parse-names":false,"suffix":""}],"container-title":"The Lancet Infectious Diseases","id":"ITEM-1","issue":"2","issued":{"date-parts":[["2008"]]},"page":"125-132","title":"Sustained reduction of antibiotic use and low bacterial resistance: 10-year follow-up of the Swedish Strama programme","type":"article-journal","volume":"8"},"uris":["http://www.mendeley.com/documents/?uuid=641f394f-a3d2-42bd-9346-1ca66d864584"]}],"mendeley":{"formattedCitation":"(23)","plainTextFormattedCitation":"(23)","previouslyFormattedCitation":"(67)"},"properties":{"noteIndex":0},"schema":"https://github.com/citation-style-language/schema/raw/master/csl-citation.json"}</w:instrText>
            </w:r>
            <w:r>
              <w:fldChar w:fldCharType="separate"/>
            </w:r>
            <w:r w:rsidR="00E40AC6" w:rsidRPr="00E40AC6">
              <w:rPr>
                <w:b w:val="0"/>
                <w:noProof/>
              </w:rPr>
              <w:t>(23)</w:t>
            </w:r>
            <w:r>
              <w:fldChar w:fldCharType="end"/>
            </w:r>
          </w:p>
        </w:tc>
        <w:tc>
          <w:tcPr>
            <w:tcW w:w="3570"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proofErr w:type="spellStart"/>
            <w:r w:rsidRPr="00C44B9E">
              <w:t>Strama</w:t>
            </w:r>
            <w:proofErr w:type="spellEnd"/>
          </w:p>
        </w:tc>
        <w:tc>
          <w:tcPr>
            <w:tcW w:w="3411" w:type="dxa"/>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Sweden</w:t>
            </w:r>
          </w:p>
        </w:tc>
        <w:tc>
          <w:tcPr>
            <w:tcW w:w="1692"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Sub-national, National</w:t>
            </w:r>
          </w:p>
        </w:tc>
        <w:tc>
          <w:tcPr>
            <w:tcW w:w="1701"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Human</w:t>
            </w:r>
          </w:p>
        </w:tc>
        <w:tc>
          <w:tcPr>
            <w:tcW w:w="2375"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Surveillance, Conservation, Innovation</w:t>
            </w:r>
          </w:p>
        </w:tc>
      </w:tr>
      <w:tr w:rsidR="0005622A" w:rsidRPr="00C44B9E" w:rsidTr="0005622A">
        <w:trPr>
          <w:trHeight w:val="300"/>
        </w:trPr>
        <w:tc>
          <w:tcPr>
            <w:cnfStyle w:val="001000000000" w:firstRow="0" w:lastRow="0" w:firstColumn="1" w:lastColumn="0" w:oddVBand="0" w:evenVBand="0" w:oddHBand="0" w:evenHBand="0" w:firstRowFirstColumn="0" w:firstRowLastColumn="0" w:lastRowFirstColumn="0" w:lastRowLastColumn="0"/>
            <w:tcW w:w="1245" w:type="dxa"/>
            <w:noWrap/>
            <w:hideMark/>
          </w:tcPr>
          <w:p w:rsidR="0005622A" w:rsidRPr="00C44B9E" w:rsidRDefault="0005622A" w:rsidP="0005622A">
            <w:r>
              <w:fldChar w:fldCharType="begin" w:fldLock="1"/>
            </w:r>
            <w:r w:rsidR="00E40AC6">
              <w:instrText>ADDIN CSL_CITATION {"citationItems":[{"id":"ITEM-1","itemData":{"DOI":"10.1016/j.jhin.2004.12.027","ISSN":"01956701","abstract":"Conservative testing revealed a stable antibiotic resistance situation for Staphylococcus aureus, Escherichia coli, Pseudomonas aeruginosa, Klebsiella pneumoniae and Enterobacter cloacae in 32 German intensive care units (ICUs) actively participating in the SARI (surveillance of antimicrobial use and antimicrobial resistance in ICUs) project over a three-year period (2001-2003). No significant changes were shown for methicillin-resistant S. aureus (MRSA) (P=0.501; the MRSA rate increased in 18 ICUs and decreased in 14 ICUs). The only exception was an increase in ciprofloxacin-resistant E. coli. © 2005 The Hospital Infection Society. Published by Elsevier Ltd. All rights reserved.","author":[{"dropping-particle":"","family":"Meyer","given":"Elisabeth","non-dropping-particle":"","parse-names":false,"suffix":""},{"dropping-particle":"","family":"Schwab","given":"F.","non-dropping-particle":"","parse-names":false,"suffix":""},{"dropping-particle":"","family":"Jonas","given":"D.","non-dropping-particle":"","parse-names":false,"suffix":""},{"dropping-particle":"","family":"Ruden","given":"H.","non-dropping-particle":"","parse-names":false,"suffix":""},{"dropping-particle":"","family":"Gastmeier","given":"P.","non-dropping-particle":"","parse-names":false,"suffix":""},{"dropping-particle":"","family":"Daschner","given":"F. D.","non-dropping-particle":"","parse-names":false,"suffix":""}],"container-title":"Journal of Hospital Infection","id":"ITEM-1","issue":"4","issued":{"date-parts":[["2005"]]},"page":"348-352","title":"Temporal changes in bacterial resistance in German intensive care units, 2001-2003: Data from the SARI (surveillance of antimicrobial use and antimicrobial resistance in intensive care units) project","type":"article-journal","volume":"60"},"uris":["http://www.mendeley.com/documents/?uuid=1e2a05e8-2b4a-4275-8793-eb58bf282faf"]}],"mendeley":{"formattedCitation":"(24)","plainTextFormattedCitation":"(24)","previouslyFormattedCitation":"(68)"},"properties":{"noteIndex":0},"schema":"https://github.com/citation-style-language/schema/raw/master/csl-citation.json"}</w:instrText>
            </w:r>
            <w:r>
              <w:fldChar w:fldCharType="separate"/>
            </w:r>
            <w:r w:rsidR="00E40AC6" w:rsidRPr="00E40AC6">
              <w:rPr>
                <w:b w:val="0"/>
                <w:noProof/>
              </w:rPr>
              <w:t>(24)</w:t>
            </w:r>
            <w:r>
              <w:fldChar w:fldCharType="end"/>
            </w:r>
          </w:p>
        </w:tc>
        <w:tc>
          <w:tcPr>
            <w:tcW w:w="3570"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SARI</w:t>
            </w:r>
          </w:p>
        </w:tc>
        <w:tc>
          <w:tcPr>
            <w:tcW w:w="3411" w:type="dxa"/>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Germany</w:t>
            </w:r>
          </w:p>
        </w:tc>
        <w:tc>
          <w:tcPr>
            <w:tcW w:w="1692"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National</w:t>
            </w:r>
          </w:p>
        </w:tc>
        <w:tc>
          <w:tcPr>
            <w:tcW w:w="1701"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Human</w:t>
            </w:r>
          </w:p>
        </w:tc>
        <w:tc>
          <w:tcPr>
            <w:tcW w:w="2375"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Surveillance</w:t>
            </w:r>
          </w:p>
        </w:tc>
      </w:tr>
      <w:tr w:rsidR="0005622A" w:rsidRPr="00C44B9E" w:rsidTr="0005622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45" w:type="dxa"/>
            <w:noWrap/>
            <w:hideMark/>
          </w:tcPr>
          <w:p w:rsidR="0005622A" w:rsidRPr="00C44B9E" w:rsidRDefault="0005622A" w:rsidP="0005622A">
            <w:r>
              <w:fldChar w:fldCharType="begin" w:fldLock="1"/>
            </w:r>
            <w:r w:rsidR="00E40AC6">
              <w:instrText>ADDIN CSL_CITATION {"citationItems":[{"id":"ITEM-1","itemData":{"DOI":"10.1007/s15010-003-3201-7","ISSN":"03008126","abstract":"Background: Data on antibiotic consumption and bacterial resistance are important for benchmarking, ensuring quality of antibiotic treatment and helping to understand the relationship between the use of antibiotics and the emergence of resistance. Methods: The SARI project is an ecological study that has established laboratory-based surveillance in German intensive care units (ICU). Resistance rates of 13 sentinel pathogens are reported and certain alert organisms are sent for genotyping and retesting of antimicrobial resistance. Results: The project, initiated in February 2000, now includes 35 ICUs generating a total of 266,013 patient days, 354,356 defined daily doses (DDD) and providing susceptibility data on 21,354 isolates. Pooled antibiotic usage density (AD = DDD/1,000 patient days) was highest for penicillins with lactamase inhibitor (AD 338.3) followed by quinolones (AD 155.5) and second-generation cephalosporins (AD 124.6). Total AD was calculated as 1,337 DDD/1,000 patient days. Resistance rates (RR) for laboratories testing according to the German Industrial Standard (DIN) were 19.3% for methicillin-resistant Staphylococcus aureus(MRSA), 9.5% for ciprofloxacin-resistant Escherichia coli and 25.4% for imipenem-resistant Pseudomonas aeruginosa. 40% of the laboratories did not identify the extended spectrum βlactamase production of a Klebsiella pneumoniae strain. Conclusion: Focusing on German ICUs, the SARI surveillance system provides a concept that produces a benchmark for the link between antibiotic resistance and consumption.","author":[{"dropping-particle":"","family":"Meyer","given":"E.","non-dropping-particle":"","parse-names":false,"suffix":""},{"dropping-particle":"","family":"Jonas","given":"D.","non-dropping-particle":"","parse-names":false,"suffix":""},{"dropping-particle":"","family":"Schwab","given":"F.","non-dropping-particle":"","parse-names":false,"suffix":""},{"dropping-particle":"","family":"Rueden","given":"H.","non-dropping-particle":"","parse-names":false,"suffix":""},{"dropping-particle":"","family":"Gastmeier","given":"P.","non-dropping-particle":"","parse-names":false,"suffix":""},{"dropping-particle":"","family":"Daschner","given":"F. D.","non-dropping-particle":"","parse-names":false,"suffix":""}],"container-title":"Infection","id":"ITEM-1","issue":"4","issued":{"date-parts":[["2003"]]},"page":"208-215","title":"Design of a surveillance system of antibiotic use and bacterial resistance in German intensive care units (SARI)","type":"article-journal","volume":"31"},"uris":["http://www.mendeley.com/documents/?uuid=9a1e1c40-1f5a-4f8b-82c2-5b524151c4ea"]}],"mendeley":{"formattedCitation":"(25)","plainTextFormattedCitation":"(25)","previouslyFormattedCitation":"(69)"},"properties":{"noteIndex":0},"schema":"https://github.com/citation-style-language/schema/raw/master/csl-citation.json"}</w:instrText>
            </w:r>
            <w:r>
              <w:fldChar w:fldCharType="separate"/>
            </w:r>
            <w:r w:rsidR="00E40AC6" w:rsidRPr="00E40AC6">
              <w:rPr>
                <w:b w:val="0"/>
                <w:noProof/>
              </w:rPr>
              <w:t>(25)</w:t>
            </w:r>
            <w:r>
              <w:fldChar w:fldCharType="end"/>
            </w:r>
          </w:p>
        </w:tc>
        <w:tc>
          <w:tcPr>
            <w:tcW w:w="3570"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SARI</w:t>
            </w:r>
          </w:p>
        </w:tc>
        <w:tc>
          <w:tcPr>
            <w:tcW w:w="3411" w:type="dxa"/>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Germany</w:t>
            </w:r>
          </w:p>
        </w:tc>
        <w:tc>
          <w:tcPr>
            <w:tcW w:w="1692"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National</w:t>
            </w:r>
          </w:p>
        </w:tc>
        <w:tc>
          <w:tcPr>
            <w:tcW w:w="1701"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Human</w:t>
            </w:r>
          </w:p>
        </w:tc>
        <w:tc>
          <w:tcPr>
            <w:tcW w:w="2375"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Surveillance</w:t>
            </w:r>
          </w:p>
        </w:tc>
      </w:tr>
      <w:tr w:rsidR="0005622A" w:rsidRPr="00C44B9E" w:rsidTr="0005622A">
        <w:trPr>
          <w:trHeight w:val="300"/>
        </w:trPr>
        <w:tc>
          <w:tcPr>
            <w:cnfStyle w:val="001000000000" w:firstRow="0" w:lastRow="0" w:firstColumn="1" w:lastColumn="0" w:oddVBand="0" w:evenVBand="0" w:oddHBand="0" w:evenHBand="0" w:firstRowFirstColumn="0" w:firstRowLastColumn="0" w:lastRowFirstColumn="0" w:lastRowLastColumn="0"/>
            <w:tcW w:w="1245" w:type="dxa"/>
            <w:noWrap/>
            <w:hideMark/>
          </w:tcPr>
          <w:p w:rsidR="0005622A" w:rsidRPr="00C44B9E" w:rsidRDefault="0005622A" w:rsidP="0005622A">
            <w:r>
              <w:fldChar w:fldCharType="begin" w:fldLock="1"/>
            </w:r>
            <w:r w:rsidR="00E40AC6">
              <w:instrText>ADDIN CSL_CITATION {"citationItems":[{"id":"ITEM-1","itemData":{"DOI":"10.3201/eid1311.070421","ISSN":"10806040","abstract":"Resistance to antimicrobial agents is an emerging problem worldwide. Awareness of the undesirable consequences of its widespread occurrence has led to the initiation of antimicrobial agent resistance monitoring programs in several countries. In 1995, Denmark was the first country to establish a systematic and continuous monitoring program of antimicrobial drug consumption and antimicrobial agent resistance in animals, food, and humans, the Danish Integrated Antimicrobial Resistance Monitoring and Research Program (DANMAP). Monitoring of antimicrobial drug resistance and a range of research activities related to DANMAP have contributed to restrictions or bans of use of several antimicrobial agents in food animals in Denmark and other European Union countries.","author":[{"dropping-particle":"","family":"Hammerum","given":"Anette M.","non-dropping-particle":"","parse-names":false,"suffix":""},{"dropping-particle":"","family":"Heuer","given":"Ole E.","non-dropping-particle":"","parse-names":false,"suffix":""},{"dropping-particle":"","family":"Emborg","given":"Hanne Dorthe","non-dropping-particle":"","parse-names":false,"suffix":""},{"dropping-particle":"","family":"Bagger-Skjøt","given":"Line","non-dropping-particle":"","parse-names":false,"suffix":""},{"dropping-particle":"","family":"Jensen","given":"Vibeke F.","non-dropping-particle":"","parse-names":false,"suffix":""},{"dropping-particle":"","family":"Rogues","given":"Anne Marie","non-dropping-particle":"","parse-names":false,"suffix":""},{"dropping-particle":"","family":"Skov","given":"Robert L.","non-dropping-particle":"","parse-names":false,"suffix":""},{"dropping-particle":"","family":"Agersø","given":"Yvonne","non-dropping-particle":"","parse-names":false,"suffix":""},{"dropping-particle":"","family":"Brandt","given":"Christian T.","non-dropping-particle":"","parse-names":false,"suffix":""},{"dropping-particle":"","family":"Seyfarth","given":"Anne Mette","non-dropping-particle":"","parse-names":false,"suffix":""},{"dropping-particle":"","family":"Muller","given":"Arno","non-dropping-particle":"","parse-names":false,"suffix":""},{"dropping-particle":"","family":"Hovgaard","given":"Karin","non-dropping-particle":"","parse-names":false,"suffix":""},{"dropping-particle":"","family":"Ajufo","given":"Justin","non-dropping-particle":"","parse-names":false,"suffix":""},{"dropping-particle":"","family":"Bager","given":"Flemming","non-dropping-particle":"","parse-names":false,"suffix":""},{"dropping-particle":"","family":"Aarestrup","given":"Frank M.","non-dropping-particle":"","parse-names":false,"suffix":""},{"dropping-particle":"","family":"Frimodt-Møller","given":"Niels","non-dropping-particle":"","parse-names":false,"suffix":""},{"dropping-particle":"","family":"Wegener","given":"Henrik C.","non-dropping-particle":"","parse-names":false,"suffix":""},{"dropping-particle":"","family":"Monnet","given":"Dominique L.","non-dropping-particle":"","parse-names":false,"suffix":""}],"container-title":"Emerging Infectious Diseases","id":"ITEM-1","issue":"11","issued":{"date-parts":[["2007"]]},"page":"1632-1639","title":"Danish integrated antimicrobial resistance monitoring and research program","type":"article-journal","volume":"13"},"uris":["http://www.mendeley.com/documents/?uuid=7d4163be-d014-4d1f-ba40-2184b8b69cae"]}],"mendeley":{"formattedCitation":"(26)","plainTextFormattedCitation":"(26)","previouslyFormattedCitation":"(70)"},"properties":{"noteIndex":0},"schema":"https://github.com/citation-style-language/schema/raw/master/csl-citation.json"}</w:instrText>
            </w:r>
            <w:r>
              <w:fldChar w:fldCharType="separate"/>
            </w:r>
            <w:r w:rsidR="00E40AC6" w:rsidRPr="00E40AC6">
              <w:rPr>
                <w:b w:val="0"/>
                <w:noProof/>
              </w:rPr>
              <w:t>(26)</w:t>
            </w:r>
            <w:r>
              <w:fldChar w:fldCharType="end"/>
            </w:r>
          </w:p>
        </w:tc>
        <w:tc>
          <w:tcPr>
            <w:tcW w:w="3570"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DANMAP</w:t>
            </w:r>
          </w:p>
        </w:tc>
        <w:tc>
          <w:tcPr>
            <w:tcW w:w="3411" w:type="dxa"/>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Denmark</w:t>
            </w:r>
          </w:p>
        </w:tc>
        <w:tc>
          <w:tcPr>
            <w:tcW w:w="1692"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National</w:t>
            </w:r>
          </w:p>
        </w:tc>
        <w:tc>
          <w:tcPr>
            <w:tcW w:w="1701"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Animal, Food, Human</w:t>
            </w:r>
          </w:p>
        </w:tc>
        <w:tc>
          <w:tcPr>
            <w:tcW w:w="2375"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Surveillance, Conservation</w:t>
            </w:r>
          </w:p>
        </w:tc>
      </w:tr>
      <w:tr w:rsidR="0005622A" w:rsidRPr="00C44B9E" w:rsidTr="0005622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45" w:type="dxa"/>
            <w:noWrap/>
            <w:hideMark/>
          </w:tcPr>
          <w:p w:rsidR="0005622A" w:rsidRPr="00C44B9E" w:rsidRDefault="0005622A" w:rsidP="0005622A">
            <w:r>
              <w:fldChar w:fldCharType="begin" w:fldLock="1"/>
            </w:r>
            <w:r w:rsidR="00E40AC6">
              <w:instrText>ADDIN CSL_CITATION {"citationItems":[{"id":"ITEM-1","itemData":{"ISSN":"0008-5286 (Print)","PMID":"29910475","abstract":"Clinical isolates are important to antimicrobial resistance surveillance efforts  because clinically ill animals are the direct targets of antimicrobial treatments. Thus, clinical data may provide a surveillance tool for identifying emerging resistance threats. The purpose of this study was to describe resistance trends in Escherichia coli and Salmonella spp. from clinically ill animals over time and evaluate the utility of these laboratory data as a passive surveillance tool. Susceptibility results of isolates from chickens, swine, and cattle recovered between 2007 and 2015 at a major veterinary diagnostic laboratory in Ontario, Canada were analyzed. Relative to other antimicrobials tested, visible trends highlighted high resistance to ampicillin and tetracycline in chicken E. coli, consistently high resistance to tetracycline, sulfisoxazole, and ampicillin among swine isolates, and an increase in cattle E. coli resistant to ampicillin and cephalothin over time. While the data show potential for use in surveillance, there are limitations of such a clinical dataset for predicting overall trends and guiding empirical treatment decisions.","author":[{"dropping-particle":"V","family":"Kadykalo","given":"Stefanie","non-dropping-particle":"","parse-names":false,"suffix":""},{"dropping-particle":"","family":"Anderson","given":"Maureen E C","non-dropping-particle":"","parse-names":false,"suffix":""},{"dropping-particle":"","family":"Alsop","given":"Janet E","non-dropping-particle":"","parse-names":false,"suffix":""}],"container-title":"The Canadian veterinary journal = La revue veterinaire canadienne","id":"ITEM-1","issue":"6","issued":{"date-parts":[["2018","6"]]},"language":"eng","page":"617-622","publisher-place":"Canada","title":"Passive surveillance of antimicrobial resistance in Salmonella and Escherichia coli isolates from Ontario livestock, 2007-2015.","type":"article-journal","volume":"59"},"uris":["http://www.mendeley.com/documents/?uuid=212a72b4-8c39-4a4a-b827-c4e67195f149"]}],"mendeley":{"formattedCitation":"(27)","plainTextFormattedCitation":"(27)","previouslyFormattedCitation":"(71)"},"properties":{"noteIndex":0},"schema":"https://github.com/citation-style-language/schema/raw/master/csl-citation.json"}</w:instrText>
            </w:r>
            <w:r>
              <w:fldChar w:fldCharType="separate"/>
            </w:r>
            <w:r w:rsidR="00E40AC6" w:rsidRPr="00E40AC6">
              <w:rPr>
                <w:b w:val="0"/>
                <w:noProof/>
              </w:rPr>
              <w:t>(27)</w:t>
            </w:r>
            <w:r>
              <w:fldChar w:fldCharType="end"/>
            </w:r>
          </w:p>
        </w:tc>
        <w:tc>
          <w:tcPr>
            <w:tcW w:w="3570"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t>P</w:t>
            </w:r>
            <w:r w:rsidRPr="00C44B9E">
              <w:t>assive surveillance Ontario - from AHL data</w:t>
            </w:r>
          </w:p>
        </w:tc>
        <w:tc>
          <w:tcPr>
            <w:tcW w:w="3411" w:type="dxa"/>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Canada</w:t>
            </w:r>
          </w:p>
        </w:tc>
        <w:tc>
          <w:tcPr>
            <w:tcW w:w="1692"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Sub-national</w:t>
            </w:r>
          </w:p>
        </w:tc>
        <w:tc>
          <w:tcPr>
            <w:tcW w:w="1701"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Animal</w:t>
            </w:r>
          </w:p>
        </w:tc>
        <w:tc>
          <w:tcPr>
            <w:tcW w:w="2375"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Surveillance</w:t>
            </w:r>
          </w:p>
        </w:tc>
      </w:tr>
      <w:tr w:rsidR="0005622A" w:rsidRPr="00C44B9E" w:rsidTr="0005622A">
        <w:trPr>
          <w:trHeight w:val="300"/>
        </w:trPr>
        <w:tc>
          <w:tcPr>
            <w:cnfStyle w:val="001000000000" w:firstRow="0" w:lastRow="0" w:firstColumn="1" w:lastColumn="0" w:oddVBand="0" w:evenVBand="0" w:oddHBand="0" w:evenHBand="0" w:firstRowFirstColumn="0" w:firstRowLastColumn="0" w:lastRowFirstColumn="0" w:lastRowLastColumn="0"/>
            <w:tcW w:w="1245" w:type="dxa"/>
            <w:noWrap/>
            <w:hideMark/>
          </w:tcPr>
          <w:p w:rsidR="0005622A" w:rsidRPr="00C44B9E" w:rsidRDefault="0005622A" w:rsidP="0005622A">
            <w:r>
              <w:fldChar w:fldCharType="begin" w:fldLock="1"/>
            </w:r>
            <w:r w:rsidR="00E40AC6">
              <w:instrText>ADDIN CSL_CITATION {"citationItems":[{"id":"ITEM-1","itemData":{"DOI":"10.1016/j.vetmic.2017.02.008","ISSN":"1873-2542 (Electronic)","PMID":"28619166","abstract":"The objective of this study was to investigate the antimicrobial resistance trend in Escherichia coli from food animals in China. During 2008-2015, a total of 15,130 E. coli were isolated from chicken and swine from seven provinces. The susceptibilities of these isolates to nine classes of antimicrobial agents were determined using broth microdilution susceptibility method. The findings of this study include: (1) multi-drug resistance was highly prevalent in E. coli; (2) these E. coli isolates showed high resistant rate (&gt;80%) to several old drugs, including ampicillin, tetracycline and sulfisoxazole; (3) increasing resistance to colistin, florfenicol and ceftiofur was observed; (4) the E. coli isolates from different provinces had different resistance patterns. All these data highlight the rising problem of antimicrobial resistance. It is urgent to improve the management of animal production and enhance the proper use of antimicrobials in China as well as the other countries.","author":[{"dropping-particle":"","family":"Zhang","given":"Peng","non-dropping-particle":"","parse-names":false,"suffix":""},{"dropping-particle":"","family":"Shen","given":"Zhangqi","non-dropping-particle":"","parse-names":false,"suffix":""},{"dropping-particle":"","family":"Zhang","given":"Chunping","non-dropping-particle":"","parse-names":false,"suffix":""},{"dropping-particle":"","family":"Song","given":"Li","non-dropping-particle":"","parse-names":false,"suffix":""},{"dropping-particle":"","family":"Wang","given":"Bing","non-dropping-particle":"","parse-names":false,"suffix":""},{"dropping-particle":"","family":"Shang","given":"Jun","non-dropping-particle":"","parse-names":false,"suffix":""},{"dropping-particle":"","family":"Yue","given":"Xiuying","non-dropping-particle":"","parse-names":false,"suffix":""},{"dropping-particle":"","family":"Qu","given":"Zhina","non-dropping-particle":"","parse-names":false,"suffix":""},{"dropping-particle":"","family":"Li","given":"Xinnan","non-dropping-particle":"","parse-names":false,"suffix":""},{"dropping-particle":"","family":"Wu","given":"Liqin","non-dropping-particle":"","parse-names":false,"suffix":""},{"dropping-particle":"","family":"Zheng","given":"Yongjun","non-dropping-particle":"","parse-names":false,"suffix":""},{"dropping-particle":"","family":"Aditya","given":"Anand","non-dropping-particle":"","parse-names":false,"suffix":""},{"dropping-particle":"","family":"Wang","given":"Yang","non-dropping-particle":"","parse-names":false,"suffix":""},{"dropping-particle":"","family":"Xu","given":"Shixin","non-dropping-particle":"","parse-names":false,"suffix":""},{"dropping-particle":"","family":"Wu","given":"Congming","non-dropping-particle":"","parse-names":false,"suffix":""}],"container-title":"Veterinary microbiology","id":"ITEM-1","issued":{"date-parts":[["2017","5"]]},"language":"eng","page":"49-55","publisher-place":"Netherlands","title":"Surveillance of antimicrobial resistance among Escherichia coli from chicken and  swine, China, 2008-2015.","type":"article-journal","volume":"203"},"uris":["http://www.mendeley.com/documents/?uuid=09bf0c2a-b1c7-4c2e-b4bc-476fd4c3f32d"]}],"mendeley":{"formattedCitation":"(28)","plainTextFormattedCitation":"(28)","previouslyFormattedCitation":"(72)"},"properties":{"noteIndex":0},"schema":"https://github.com/citation-style-language/schema/raw/master/csl-citation.json"}</w:instrText>
            </w:r>
            <w:r>
              <w:fldChar w:fldCharType="separate"/>
            </w:r>
            <w:r w:rsidR="00E40AC6" w:rsidRPr="00E40AC6">
              <w:rPr>
                <w:b w:val="0"/>
                <w:noProof/>
              </w:rPr>
              <w:t>(28)</w:t>
            </w:r>
            <w:r>
              <w:fldChar w:fldCharType="end"/>
            </w:r>
          </w:p>
        </w:tc>
        <w:tc>
          <w:tcPr>
            <w:tcW w:w="3570"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 xml:space="preserve">Surveillance of </w:t>
            </w:r>
            <w:r w:rsidRPr="00201C8D">
              <w:rPr>
                <w:i/>
              </w:rPr>
              <w:t>E. coli</w:t>
            </w:r>
            <w:r w:rsidRPr="00C44B9E">
              <w:t xml:space="preserve"> in China (pigs and poultry)</w:t>
            </w:r>
          </w:p>
        </w:tc>
        <w:tc>
          <w:tcPr>
            <w:tcW w:w="3411" w:type="dxa"/>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China</w:t>
            </w:r>
          </w:p>
        </w:tc>
        <w:tc>
          <w:tcPr>
            <w:tcW w:w="1692"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Sub-national</w:t>
            </w:r>
          </w:p>
        </w:tc>
        <w:tc>
          <w:tcPr>
            <w:tcW w:w="1701"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Animal</w:t>
            </w:r>
          </w:p>
        </w:tc>
        <w:tc>
          <w:tcPr>
            <w:tcW w:w="2375"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Surveillance</w:t>
            </w:r>
          </w:p>
        </w:tc>
      </w:tr>
      <w:tr w:rsidR="0005622A" w:rsidRPr="00C44B9E" w:rsidTr="0005622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45" w:type="dxa"/>
            <w:noWrap/>
            <w:hideMark/>
          </w:tcPr>
          <w:p w:rsidR="0005622A" w:rsidRPr="000C07A6" w:rsidRDefault="0005622A" w:rsidP="0005622A">
            <w:r w:rsidRPr="000C07A6">
              <w:fldChar w:fldCharType="begin" w:fldLock="1"/>
            </w:r>
            <w:r w:rsidR="00E40AC6">
              <w:instrText>ADDIN CSL_CITATION {"citationItems":[{"id":"ITEM-1","itemData":{"DOI":"10.1016/j.vetmic.2017.11.021","ISSN":"1873-2542 (Electronic)","PMID":"29292007","abstract":"VetPath is an ongoing pan-European antimicrobial susceptibility monitoring programme collecting pathogens from diseased cattle, pigs and poultry not recently treated with antibiotics. Non-duplicate milk samples were collected from cows with acute clinical mastitis in nine countries and 934 isolates were obtained during 2009-2012 for subsequent antimicrobial susceptibility testing in a central laboratory. CLSI broth microdilution methodology was used, and where available, MICs were interpreted using CLSI approved veterinary-specific (ceftiofur) otherwise human clinical breakpoints. Among Escherichia coli (n=207) and Klebsiella spp., (n=87), resistance was moderate to tetracycline and high to cephapirin (E. coli only) whereas resistance to other beta-lactam antibiotics was very low (ceftiofur) to low (amoxicillin/clavulanic acid, cephalexin, cephalonium). The MIC90 of enrofloxacin and marbofloxacin was 0.03 and 0.06mug/mL respectively (E. coli) with 0.5% strains displaying higher MICs. Staphylococcus aureus (n=192) and coagulase-negative staphylococci (CNS; n=165) strains were susceptible to most antibiotics tested except to penicillin (25.0 and 29.1% resistance), respectively. Three S. aureus and seven CNS strains were oxacillin-resistant and harboured mecA. Streptococcus uberis strains (n=188) were susceptible to the beta-lactam antibiotics although 35.6% were penicillin intermediately susceptible, and 20.2% were resistant to erythromycin, 36.7% to tetracycline. For Streptococcus dysgalactiae (n=95) the latter figures were 13.7 and 56.8%, respectively. For most antibiotics, the percentage resistance among E. coli, S. aureus and S. uberis was comparable to that of the VetPath 2002-2006 survey. This current, expanded VetPath study shows that mastitis pathogens were susceptible to most antibiotics with exceptions of staphylococci tested against penicillin and streptococci against erythromycin or tetracycline. This work highlights the high need to set additional clinical breakpoints for antibiotics frequently used to treat mastitis.","author":[{"dropping-particle":"","family":"Jong","given":"Anno","non-dropping-particle":"de","parse-names":false,"suffix":""},{"dropping-particle":"El","family":"Garch","given":"Farid","non-dropping-particle":"","parse-names":false,"suffix":""},{"dropping-particle":"","family":"Simjee","given":"Shabbir","non-dropping-particle":"","parse-names":false,"suffix":""},{"dropping-particle":"","family":"Moyaert","given":"Hilde","non-dropping-particle":"","parse-names":false,"suffix":""},{"dropping-particle":"","family":"Rose","given":"Markus","non-dropping-particle":"","parse-names":false,"suffix":""},{"dropping-particle":"","family":"Youala","given":"Myriam","non-dropping-particle":"","parse-names":false,"suffix":""},{"dropping-particle":"","family":"Siegwart","given":"Ed","non-dropping-particle":"","parse-names":false,"suffix":""}],"container-title":"Veterinary microbiology","id":"ITEM-1","issued":{"date-parts":[["2018","1"]]},"language":"eng","page":"73-81","publisher-place":"Netherlands","title":"Monitoring of antimicrobial susceptibility of udder pathogens recovered from cases of clinical mastitis in dairy cows across Europe: VetPath results.","type":"article-journal","volume":"213"},"uris":["http://www.mendeley.com/documents/?uuid=4ee06d45-f6fb-43cd-80fd-fd01be9bbf8c"]}],"mendeley":{"formattedCitation":"(29)","plainTextFormattedCitation":"(29)","previouslyFormattedCitation":"(73)"},"properties":{"noteIndex":0},"schema":"https://github.com/citation-style-language/schema/raw/master/csl-citation.json"}</w:instrText>
            </w:r>
            <w:r w:rsidRPr="000C07A6">
              <w:fldChar w:fldCharType="separate"/>
            </w:r>
            <w:r w:rsidR="00E40AC6" w:rsidRPr="00E40AC6">
              <w:rPr>
                <w:b w:val="0"/>
                <w:noProof/>
              </w:rPr>
              <w:t>(29)</w:t>
            </w:r>
            <w:r w:rsidRPr="000C07A6">
              <w:fldChar w:fldCharType="end"/>
            </w:r>
          </w:p>
        </w:tc>
        <w:tc>
          <w:tcPr>
            <w:tcW w:w="3570" w:type="dxa"/>
            <w:noWrap/>
            <w:hideMark/>
          </w:tcPr>
          <w:p w:rsidR="0005622A" w:rsidRPr="000C07A6" w:rsidRDefault="0005622A" w:rsidP="0005622A">
            <w:pPr>
              <w:cnfStyle w:val="000000100000" w:firstRow="0" w:lastRow="0" w:firstColumn="0" w:lastColumn="0" w:oddVBand="0" w:evenVBand="0" w:oddHBand="1" w:evenHBand="0" w:firstRowFirstColumn="0" w:firstRowLastColumn="0" w:lastRowFirstColumn="0" w:lastRowLastColumn="0"/>
            </w:pPr>
            <w:r w:rsidRPr="000C07A6">
              <w:t xml:space="preserve">CEESA's </w:t>
            </w:r>
            <w:proofErr w:type="spellStart"/>
            <w:r w:rsidRPr="000C07A6">
              <w:t>VetPath</w:t>
            </w:r>
            <w:proofErr w:type="spellEnd"/>
            <w:r w:rsidRPr="000C07A6">
              <w:t xml:space="preserve"> programme</w:t>
            </w:r>
          </w:p>
        </w:tc>
        <w:tc>
          <w:tcPr>
            <w:tcW w:w="3411" w:type="dxa"/>
          </w:tcPr>
          <w:p w:rsidR="0005622A" w:rsidRPr="000C07A6" w:rsidRDefault="0005622A" w:rsidP="0005622A">
            <w:pPr>
              <w:cnfStyle w:val="000000100000" w:firstRow="0" w:lastRow="0" w:firstColumn="0" w:lastColumn="0" w:oddVBand="0" w:evenVBand="0" w:oddHBand="1" w:evenHBand="0" w:firstRowFirstColumn="0" w:firstRowLastColumn="0" w:lastRowFirstColumn="0" w:lastRowLastColumn="0"/>
            </w:pPr>
            <w:r w:rsidRPr="000C07A6">
              <w:t>Belgium, Czech Republic, Denmark, France, Germany, Italy, Netherlands, Spain, United Kingdom</w:t>
            </w:r>
          </w:p>
        </w:tc>
        <w:tc>
          <w:tcPr>
            <w:tcW w:w="1692" w:type="dxa"/>
            <w:noWrap/>
            <w:hideMark/>
          </w:tcPr>
          <w:p w:rsidR="0005622A" w:rsidRPr="000C07A6" w:rsidRDefault="0005622A" w:rsidP="0005622A">
            <w:pPr>
              <w:cnfStyle w:val="000000100000" w:firstRow="0" w:lastRow="0" w:firstColumn="0" w:lastColumn="0" w:oddVBand="0" w:evenVBand="0" w:oddHBand="1" w:evenHBand="0" w:firstRowFirstColumn="0" w:firstRowLastColumn="0" w:lastRowFirstColumn="0" w:lastRowLastColumn="0"/>
            </w:pPr>
            <w:r w:rsidRPr="000C07A6">
              <w:t>Regional</w:t>
            </w:r>
          </w:p>
        </w:tc>
        <w:tc>
          <w:tcPr>
            <w:tcW w:w="1701" w:type="dxa"/>
            <w:noWrap/>
            <w:hideMark/>
          </w:tcPr>
          <w:p w:rsidR="0005622A" w:rsidRPr="000C07A6" w:rsidRDefault="0005622A" w:rsidP="0005622A">
            <w:pPr>
              <w:cnfStyle w:val="000000100000" w:firstRow="0" w:lastRow="0" w:firstColumn="0" w:lastColumn="0" w:oddVBand="0" w:evenVBand="0" w:oddHBand="1" w:evenHBand="0" w:firstRowFirstColumn="0" w:firstRowLastColumn="0" w:lastRowFirstColumn="0" w:lastRowLastColumn="0"/>
            </w:pPr>
            <w:r w:rsidRPr="000C07A6">
              <w:t>Animal</w:t>
            </w:r>
          </w:p>
        </w:tc>
        <w:tc>
          <w:tcPr>
            <w:tcW w:w="2375" w:type="dxa"/>
            <w:noWrap/>
            <w:hideMark/>
          </w:tcPr>
          <w:p w:rsidR="0005622A" w:rsidRPr="000C07A6" w:rsidRDefault="0005622A" w:rsidP="0005622A">
            <w:pPr>
              <w:cnfStyle w:val="000000100000" w:firstRow="0" w:lastRow="0" w:firstColumn="0" w:lastColumn="0" w:oddVBand="0" w:evenVBand="0" w:oddHBand="1" w:evenHBand="0" w:firstRowFirstColumn="0" w:firstRowLastColumn="0" w:lastRowFirstColumn="0" w:lastRowLastColumn="0"/>
            </w:pPr>
            <w:r w:rsidRPr="000C07A6">
              <w:t>Surveillance</w:t>
            </w:r>
          </w:p>
        </w:tc>
      </w:tr>
      <w:tr w:rsidR="0005622A" w:rsidRPr="00C44B9E" w:rsidTr="0005622A">
        <w:trPr>
          <w:trHeight w:val="300"/>
        </w:trPr>
        <w:tc>
          <w:tcPr>
            <w:cnfStyle w:val="001000000000" w:firstRow="0" w:lastRow="0" w:firstColumn="1" w:lastColumn="0" w:oddVBand="0" w:evenVBand="0" w:oddHBand="0" w:evenHBand="0" w:firstRowFirstColumn="0" w:firstRowLastColumn="0" w:lastRowFirstColumn="0" w:lastRowLastColumn="0"/>
            <w:tcW w:w="1245" w:type="dxa"/>
            <w:noWrap/>
            <w:hideMark/>
          </w:tcPr>
          <w:p w:rsidR="0005622A" w:rsidRPr="00C44B9E" w:rsidRDefault="0005622A" w:rsidP="0005622A">
            <w:r>
              <w:fldChar w:fldCharType="begin" w:fldLock="1"/>
            </w:r>
            <w:r w:rsidR="00E40AC6">
              <w:instrText>ADDIN CSL_CITATION {"citationItems":[{"id":"ITEM-1","itemData":{"DOI":"10.1016/j.vetmic.2018.02.022","ISSN":"1873-2542 (Electronic)","PMID":"29615252","abstract":"The aim of this study was to describe and compare the occurrence of quinolone resistant Escherichia coli (QREC) in various animal species in relation to human population density. Data from the Norwegian monitoring programme for antimicrobial resistance in feed, food and animals from 2006 to 2016 was compiled and analysed. In total, 4568 E. coli isolates were included in this study. The isolates originated from broilers, layers, cattle, turkeys, dogs, wild birds, red foxes, reindeer, sheep, horses and pigs. Data regarding the geographical location of sampling was obtained for 4050 of these isolates and used to categorize the isolates depending on the human population density of the area. In total, 1.4% of the isolates were categorized as quinolone resistant. Compared to most European countries, there was an overall low occurrence of QREC in various animal species in Norway, though with an interspecies variation with the highest occurrence in broilers and wild birds (p&lt;0.05). Human population density was not associated with the occurrence of QREC. Since fluoroquinolones are not used prophylactically and in almost negligent amounts in various species in Norway, the interspecies variation in the occurrence of QREC suggests that other factors than fluoroquinolone use may be important in the development of QREC.","author":[{"dropping-particle":"","family":"Kaspersen","given":"Hakon","non-dropping-particle":"","parse-names":false,"suffix":""},{"dropping-particle":"","family":"Urdahl","given":"Anne Margrete","non-dropping-particle":"","parse-names":false,"suffix":""},{"dropping-particle":"","family":"Simm","given":"Roger","non-dropping-particle":"","parse-names":false,"suffix":""},{"dropping-particle":"","family":"Slettemeas","given":"Jannice Schau","non-dropping-particle":"","parse-names":false,"suffix":""},{"dropping-particle":"","family":"Lagesen","given":"Karin","non-dropping-particle":"","parse-names":false,"suffix":""},{"dropping-particle":"","family":"Norstrom","given":"Madelaine","non-dropping-particle":"","parse-names":false,"suffix":""}],"container-title":"Veterinary microbiology","id":"ITEM-1","issued":{"date-parts":[["2018","4"]]},"language":"eng","page":"25-31","publisher-place":"Netherlands","title":"Occurrence of quinolone resistant E. coli originating from different animal species in Norway.","type":"article-journal","volume":"217"},"uris":["http://www.mendeley.com/documents/?uuid=8fb4bdd5-1594-4be6-8ff5-f8d0b2a6dbcb"]}],"mendeley":{"formattedCitation":"(30)","plainTextFormattedCitation":"(30)","previouslyFormattedCitation":"(74)"},"properties":{"noteIndex":0},"schema":"https://github.com/citation-style-language/schema/raw/master/csl-citation.json"}</w:instrText>
            </w:r>
            <w:r>
              <w:fldChar w:fldCharType="separate"/>
            </w:r>
            <w:r w:rsidR="00E40AC6" w:rsidRPr="00E40AC6">
              <w:rPr>
                <w:b w:val="0"/>
                <w:noProof/>
              </w:rPr>
              <w:t>(30)</w:t>
            </w:r>
            <w:r>
              <w:fldChar w:fldCharType="end"/>
            </w:r>
          </w:p>
        </w:tc>
        <w:tc>
          <w:tcPr>
            <w:tcW w:w="3570"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NORM-VET</w:t>
            </w:r>
          </w:p>
        </w:tc>
        <w:tc>
          <w:tcPr>
            <w:tcW w:w="3411" w:type="dxa"/>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Norway</w:t>
            </w:r>
          </w:p>
        </w:tc>
        <w:tc>
          <w:tcPr>
            <w:tcW w:w="1692"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National</w:t>
            </w:r>
          </w:p>
        </w:tc>
        <w:tc>
          <w:tcPr>
            <w:tcW w:w="1701"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Animal</w:t>
            </w:r>
          </w:p>
        </w:tc>
        <w:tc>
          <w:tcPr>
            <w:tcW w:w="2375"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Surveillance</w:t>
            </w:r>
          </w:p>
        </w:tc>
      </w:tr>
      <w:tr w:rsidR="0005622A" w:rsidRPr="00C44B9E" w:rsidTr="0005622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45" w:type="dxa"/>
            <w:noWrap/>
            <w:hideMark/>
          </w:tcPr>
          <w:p w:rsidR="0005622A" w:rsidRPr="00C44B9E" w:rsidRDefault="0005622A" w:rsidP="0005622A">
            <w:r>
              <w:lastRenderedPageBreak/>
              <w:fldChar w:fldCharType="begin" w:fldLock="1"/>
            </w:r>
            <w:r w:rsidR="00E40AC6">
              <w:instrText>ADDIN CSL_CITATION {"citationItems":[{"id":"ITEM-1","itemData":{"DOI":"10.1111/zph.12412","ISSN":"1863-2378 (Electronic)","PMID":"29110404","abstract":"Antimicrobial resistance (AMR) among bacteria isolated from food-producing animals is a growing concern with implications for public health. AMR surveillance is essential to identify resistance trends and help in the design of effective and efficient control strategies. The aim of the study was to describe the antimicrobial susceptibility of pathogenic Escherichia coli isolated from three livestock productions in France (cattle, swine and poultry). The trend in resistance to the most commonly prescribed antibiotics in animal health was analysed as follows: amoxicillin (penicillin), spectinomycin or streptomycin (aminoglycoside), tetracycline and trimethoprim-sulfamethoxazole/Enrofloxacin and ceftiofur were also taken into account as members of critically important antimicrobial families in human and veterinary medicine, that is fluoroquinolones and third-generation cephalosporins, respectively. Data collected between 2002 and 2015 by the French national surveillance network of AMR referred to as RESAPATH were analysed. Resistance trends were investigated using non-linear analysis (generalized additive models) applied to time-series stratified by livestock production and antibiotic. Irrespective of the species and the antibiotic considered, resistance signals over time showed no significant annual cycle. Resistance to third-generation cephalosporins emerged during the period of the study, with a peak at 22% [20.5; 24.0] in poultry in 2010, decreasing afterwards, while it remained consistently below 10% for the other species. The proportion of resistance to fluoroquinolones was broadly similar between species and remained under 30%, with a slight decreasing trend after 2009. Resistances to tetracycline and amoxicillin remained high, between 90% and 40% over time in cattle and swine. After 2010, there was a decrease in resistance to these antibiotics for all species, especially to tetracycline for poultry with a drop from 84% in 2009 to 43% in 2015. These results contribute to risk assessment and constitute objective evidence on which to evaluate the efficacy of control measures implemented to limit AMR occurrence.","author":[{"dropping-particle":"","family":"Boireau","given":"C","non-dropping-particle":"","parse-names":false,"suffix":""},{"dropping-particle":"","family":"Morignat","given":"E","non-dropping-particle":"","parse-names":false,"suffix":""},{"dropping-particle":"","family":"Cazeau","given":"G","non-dropping-particle":"","parse-names":false,"suffix":""},{"dropping-particle":"","family":"Jarrige","given":"N","non-dropping-particle":"","parse-names":false,"suffix":""},{"dropping-particle":"","family":"Jouy","given":"E","non-dropping-particle":"","parse-names":false,"suffix":""},{"dropping-particle":"","family":"Haenni","given":"M","non-dropping-particle":"","parse-names":false,"suffix":""},{"dropping-particle":"","family":"Madec","given":"J-Y","non-dropping-particle":"","parse-names":false,"suffix":""},{"dropping-particle":"","family":"Leblond","given":"A","non-dropping-particle":"","parse-names":false,"suffix":""},{"dropping-particle":"","family":"Gay","given":"E","non-dropping-particle":"","parse-names":false,"suffix":""}],"container-title":"Zoonoses and public health","id":"ITEM-1","issue":"1","issued":{"date-parts":[["2018","2"]]},"language":"eng","page":"e86-e94","publisher-place":"Germany","title":"Antimicrobial resistance trends in Escherichia coli isolated from diseased food-producing animals in France: A 14-year period time-series study.","type":"article-journal","volume":"65"},"uris":["http://www.mendeley.com/documents/?uuid=f5b674e2-ba45-46d2-8564-b12fabbaf00a"]}],"mendeley":{"formattedCitation":"(31)","plainTextFormattedCitation":"(31)","previouslyFormattedCitation":"(75)"},"properties":{"noteIndex":0},"schema":"https://github.com/citation-style-language/schema/raw/master/csl-citation.json"}</w:instrText>
            </w:r>
            <w:r>
              <w:fldChar w:fldCharType="separate"/>
            </w:r>
            <w:r w:rsidR="00E40AC6" w:rsidRPr="00E40AC6">
              <w:rPr>
                <w:b w:val="0"/>
                <w:noProof/>
              </w:rPr>
              <w:t>(31)</w:t>
            </w:r>
            <w:r>
              <w:fldChar w:fldCharType="end"/>
            </w:r>
          </w:p>
        </w:tc>
        <w:tc>
          <w:tcPr>
            <w:tcW w:w="3570"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RESAPATH</w:t>
            </w:r>
          </w:p>
        </w:tc>
        <w:tc>
          <w:tcPr>
            <w:tcW w:w="3411" w:type="dxa"/>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France</w:t>
            </w:r>
          </w:p>
        </w:tc>
        <w:tc>
          <w:tcPr>
            <w:tcW w:w="1692"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National</w:t>
            </w:r>
          </w:p>
        </w:tc>
        <w:tc>
          <w:tcPr>
            <w:tcW w:w="1701"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Animal</w:t>
            </w:r>
          </w:p>
        </w:tc>
        <w:tc>
          <w:tcPr>
            <w:tcW w:w="2375"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Surveillance</w:t>
            </w:r>
          </w:p>
        </w:tc>
      </w:tr>
      <w:tr w:rsidR="0005622A" w:rsidRPr="00C44B9E" w:rsidTr="0005622A">
        <w:trPr>
          <w:trHeight w:val="300"/>
        </w:trPr>
        <w:tc>
          <w:tcPr>
            <w:cnfStyle w:val="001000000000" w:firstRow="0" w:lastRow="0" w:firstColumn="1" w:lastColumn="0" w:oddVBand="0" w:evenVBand="0" w:oddHBand="0" w:evenHBand="0" w:firstRowFirstColumn="0" w:firstRowLastColumn="0" w:lastRowFirstColumn="0" w:lastRowLastColumn="0"/>
            <w:tcW w:w="1245" w:type="dxa"/>
            <w:noWrap/>
            <w:hideMark/>
          </w:tcPr>
          <w:p w:rsidR="0005622A" w:rsidRPr="00C44B9E" w:rsidRDefault="0005622A" w:rsidP="0005622A">
            <w:r>
              <w:fldChar w:fldCharType="begin" w:fldLock="1"/>
            </w:r>
            <w:r w:rsidR="00E40AC6">
              <w:instrText>ADDIN CSL_CITATION {"citationItems":[{"id":"ITEM-1","itemData":{"DOI":"10.1016/j.prevetmed.2017.10.013","ISSN":"1873-1716 (Electronic)","PMID":"30086849","abstract":"In this study the possible association between antibiotic use and resistance was  explored, focusing on commensal Escherichia coli from livestock (veal calves, young beef cattle, pigs and broiler chickens) in Belgium between 2011 and 2015. A continuous decreasing trend in antibiotic use was observed for all classes, except for the phenicols. Antibiotic resistance of commensal E. coli significantly decreased for several of the tested antibiotics in all livestock species. A more rapidly reverted resistance was seen to 3th/4th generation cephalosporins and fluoroquinolones. Moderate to strong correlations between antibiotic use and resistance were found, except for antibiotic resistance to chloramphenicol and gentamicin and the use of the corresponding antibiotic class. Yet, total antibiotic use was positively correlated with chloramphenicol resistance, showing the potential importance of co-selection for chloramphenicol resistance. These results suggest that national antimicrobial usage reduction campaigns have beneficial effects on the overall resistance levels. Analyses were performed on small datasets, though, and care must be taken while making inference. For more detailed analysis, antibiotic use data at an animal species level are required.","author":[{"dropping-particle":"","family":"Callens","given":"Benedicte","non-dropping-particle":"","parse-names":false,"suffix":""},{"dropping-particle":"","family":"Cargnel","given":"Mickael","non-dropping-particle":"","parse-names":false,"suffix":""},{"dropping-particle":"","family":"Sarrazin","given":"Steven","non-dropping-particle":"","parse-names":false,"suffix":""},{"dropping-particle":"","family":"Dewulf","given":"Jeroen","non-dropping-particle":"","parse-names":false,"suffix":""},{"dropping-particle":"","family":"Hoet","given":"Bart","non-dropping-particle":"","parse-names":false,"suffix":""},{"dropping-particle":"","family":"Vermeersch","given":"Katie","non-dropping-particle":"","parse-names":false,"suffix":""},{"dropping-particle":"","family":"Wattiau","given":"Pierre","non-dropping-particle":"","parse-names":false,"suffix":""},{"dropping-particle":"","family":"Welby","given":"Sarah","non-dropping-particle":"","parse-names":false,"suffix":""}],"container-title":"Preventive veterinary medicine","id":"ITEM-1","issued":{"date-parts":[["2018","9"]]},"language":"eng","page":"50-58","publisher-place":"Netherlands","title":"Associations between a decreased veterinary antimicrobial use and resistance in commensal Escherichia coli from Belgian livestock species (2011-2015).","type":"article-journal","volume":"157"},"uris":["http://www.mendeley.com/documents/?uuid=c01d9eb0-bb7e-48d8-8a6a-8ccea0a35565"]}],"mendeley":{"formattedCitation":"(32)","plainTextFormattedCitation":"(32)","previouslyFormattedCitation":"(76)"},"properties":{"noteIndex":0},"schema":"https://github.com/citation-style-language/schema/raw/master/csl-citation.json"}</w:instrText>
            </w:r>
            <w:r>
              <w:fldChar w:fldCharType="separate"/>
            </w:r>
            <w:r w:rsidR="00E40AC6" w:rsidRPr="00E40AC6">
              <w:rPr>
                <w:b w:val="0"/>
                <w:noProof/>
              </w:rPr>
              <w:t>(32)</w:t>
            </w:r>
            <w:r>
              <w:fldChar w:fldCharType="end"/>
            </w:r>
          </w:p>
        </w:tc>
        <w:tc>
          <w:tcPr>
            <w:tcW w:w="3570"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Belgian vet monitoring of AMC and AMR</w:t>
            </w:r>
          </w:p>
        </w:tc>
        <w:tc>
          <w:tcPr>
            <w:tcW w:w="3411" w:type="dxa"/>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Belgium</w:t>
            </w:r>
          </w:p>
        </w:tc>
        <w:tc>
          <w:tcPr>
            <w:tcW w:w="1692"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National</w:t>
            </w:r>
          </w:p>
        </w:tc>
        <w:tc>
          <w:tcPr>
            <w:tcW w:w="1701"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Animal</w:t>
            </w:r>
          </w:p>
        </w:tc>
        <w:tc>
          <w:tcPr>
            <w:tcW w:w="2375"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Surveillance</w:t>
            </w:r>
          </w:p>
        </w:tc>
      </w:tr>
      <w:tr w:rsidR="0005622A" w:rsidRPr="00C44B9E" w:rsidTr="0005622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45" w:type="dxa"/>
            <w:noWrap/>
            <w:hideMark/>
          </w:tcPr>
          <w:p w:rsidR="0005622A" w:rsidRPr="00DB5E37" w:rsidRDefault="0005622A" w:rsidP="0005622A">
            <w:r w:rsidRPr="00DB5E37">
              <w:fldChar w:fldCharType="begin" w:fldLock="1"/>
            </w:r>
            <w:r w:rsidR="00E40AC6">
              <w:instrText>ADDIN CSL_CITATION {"citationItems":[{"id":"ITEM-1","itemData":{"DOI":"10.1093/jac/dky477","ISSN":"1460-2091 (Electronic)","PMID":"30500898","abstract":"Objectives: To describe the microbiology and antimicrobial resistance patterns of cultured samples acquired from Canadian ICUs. Methods: From 2007 to 2016, tertiary care centres from across Canada submitted 42938 bacterial/fungal isolates as part of the CANWARD surveillance study. Of these, 8130 (18.9%) were from patients on ICUs. Susceptibility testing guidelines and MIC interpretive criteria were defined by CLSI. Results: Of the 8130 pathogens collected in this study, 58.2%, 36.3%, 3.1% and 2.4% were from respiratory, blood, wound and urine specimens, respectively. The top five organisms collected from Canadian ICUs accounted for 55.4% of all isolates and included Staphylococcus aureus (21.5%), Pseudomonas aeruginosa (10.6%), Escherichia coli (10.4%), Streptococcus pneumoniae (6.5%) and Klebsiella pneumoniae (6.4%). MRSA accounted for 20.7% of S. aureus collected, with community-associated (CA) MRSA genotypes increasing in prevalence over time (P &lt; 0.001). The highest susceptibility rates among MRSA were 100% for vancomycin, 100% for ceftobiprole, 100% for linezolid, 99.7% for ceftaroline, 99.7% for daptomycin and 99.7% for tigecycline. The highest susceptibility rates among E. coli were 100% for tigecycline, 99.9% for meropenem, 99.7% for colistin and 94.2% for piperacillin/tazobactam. MDR was identified in 26.3% of E. coli isolates, with 10.1% producing an ESBL. The highest susceptibility rates among P. aeruginosa were 97.5% for ceftolozane/tazobactam, 96.1% for amikacin, 94.7% for colistin and 93.3% for tobramycin. Conclusions: The most active agents against Gram-negative bacilli were the carbapenems, tigecycline and piperacillin/tazobactam. Against Gram-positive cocci, the most active agents were vancomycin, daptomycin and linezolid. The prevalence of CA-MRSA genotypes and ESBL-producing E. coli collected from ICUs increased significantly over time.","author":[{"dropping-particle":"","family":"Denisuik","given":"Andrew J","non-dropping-particle":"","parse-names":false,"suffix":""},{"dropping-particle":"","family":"Garbutt","given":"Lauren A","non-dropping-particle":"","parse-names":false,"suffix":""},{"dropping-particle":"","family":"Golden","given":"Alyssa R","non-dropping-particle":"","parse-names":false,"suffix":""},{"dropping-particle":"","family":"Adam","given":"Heather J","non-dropping-particle":"","parse-names":false,"suffix":""},{"dropping-particle":"","family":"Baxter","given":"Melanie","non-dropping-particle":"","parse-names":false,"suffix":""},{"dropping-particle":"","family":"Nichol","given":"Kimberly A","non-dropping-particle":"","parse-names":false,"suffix":""},{"dropping-particle":"","family":"Lagace-Wiens","given":"Philippe","non-dropping-particle":"","parse-names":false,"suffix":""},{"dropping-particle":"","family":"Walkty","given":"Andrew J","non-dropping-particle":"","parse-names":false,"suffix":""},{"dropping-particle":"","family":"Karlowsky","given":"James A","non-dropping-particle":"","parse-names":false,"suffix":""},{"dropping-particle":"","family":"Hoban","given":"Daryl J","non-dropping-particle":"","parse-names":false,"suffix":""},{"dropping-particle":"","family":"Mulvey","given":"Michael R","non-dropping-particle":"","parse-names":false,"suffix":""},{"dropping-particle":"","family":"Zhanel","given":"George G","non-dropping-particle":"","parse-names":false,"suffix":""}],"container-title":"The Journal of antimicrobial chemotherapy","id":"ITEM-1","issued":{"date-parts":[["2018","11"]]},"language":"eng","publisher-place":"England","title":"Antimicrobial-resistant pathogens in Canadian ICUs: results of the CANWARD 2007 to 2016 study.","type":"article-journal"},"uris":["http://www.mendeley.com/documents/?uuid=3f8a3d9b-d4b0-4efe-a40e-456ff9bd3e35"]}],"mendeley":{"formattedCitation":"(33)","plainTextFormattedCitation":"(33)","previouslyFormattedCitation":"(77)"},"properties":{"noteIndex":0},"schema":"https://github.com/citation-style-language/schema/raw/master/csl-citation.json"}</w:instrText>
            </w:r>
            <w:r w:rsidRPr="00DB5E37">
              <w:fldChar w:fldCharType="separate"/>
            </w:r>
            <w:r w:rsidR="00E40AC6" w:rsidRPr="00E40AC6">
              <w:rPr>
                <w:b w:val="0"/>
                <w:noProof/>
              </w:rPr>
              <w:t>(33)</w:t>
            </w:r>
            <w:r w:rsidRPr="00DB5E37">
              <w:fldChar w:fldCharType="end"/>
            </w:r>
          </w:p>
        </w:tc>
        <w:tc>
          <w:tcPr>
            <w:tcW w:w="3570"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CANWARD</w:t>
            </w:r>
          </w:p>
        </w:tc>
        <w:tc>
          <w:tcPr>
            <w:tcW w:w="3411" w:type="dxa"/>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Canada</w:t>
            </w:r>
          </w:p>
        </w:tc>
        <w:tc>
          <w:tcPr>
            <w:tcW w:w="1692"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Sub-national, National</w:t>
            </w:r>
          </w:p>
        </w:tc>
        <w:tc>
          <w:tcPr>
            <w:tcW w:w="1701"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Human</w:t>
            </w:r>
          </w:p>
        </w:tc>
        <w:tc>
          <w:tcPr>
            <w:tcW w:w="2375"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Surveillance</w:t>
            </w:r>
          </w:p>
        </w:tc>
      </w:tr>
      <w:tr w:rsidR="0005622A" w:rsidRPr="00C44B9E" w:rsidTr="0005622A">
        <w:trPr>
          <w:trHeight w:val="300"/>
        </w:trPr>
        <w:tc>
          <w:tcPr>
            <w:cnfStyle w:val="001000000000" w:firstRow="0" w:lastRow="0" w:firstColumn="1" w:lastColumn="0" w:oddVBand="0" w:evenVBand="0" w:oddHBand="0" w:evenHBand="0" w:firstRowFirstColumn="0" w:firstRowLastColumn="0" w:lastRowFirstColumn="0" w:lastRowLastColumn="0"/>
            <w:tcW w:w="1245" w:type="dxa"/>
            <w:noWrap/>
            <w:hideMark/>
          </w:tcPr>
          <w:p w:rsidR="0005622A" w:rsidRPr="00DB5E37" w:rsidRDefault="0005622A" w:rsidP="0005622A">
            <w:r w:rsidRPr="00DB5E37">
              <w:fldChar w:fldCharType="begin" w:fldLock="1"/>
            </w:r>
            <w:r w:rsidR="00E40AC6">
              <w:instrText>ADDIN CSL_CITATION {"citationItems":[{"id":"ITEM-1","itemData":{"DOI":"10.1098/rstb.2014.0080","ISSN":"14712970","abstract":"Surveillance involves the collection and analysis of data for the detection and monitoring of threats to public health. Surveillance should also inform as to the epidemiology of the threat and its burden in the population. A further key component of surveillance is the timely feedback of data to stakeholders with a view to generating action aimed at reducing or preventing the public health threat being monitored. Surveillance of antibiotic resistance involves the collection of antibiotic susceptibility test results undertaken by microbiology laboratories on bacteria isolated from clinical samples sent for investigation. Correlation of these data with demographic and clinical data for the patient populations from whom the pathogens were isolated gives insight into the underlying epidemiology and facilitates the formulation of rational interventions aimed at reducing the burden of resistance. This article describes a range of surveillance activities that have been undertaken in the UK over a number of years, together with current interventions being implemented. These activities are not only of national importance but form part of the international response to the global threat posed by antibiotic resistance.","author":[{"dropping-particle":"","family":"Johnson","given":"Alan P.","non-dropping-particle":"","parse-names":false,"suffix":""}],"container-title":"Philosophical Transactions of the Royal Society B: Biological Sciences","id":"ITEM-1","issue":"1670","issued":{"date-parts":[["2015"]]},"title":"Surveillance of antibiotic resistance","type":"article-journal","volume":"370"},"uris":["http://www.mendeley.com/documents/?uuid=40f8afd9-8f35-4c10-a320-1bd02fa643c7"]}],"mendeley":{"formattedCitation":"(34)","plainTextFormattedCitation":"(34)","previouslyFormattedCitation":"(78)"},"properties":{"noteIndex":0},"schema":"https://github.com/citation-style-language/schema/raw/master/csl-citation.json"}</w:instrText>
            </w:r>
            <w:r w:rsidRPr="00DB5E37">
              <w:fldChar w:fldCharType="separate"/>
            </w:r>
            <w:r w:rsidR="00E40AC6" w:rsidRPr="00E40AC6">
              <w:rPr>
                <w:b w:val="0"/>
                <w:noProof/>
              </w:rPr>
              <w:t>(34)</w:t>
            </w:r>
            <w:r w:rsidRPr="00DB5E37">
              <w:fldChar w:fldCharType="end"/>
            </w:r>
          </w:p>
        </w:tc>
        <w:tc>
          <w:tcPr>
            <w:tcW w:w="3570"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LabBase2</w:t>
            </w:r>
          </w:p>
        </w:tc>
        <w:tc>
          <w:tcPr>
            <w:tcW w:w="3411" w:type="dxa"/>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United Kingdom</w:t>
            </w:r>
          </w:p>
        </w:tc>
        <w:tc>
          <w:tcPr>
            <w:tcW w:w="1692"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Sub-national, National</w:t>
            </w:r>
          </w:p>
        </w:tc>
        <w:tc>
          <w:tcPr>
            <w:tcW w:w="1701"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Human</w:t>
            </w:r>
          </w:p>
        </w:tc>
        <w:tc>
          <w:tcPr>
            <w:tcW w:w="2375"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Surveillance</w:t>
            </w:r>
          </w:p>
        </w:tc>
      </w:tr>
      <w:tr w:rsidR="0005622A" w:rsidRPr="00C44B9E" w:rsidTr="0005622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45" w:type="dxa"/>
            <w:noWrap/>
            <w:hideMark/>
          </w:tcPr>
          <w:p w:rsidR="0005622A" w:rsidRPr="00C44B9E" w:rsidRDefault="0005622A" w:rsidP="0005622A">
            <w:r>
              <w:fldChar w:fldCharType="begin" w:fldLock="1"/>
            </w:r>
            <w:r w:rsidR="00E40AC6">
              <w:instrText>ADDIN CSL_CITATION {"citationItems":[{"id":"ITEM-1","itemData":{"DOI":"10.1128/AEM.01682-17","ISSN":"1098-5336 (Electronic)","PMID":"28887421","abstract":"The specific antimicrobial resistance (AMR) decreases that can be expected from reducing antimicrobial (AM) use in United States (US) beef production have not been defined. To address this data gap, feces were recovered from 36 lots of \"raised without antibiotics\" (RWA) and 36 lots of \"conventional\" (CONV) beef cattle. Samples (N = 719) were collected during harvest and distributed over a year. AMR was assessed by: i) culture of six AM-resistant bacteria (ARB); ii) qPCR for 10 AMR genes (ARGs); iii) an qPCR array of 84 ARGs; and iv) metagenomic sequencing. Generally, AMR levels were similar, but some were higher in CONV. The prevalence of third-generation cephalosporin-resistant (3GC(r)) Escherichia coli was marginally different between production systems (47.5 % CONV, 34.8% RWA, P = 0.04), but the seasonal effect (92.8% summer, 48.3% winter, P &lt; 0.01) was greater. Erythromycin-resistant (ERY(r)) Enterococcus spp. concentrations significantly differed between production systems (CONV = 1.91 log10 CFU/g, RWA = 0.73 log10 CFU/g, P &lt; 0.01). Levels of aadA1, ant(6)-I, blaACI, erm(A), erm(B), erm(C), erm(F), erm(Q), tet(A), tet(B), tet(M), and tet(X) ARGs were higher (P &lt; 0.05) in CONV. Aggregate abundances of all 43 ARGs detected by metagenomic sequencing and the aggregate abundances of ARGs in the aminoglycoside, beta-lactam, macrolide-lincosamide-streptogramin B (MLSB), and tetracycline AM classes did not differ (log2 fold change &lt; 1.0) between CONV and RWA. These results suggest that further reductions of AM use in US beef cattle production may not yield significant AMR reductions beyond MLSB and tetracycline resistance.IMPORTANCE The majority of AM use in the US is for food-animal production, leading to concerns that typical AM use patterns during CONV beef cattle production in the US contribute broadly to AMR occurrence. In the present study, levels of AMR were generally similar between CONV and RWA cattle. Only a limited number of modest AMR increases were observed in CONV, primarily involving MLSB and tetracycline resistance. Macrolides (tylosin) and tetracyclines (chlortetracycline) are administered in-feed for relatively long durations to reduce liver abscesses. To ensure judicious AM use, the animal health, economic, and AMR impacts of shorter duration in-feed administration of these AMs should be examined. However, given the modest AMR reductions observed, further reductions of AM use in US beef cattle production may not yield significant AMR red…","author":[{"dropping-particle":"","family":"Vikram","given":"Amit","non-dropping-particle":"","parse-names":false,"suffix":""},{"dropping-particle":"","family":"Rovira","given":"Pablo","non-dropping-particle":"","parse-names":false,"suffix":""},{"dropping-particle":"","family":"Agga","given":"Getahun E","non-dropping-particle":"","parse-names":false,"suffix":""},{"dropping-particle":"","family":"Arthur","given":"Terrance M","non-dropping-particle":"","parse-names":false,"suffix":""},{"dropping-particle":"","family":"Bosilevac","given":"Joseph M","non-dropping-particle":"","parse-names":false,"suffix":""},{"dropping-particle":"","family":"Wheeler","given":"Tommy L","non-dropping-particle":"","parse-names":false,"suffix":""},{"dropping-particle":"","family":"Morley","given":"Paul S","non-dropping-particle":"","parse-names":false,"suffix":""},{"dropping-particle":"","family":"Belk","given":"Keith E","non-dropping-particle":"","parse-names":false,"suffix":""},{"dropping-particle":"","family":"Schmidt","given":"John W","non-dropping-particle":"","parse-names":false,"suffix":""}],"container-title":"Applied and environmental microbiology","id":"ITEM-1","issued":{"date-parts":[["2017","9"]]},"language":"eng","publisher-place":"United States","title":"Impact of \"Raised Without Antibiotics\" Beef Cattle Production Practices On Occurrences of Antimicrobial Resistance.","type":"article-journal"},"uris":["http://www.mendeley.com/documents/?uuid=4778b49b-20b7-4a22-90b6-b5bb2336a679"]}],"mendeley":{"formattedCitation":"(35)","plainTextFormattedCitation":"(35)","previouslyFormattedCitation":"(79)"},"properties":{"noteIndex":0},"schema":"https://github.com/citation-style-language/schema/raw/master/csl-citation.json"}</w:instrText>
            </w:r>
            <w:r>
              <w:fldChar w:fldCharType="separate"/>
            </w:r>
            <w:r w:rsidR="00E40AC6" w:rsidRPr="00E40AC6">
              <w:rPr>
                <w:b w:val="0"/>
                <w:noProof/>
              </w:rPr>
              <w:t>(35)</w:t>
            </w:r>
            <w:r>
              <w:fldChar w:fldCharType="end"/>
            </w:r>
          </w:p>
        </w:tc>
        <w:tc>
          <w:tcPr>
            <w:tcW w:w="3570"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t>"R</w:t>
            </w:r>
            <w:r w:rsidRPr="00C44B9E">
              <w:t>aised without AB" beef</w:t>
            </w:r>
          </w:p>
        </w:tc>
        <w:tc>
          <w:tcPr>
            <w:tcW w:w="3411" w:type="dxa"/>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United States</w:t>
            </w:r>
          </w:p>
        </w:tc>
        <w:tc>
          <w:tcPr>
            <w:tcW w:w="1692"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Local</w:t>
            </w:r>
          </w:p>
        </w:tc>
        <w:tc>
          <w:tcPr>
            <w:tcW w:w="1701"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Animal</w:t>
            </w:r>
          </w:p>
        </w:tc>
        <w:tc>
          <w:tcPr>
            <w:tcW w:w="2375"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Conservation</w:t>
            </w:r>
          </w:p>
        </w:tc>
      </w:tr>
      <w:tr w:rsidR="0005622A" w:rsidRPr="00C44B9E" w:rsidTr="0005622A">
        <w:trPr>
          <w:trHeight w:val="300"/>
        </w:trPr>
        <w:tc>
          <w:tcPr>
            <w:cnfStyle w:val="001000000000" w:firstRow="0" w:lastRow="0" w:firstColumn="1" w:lastColumn="0" w:oddVBand="0" w:evenVBand="0" w:oddHBand="0" w:evenHBand="0" w:firstRowFirstColumn="0" w:firstRowLastColumn="0" w:lastRowFirstColumn="0" w:lastRowLastColumn="0"/>
            <w:tcW w:w="1245" w:type="dxa"/>
            <w:noWrap/>
            <w:hideMark/>
          </w:tcPr>
          <w:p w:rsidR="0005622A" w:rsidRPr="00C44B9E" w:rsidRDefault="0005622A" w:rsidP="0005622A">
            <w:r>
              <w:fldChar w:fldCharType="begin" w:fldLock="1"/>
            </w:r>
            <w:r w:rsidR="00E40AC6">
              <w:instrText>ADDIN CSL_CITATION {"citationItems":[{"id":"ITEM-1","itemData":{"DOI":"10.3238/arztebl.2017.0858","ISSN":"1866-0452 (Electronic)","PMID":"29271345","abstract":"BACKGROUND: The project entitled Surveillance of Antibiotic Use and Resistance in Intensive Care Units (SARI) was initiated in Germany in 2000. In this article, we describe developments in antibiotic use and resistance rates in the participating intensive care units over the years 2001-2015. METHODS: The intensive care units supplied monthly figures on patient days, antibiotic use (in defined daily doses, DDD), and resistance data for 13 pathogens. The density of antibiotic use per 1000 patient days was calculated on the basis of antibiotic use, DDD, and patient days, and the resistance density per 1000 patient days was calculated from the number of resistant pathogens. RESULTS: In the years 2001-2015, data on 2 920 068 patient days were collected in 77 intensive care units. The average overall antibiotic use rose by 19% over this period, with a marked increase in the density of carbapenem use (from 76 to 250 DDD per 1000 patient days, +230%) and piperacillin-tazobactam use (from 42 to 146 DDD per 1000 patient days, +247%). The proportion of Escherichia coli and Klebsiella pneumoniae isolates that were resistant to third-generation cephalosporins increased markedly initially, then remained stable over the remainder of the observation period. The proportion of methicillin-resistant Staphylococcus aureus was stable over the entire period. The rates of vancomycin resistance among Enterococcus faecium isolates and imipenem resistance among gram-negative pathogens increased from 2.3% to 13.3% and from 0.1% to 0.3%, respectively. CONCLUSION: The resistance density of gram-negative multiresistant pathogens in the participating intensive care units increased markedly. The rise in imipenem-resistant pathogens arouses particular concern. The increased use of broad-spectrum/reserve antibiotics may well have contributed to this development. Efforts to use antibiotics rationally, e.g., with the support of multidisciplinary \"antibiotic stewardship\" teams, are therefore vitally important. As participation in SARI is voluntary, these surveillance data cannot be considered representative of Germany as a whole.","author":[{"dropping-particle":"","family":"Remschmidt","given":"Cornelius","non-dropping-particle":"","parse-names":false,"suffix":""},{"dropping-particle":"","family":"Schneider","given":"Sandra","non-dropping-particle":"","parse-names":false,"suffix":""},{"dropping-particle":"","family":"Meyer","given":"Elisabeth","non-dropping-particle":"","parse-names":false,"suffix":""},{"dropping-particle":"","family":"Schroeren-Boersch","given":"Barbara","non-dropping-particle":"","parse-names":false,"suffix":""},{"dropping-particle":"","family":"Gastmeier","given":"Petra","non-dropping-particle":"","parse-names":false,"suffix":""},{"dropping-particle":"","family":"Schwab","given":"Frank","non-dropping-particle":"","parse-names":false,"suffix":""}],"container-title":"Deutsches Arzteblatt international","id":"ITEM-1","issue":"50","issued":{"date-parts":[["2017","12"]]},"language":"eng","page":"858-865","publisher-place":"Germany","title":"Surveillance of Antibiotic Use and Resistance in Intensive Care Units (SARI).","type":"article-journal","volume":"114"},"uris":["http://www.mendeley.com/documents/?uuid=40da8c0c-a740-4fa7-abaf-43395778e460"]}],"mendeley":{"formattedCitation":"(36)","plainTextFormattedCitation":"(36)","previouslyFormattedCitation":"(80)"},"properties":{"noteIndex":0},"schema":"https://github.com/citation-style-language/schema/raw/master/csl-citation.json"}</w:instrText>
            </w:r>
            <w:r>
              <w:fldChar w:fldCharType="separate"/>
            </w:r>
            <w:r w:rsidR="00E40AC6" w:rsidRPr="00E40AC6">
              <w:rPr>
                <w:b w:val="0"/>
                <w:noProof/>
              </w:rPr>
              <w:t>(36)</w:t>
            </w:r>
            <w:r>
              <w:fldChar w:fldCharType="end"/>
            </w:r>
          </w:p>
        </w:tc>
        <w:tc>
          <w:tcPr>
            <w:tcW w:w="3570"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SARI</w:t>
            </w:r>
          </w:p>
        </w:tc>
        <w:tc>
          <w:tcPr>
            <w:tcW w:w="3411" w:type="dxa"/>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Germany</w:t>
            </w:r>
          </w:p>
        </w:tc>
        <w:tc>
          <w:tcPr>
            <w:tcW w:w="1692"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National</w:t>
            </w:r>
          </w:p>
        </w:tc>
        <w:tc>
          <w:tcPr>
            <w:tcW w:w="1701"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Human</w:t>
            </w:r>
          </w:p>
        </w:tc>
        <w:tc>
          <w:tcPr>
            <w:tcW w:w="2375"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Surveillance</w:t>
            </w:r>
          </w:p>
        </w:tc>
      </w:tr>
      <w:tr w:rsidR="0005622A" w:rsidRPr="00C44B9E" w:rsidTr="0005622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45" w:type="dxa"/>
            <w:noWrap/>
            <w:hideMark/>
          </w:tcPr>
          <w:p w:rsidR="0005622A" w:rsidRPr="00C44B9E" w:rsidRDefault="0005622A" w:rsidP="0005622A">
            <w:r>
              <w:fldChar w:fldCharType="begin" w:fldLock="1"/>
            </w:r>
            <w:r w:rsidR="00E40AC6">
              <w:instrText>ADDIN CSL_CITATION {"citationItems":[{"id":"ITEM-1","itemData":{"DOI":"10.1016/j.prevetmed.2018.03.010","ISSN":"1873-1716 (Electronic)","PMID":"29685448","abstract":"Antimicrobial resistance (AMR) and related multidrug resistance (MDR) are important global public health issues. The Canadian Integrated Program for Antimicrobial Resistance Surveillance (CIPARS) conducts surveillance of AMR in enteric bacteria and monitors MDR. However, the analysis of MDR is complicated by the lack of consensus for MDR definitions. The objectives were to describe the most common resistance patterns in generic E. coli isolates from chicken cecal samples and determine the impact of using different MDR metrics for analysis of annual and regional variation in MDR. From 2006 to 2015, 1598 E. coli isolates were collected from chickens at slaughter for CIPARS. Three MDR classification metrics were used: MDR-drug (MDR if the isolate was resistant (R) to &gt;/=3 of the 13 antimicrobials); MDR-cat (MDR if R to &gt;/=3 of the 9 antimicrobials categories); and MDR-class (MDR if R to &gt;/=3 of the 6 antimicrobial classes). The most frequent resistance patterns overall, and by year and region were extracted along with patterns that included resistance to quinolones, and third generation cephalosporins and/or beta-lactams with beta-lactamase inhibitors. For each MDR metric, mixed logistic regression models, which included random intercepts for abattoir, were fitted to analyze the association between prevalence of MDR, and year and region. Interaction effects between year and region were evaluated. Overall, and in all years and regions, non-resistant was the most common resistance pattern (24.9%, 95% CI 22.8-27.1%). Resistance patterns that included third generation cephalosporins and beta-lactams with beta-lactamase inhibitors were common. The prevalence of MDR was variable: MDR-class 38.5% (95% CI 36.1-41.0%); MDR-cat 49.4% (95% CI 46.9-51.9%); and MDR-drug 53.3% (95% CI 50.8-55.8%). Based on models fitted with individual fixed effects, significant annual variation in the prevalence of MDR was identified with MDR-drug and MDR-class models. Significant regional variation was identified for all three MDR metric models. Significant interaction effects between year and region were identified with the MDR-drug and MDR-cat multivariable mixed logistic regression models. The interpretation of the association between the prevalence of MDR, and year and region differed depending on the MDR metric used. These results are supportive of the previous concerns that caution must be taken when comparing MDR results between studies. Global consensus is needed for the optim…","author":[{"dropping-particle":"","family":"MacKinnon","given":"Melissa C","non-dropping-particle":"","parse-names":false,"suffix":""},{"dropping-particle":"","family":"Pearl","given":"David L","non-dropping-particle":"","parse-names":false,"suffix":""},{"dropping-particle":"","family":"Carson","given":"Carolee A","non-dropping-particle":"","parse-names":false,"suffix":""},{"dropping-particle":"","family":"Parmley","given":"E Jane","non-dropping-particle":"","parse-names":false,"suffix":""},{"dropping-particle":"","family":"McEwen","given":"Scott A","non-dropping-particle":"","parse-names":false,"suffix":""}],"container-title":"Preventive veterinary medicine","id":"ITEM-1","issued":{"date-parts":[["2018","6"]]},"language":"eng","page":"9-17","publisher-place":"Netherlands","title":"Comparison of annual and regional variation in multidrug resistance using various classification metrics for generic Escherichia coli isolated from chicken abattoir surveillance samples in Canada.","type":"article-journal","volume":"154"},"uris":["http://www.mendeley.com/documents/?uuid=876ffd0b-cad0-49b9-ab73-1d62973c53d3"]}],"mendeley":{"formattedCitation":"(37)","plainTextFormattedCitation":"(37)","previouslyFormattedCitation":"(81)"},"properties":{"noteIndex":0},"schema":"https://github.com/citation-style-language/schema/raw/master/csl-citation.json"}</w:instrText>
            </w:r>
            <w:r>
              <w:fldChar w:fldCharType="separate"/>
            </w:r>
            <w:r w:rsidR="00E40AC6" w:rsidRPr="00E40AC6">
              <w:rPr>
                <w:b w:val="0"/>
                <w:noProof/>
              </w:rPr>
              <w:t>(37)</w:t>
            </w:r>
            <w:r>
              <w:fldChar w:fldCharType="end"/>
            </w:r>
          </w:p>
        </w:tc>
        <w:tc>
          <w:tcPr>
            <w:tcW w:w="3570"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CIPARS</w:t>
            </w:r>
          </w:p>
        </w:tc>
        <w:tc>
          <w:tcPr>
            <w:tcW w:w="3411" w:type="dxa"/>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Canada</w:t>
            </w:r>
          </w:p>
        </w:tc>
        <w:tc>
          <w:tcPr>
            <w:tcW w:w="1692"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National</w:t>
            </w:r>
          </w:p>
        </w:tc>
        <w:tc>
          <w:tcPr>
            <w:tcW w:w="1701"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Animal</w:t>
            </w:r>
          </w:p>
        </w:tc>
        <w:tc>
          <w:tcPr>
            <w:tcW w:w="2375"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Surveillance</w:t>
            </w:r>
          </w:p>
        </w:tc>
      </w:tr>
      <w:tr w:rsidR="0005622A" w:rsidRPr="00C44B9E" w:rsidTr="0005622A">
        <w:trPr>
          <w:trHeight w:val="300"/>
        </w:trPr>
        <w:tc>
          <w:tcPr>
            <w:cnfStyle w:val="001000000000" w:firstRow="0" w:lastRow="0" w:firstColumn="1" w:lastColumn="0" w:oddVBand="0" w:evenVBand="0" w:oddHBand="0" w:evenHBand="0" w:firstRowFirstColumn="0" w:firstRowLastColumn="0" w:lastRowFirstColumn="0" w:lastRowLastColumn="0"/>
            <w:tcW w:w="1245" w:type="dxa"/>
            <w:noWrap/>
            <w:hideMark/>
          </w:tcPr>
          <w:p w:rsidR="0005622A" w:rsidRPr="00DB5E37" w:rsidRDefault="0005622A" w:rsidP="0005622A">
            <w:r w:rsidRPr="00DB5E37">
              <w:fldChar w:fldCharType="begin" w:fldLock="1"/>
            </w:r>
            <w:r w:rsidR="00E40AC6">
              <w:instrText>ADDIN CSL_CITATION {"citationItems":[{"id":"ITEM-1","itemData":{"DOI":"10.1089/fpd.2015.1960","ISSN":"15567125","abstract":"The high prevalence of broad-spectrum cephalosporin (BSC) resistance in Escherichia coli isolates from healthy broilers at farms is a source of grave concern in Japan. In an effort to solve this problem, the off-label use of ceftiofur (CTF) at hatcheries was voluntarily withdrawn around March 2012. The objective of this study was to assess the effect of the voluntary withdrawal on the prevalence of BSC resistance in E. coli from healthy broilers at farms. A total of 693 E. coli isolates collected from 362 fecal samples of healthy broilers at farms between 2010 and 2013 were examined to determine their antimicrobial resistance profiles and β-lactamase genes. β-Lactamase genes were characterized by polymerase chain reaction and sequencing. BSC resistance was detected in 84 of the 693 E. coli isolates (12.1%) from healthy broilers between 2010 and 2013. The percentage of BSC-resistant E. coli isolates was significantly decreased: from 16.4% (32/195) in 2010 and 16.8% (27/161) in 2011 to 9.2% (19/206) in 2012 and 4.6% (6/131) in 2013 (2010 versus 2012: p=0.024, 2010 versus 2013: p=0.001, 2011 versus 2012: p=0.038, and 2011 versus 2013: p=0.001). Regarding ß-lactamase genes, 58 of the 84 BSC-resistant E. coli isolates (69.0%) harbored blaCMY-2. The prevalence of BSC resistance in E. coli isolated from healthy broilers at farms was markedly decreased within a year after the voluntary withdrawal from CTF use at hatcheries. This indicates that BSC resistance in E. coli isolates from broilers could be controlled by restricting the use of CTF at the hatchery level.","author":[{"dropping-particle":"","family":"Hiki","given":"Mototaka","non-dropping-particle":"","parse-names":false,"suffix":""},{"dropping-particle":"","family":"Kawanishi","given":"Michiko","non-dropping-particle":"","parse-names":false,"suffix":""},{"dropping-particle":"","family":"Abo","given":"Hitoshi","non-dropping-particle":"","parse-names":false,"suffix":""},{"dropping-particle":"","family":"Kojima","given":"Akemi","non-dropping-particle":"","parse-names":false,"suffix":""},{"dropping-particle":"","family":"Koike","given":"Ryoji","non-dropping-particle":"","parse-names":false,"suffix":""},{"dropping-particle":"","family":"Hamamoto","given":"Shuichi","non-dropping-particle":"","parse-names":false,"suffix":""},{"dropping-particle":"","family":"Asai","given":"Tetsuo","non-dropping-particle":"","parse-names":false,"suffix":""}],"container-title":"Foodborne Pathogens and Disease","id":"ITEM-1","issue":"7","issued":{"date-parts":[["2015"]]},"page":"639-643","title":"Decreased resistance to broad-spectrum cephalosporin in Escherichia coli from healthy broilers at farms in Japan after voluntary withdrawal of ceftiofur","type":"article-journal","volume":"12"},"uris":["http://www.mendeley.com/documents/?uuid=62f91b3b-2535-4184-9a24-35d26b11f3fa"]}],"mendeley":{"formattedCitation":"(38)","plainTextFormattedCitation":"(38)","previouslyFormattedCitation":"(3)"},"properties":{"noteIndex":0},"schema":"https://github.com/citation-style-language/schema/raw/master/csl-citation.json"}</w:instrText>
            </w:r>
            <w:r w:rsidRPr="00DB5E37">
              <w:fldChar w:fldCharType="separate"/>
            </w:r>
            <w:r w:rsidR="00E40AC6" w:rsidRPr="00E40AC6">
              <w:rPr>
                <w:b w:val="0"/>
                <w:noProof/>
              </w:rPr>
              <w:t>(38)</w:t>
            </w:r>
            <w:r w:rsidRPr="00DB5E37">
              <w:fldChar w:fldCharType="end"/>
            </w:r>
          </w:p>
        </w:tc>
        <w:tc>
          <w:tcPr>
            <w:tcW w:w="3570"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t>V</w:t>
            </w:r>
            <w:r w:rsidRPr="00C44B9E">
              <w:t xml:space="preserve">oluntary ban of </w:t>
            </w:r>
            <w:proofErr w:type="spellStart"/>
            <w:r w:rsidRPr="00C44B9E">
              <w:t>ceftiofur</w:t>
            </w:r>
            <w:proofErr w:type="spellEnd"/>
            <w:r w:rsidRPr="00C44B9E">
              <w:t xml:space="preserve"> in hatcheries in Japan</w:t>
            </w:r>
          </w:p>
        </w:tc>
        <w:tc>
          <w:tcPr>
            <w:tcW w:w="3411" w:type="dxa"/>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Japan</w:t>
            </w:r>
          </w:p>
        </w:tc>
        <w:tc>
          <w:tcPr>
            <w:tcW w:w="1692"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National</w:t>
            </w:r>
          </w:p>
        </w:tc>
        <w:tc>
          <w:tcPr>
            <w:tcW w:w="1701"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Animal</w:t>
            </w:r>
          </w:p>
        </w:tc>
        <w:tc>
          <w:tcPr>
            <w:tcW w:w="2375"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Conservation</w:t>
            </w:r>
          </w:p>
        </w:tc>
      </w:tr>
      <w:tr w:rsidR="0005622A" w:rsidRPr="00C44B9E" w:rsidTr="0005622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45" w:type="dxa"/>
            <w:noWrap/>
            <w:hideMark/>
          </w:tcPr>
          <w:p w:rsidR="0005622A" w:rsidRPr="00DB5E37" w:rsidRDefault="0005622A" w:rsidP="0005622A">
            <w:r w:rsidRPr="00DB5E37">
              <w:fldChar w:fldCharType="begin" w:fldLock="1"/>
            </w:r>
            <w:r w:rsidR="00E40AC6">
              <w:instrText>ADDIN CSL_CITATION {"citationItems":[{"id":"ITEM-1","itemData":{"ISSN":"1460-2091","author":[{"dropping-particle":"","family":"Jensen","given":"Ulrich S","non-dropping-particle":"","parse-names":false,"suffix":""},{"dropping-particle":"","family":"Muller","given":"Arno","non-dropping-particle":"","parse-names":false,"suffix":""},{"dropping-particle":"","family":"Brandt","given":"Christian T","non-dropping-particle":"","parse-names":false,"suffix":""},{"dropping-particle":"","family":"Frimodt-Møller","given":"Niels","non-dropping-particle":"","parse-names":false,"suffix":""},{"dropping-particle":"","family":"Hammerum","given":"Anette M","non-dropping-particle":"","parse-names":false,"suffix":""},{"dropping-particle":"","family":"Monnet","given":"Dominique L","non-dropping-particle":"","parse-names":false,"suffix":""},{"dropping-particle":"","family":"Group","given":"DANRES Study","non-dropping-particle":"","parse-names":false,"suffix":""}],"container-title":"Journal of Antimicrobial Chemotherapy","id":"ITEM-1","issue":"6","issued":{"date-parts":[["2010"]]},"page":"1286-1291","publisher":"Oxford University Press","title":"Effect of generics on price and consumption of ciprofloxacin in primary healthcare: the relationship to increasing resistance","type":"article-journal","volume":"65"},"uris":["http://www.mendeley.com/documents/?uuid=afec6021-e80e-4553-b6a7-43f4da40c9e9"]}],"mendeley":{"formattedCitation":"(39)","plainTextFormattedCitation":"(39)","previouslyFormattedCitation":"(82)"},"properties":{"noteIndex":0},"schema":"https://github.com/citation-style-language/schema/raw/master/csl-citation.json"}</w:instrText>
            </w:r>
            <w:r w:rsidRPr="00DB5E37">
              <w:fldChar w:fldCharType="separate"/>
            </w:r>
            <w:r w:rsidR="00E40AC6" w:rsidRPr="00E40AC6">
              <w:rPr>
                <w:b w:val="0"/>
                <w:noProof/>
              </w:rPr>
              <w:t>(39)</w:t>
            </w:r>
            <w:r w:rsidRPr="00DB5E37">
              <w:fldChar w:fldCharType="end"/>
            </w:r>
          </w:p>
        </w:tc>
        <w:tc>
          <w:tcPr>
            <w:tcW w:w="3570"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proofErr w:type="spellStart"/>
            <w:r w:rsidRPr="00C44B9E">
              <w:t>Ciprofloxacine</w:t>
            </w:r>
            <w:proofErr w:type="spellEnd"/>
            <w:r w:rsidRPr="00C44B9E">
              <w:t xml:space="preserve"> generics</w:t>
            </w:r>
          </w:p>
        </w:tc>
        <w:tc>
          <w:tcPr>
            <w:tcW w:w="3411" w:type="dxa"/>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Denmark</w:t>
            </w:r>
          </w:p>
        </w:tc>
        <w:tc>
          <w:tcPr>
            <w:tcW w:w="1692"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National</w:t>
            </w:r>
          </w:p>
        </w:tc>
        <w:tc>
          <w:tcPr>
            <w:tcW w:w="1701"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Human</w:t>
            </w:r>
          </w:p>
        </w:tc>
        <w:tc>
          <w:tcPr>
            <w:tcW w:w="2375"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Conservation, Access</w:t>
            </w:r>
          </w:p>
        </w:tc>
      </w:tr>
      <w:tr w:rsidR="0005622A" w:rsidRPr="00C44B9E" w:rsidTr="0005622A">
        <w:trPr>
          <w:trHeight w:val="300"/>
        </w:trPr>
        <w:tc>
          <w:tcPr>
            <w:cnfStyle w:val="001000000000" w:firstRow="0" w:lastRow="0" w:firstColumn="1" w:lastColumn="0" w:oddVBand="0" w:evenVBand="0" w:oddHBand="0" w:evenHBand="0" w:firstRowFirstColumn="0" w:firstRowLastColumn="0" w:lastRowFirstColumn="0" w:lastRowLastColumn="0"/>
            <w:tcW w:w="1245" w:type="dxa"/>
            <w:noWrap/>
            <w:hideMark/>
          </w:tcPr>
          <w:p w:rsidR="0005622A" w:rsidRPr="00C44B9E" w:rsidRDefault="0005622A" w:rsidP="0005622A">
            <w:r>
              <w:fldChar w:fldCharType="begin" w:fldLock="1"/>
            </w:r>
            <w:r w:rsidR="00E40AC6">
              <w:instrText>ADDIN CSL_CITATION {"citationItems":[{"id":"ITEM-1","itemData":{"DOI":"10.1016/j.scitotenv.2018.05.165","ISSN":"1879-1026 (Electronic)","PMID":"29791883","abstract":"Biological treatment processes at wastewater treatment plants (WWTPs), which are  the most common methods of sewage treatment, could cause selective elimination and/or changes in the proportions of phenotypes/genotypes within bacterial populations in effluent. Therefore, WWTPs based on activated sludge used in sewage treatment constitute an important reservoir of enteric bacteria which harbour potentially transferable resistance genes. Together with treated wastewater, these microorganisms can penetrate the soil, surface water, rural groundwater supplies and drinking water. Because of this, the aim of this study was to determine the impact of various modification of sewage treatment (the conventional anaerobic/anoxic/oxic (A2/O) process, mechanical-biological (MB) system, sequencing batch reactors (SBR), mechanical-biological system with elevated removal of nutrients (MB-ERN)) on the amount of antibiotic resistant bacteria (ARB) (including E. coli) and antibiotic resistance genes (ARGs) in sewage flowing out of the 13 treatment plants using activated sludge technology. There were no significant differences in ARB and ARGs regardless of time of sampling and type of treated wastewater (p&gt;0.05). The highest percentage of reduction (up to 99.9%) in the amount of ARB and ARGs was observed in WWTPs with MB and MB-ERN systems. The lowest reduction was detected in WWTPs with SBR. A significant increase (p&lt;0.05) in the percentage of bacteria resistant to the new generation antibiotics (CTX and DOX) in total counts of microorganisms was observed in effluents (EFF) from WWTPs with A2/O system and with SBR. Among all ARGs analyzed, the highest prevalence of ARGs copies in EFF samples was observed for sul1, tet(A) and qepA, the lowest for blaTEM and blaSHV. Although, the results of presented study demonstrate high efficiency of ARB and ARGs removal during the wastewater treatment processes, especially by WWTPs with MB and MB-ERN systems, EFF is still an important reservoir of ARGs which can be transferred to other microorganisms.","author":[{"dropping-particle":"","family":"Korzeniewska","given":"Ewa","non-dropping-particle":"","parse-names":false,"suffix":""},{"dropping-particle":"","family":"Harnisz","given":"Monika","non-dropping-particle":"","parse-names":false,"suffix":""}],"container-title":"The Science of the total environment","id":"ITEM-1","issued":{"date-parts":[["2018","10"]]},"language":"eng","page":"304-315","publisher-place":"Netherlands","title":"Relationship between modification of activated sludge wastewater treatment and changes in antibiotic resistance of bacteria.","type":"article-journal","volume":"639"},"uris":["http://www.mendeley.com/documents/?uuid=629d815d-09e1-4bb0-beae-6f0229cc30ce"]}],"mendeley":{"formattedCitation":"(40)","plainTextFormattedCitation":"(40)","previouslyFormattedCitation":"(83)"},"properties":{"noteIndex":0},"schema":"https://github.com/citation-style-language/schema/raw/master/csl-citation.json"}</w:instrText>
            </w:r>
            <w:r>
              <w:fldChar w:fldCharType="separate"/>
            </w:r>
            <w:r w:rsidR="00E40AC6" w:rsidRPr="00E40AC6">
              <w:rPr>
                <w:b w:val="0"/>
                <w:noProof/>
              </w:rPr>
              <w:t>(40)</w:t>
            </w:r>
            <w:r>
              <w:fldChar w:fldCharType="end"/>
            </w:r>
          </w:p>
        </w:tc>
        <w:tc>
          <w:tcPr>
            <w:tcW w:w="3570"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t>C</w:t>
            </w:r>
            <w:r w:rsidRPr="00C44B9E">
              <w:t>omparison of WWTP methods</w:t>
            </w:r>
          </w:p>
        </w:tc>
        <w:tc>
          <w:tcPr>
            <w:tcW w:w="3411" w:type="dxa"/>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Poland</w:t>
            </w:r>
          </w:p>
        </w:tc>
        <w:tc>
          <w:tcPr>
            <w:tcW w:w="1692"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Sub-national</w:t>
            </w:r>
          </w:p>
        </w:tc>
        <w:tc>
          <w:tcPr>
            <w:tcW w:w="1701"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Environment</w:t>
            </w:r>
          </w:p>
        </w:tc>
        <w:tc>
          <w:tcPr>
            <w:tcW w:w="2375"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Prevention, Containment</w:t>
            </w:r>
          </w:p>
        </w:tc>
      </w:tr>
      <w:tr w:rsidR="0005622A" w:rsidRPr="00C44B9E" w:rsidTr="0005622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45" w:type="dxa"/>
            <w:noWrap/>
            <w:hideMark/>
          </w:tcPr>
          <w:p w:rsidR="0005622A" w:rsidRPr="00C44B9E" w:rsidRDefault="0005622A" w:rsidP="0005622A">
            <w:r>
              <w:fldChar w:fldCharType="begin" w:fldLock="1"/>
            </w:r>
            <w:r w:rsidR="00E40AC6">
              <w:instrText>ADDIN CSL_CITATION {"citationItems":[{"id":"ITEM-1","itemData":{"DOI":"10.1016/j.jhin.2017.06.031","ISSN":"1532-2939 (Electronic)","PMID":"28687185","abstract":"BACKGROUND: A national voluntary surveillance programme has shown year-on-year increases in the number of bacteraemias caused by Escherichia coli. Mandatory surveillance of E. coli bacteraemia was introduced in 2011 with the aim of improving the quantity and quality of data collected. In contrast to the other national mandatory surveillance programmes, cases are not currently categorized based upon time of onset in relation to hospital admission. AIM: To assess the case for applying time-of-onset categorization to cases of E. coli bacteraemia in England. METHODS: Data for all cases of E. coli bacteraemia reported to Public Health England between April 2012 and March 2016 were extracted from the national mandatory surveillance database. Cases were categorized as hospital-onset if positive blood cultures were obtained two or more days after admission. RESULTS: Approximately 21% of cases were categorized as hospital-onset. However, the proportion of hospital-onset cases decreased by 1% in each successive 12-month period, from 23% in 2012/13 to 20% in 2015/16 (P&lt;0.001). CONCLUSIONS: Approximately one-fifth of E. coli bacteraemia cases reported via mandatory surveillance were identified as hospital-onset. Given that prevention and control strategies will vary by setting, the routine feedback of this information will prove important in informing infection prevention and control efforts. The categorization of this subset of cases represents an important step towards better understanding of the epidemiology of E. coli bacteraemia.","author":[{"dropping-particle":"","family":"Davies","given":"J","non-dropping-particle":"","parse-names":false,"suffix":""},{"dropping-particle":"","family":"Johnson","given":"A P","non-dropping-particle":"","parse-names":false,"suffix":""},{"dropping-particle":"","family":"Hope","given":"R","non-dropping-particle":"","parse-names":false,"suffix":""}],"container-title":"The Journal of hospital infection","id":"ITEM-1","issue":"3","issued":{"date-parts":[["2017","11"]]},"language":"eng","page":"207-211","publisher-place":"England","title":"Identifying hospital-onset Escherichia coli bacteraemia cases from English mandatory surveillance: the case for applying a two-day post-admission rule.","type":"article-journal","volume":"97"},"uris":["http://www.mendeley.com/documents/?uuid=49d533fc-de3d-4830-a92e-6de5f4bcc29a"]}],"mendeley":{"formattedCitation":"(41)","plainTextFormattedCitation":"(41)","previouslyFormattedCitation":"(84)"},"properties":{"noteIndex":0},"schema":"https://github.com/citation-style-language/schema/raw/master/csl-citation.json"}</w:instrText>
            </w:r>
            <w:r>
              <w:fldChar w:fldCharType="separate"/>
            </w:r>
            <w:r w:rsidR="00E40AC6" w:rsidRPr="00E40AC6">
              <w:rPr>
                <w:b w:val="0"/>
                <w:noProof/>
              </w:rPr>
              <w:t>(41)</w:t>
            </w:r>
            <w:r>
              <w:fldChar w:fldCharType="end"/>
            </w:r>
          </w:p>
        </w:tc>
        <w:tc>
          <w:tcPr>
            <w:tcW w:w="3570"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Surveillance of E.coli bloodstream infections</w:t>
            </w:r>
          </w:p>
        </w:tc>
        <w:tc>
          <w:tcPr>
            <w:tcW w:w="3411" w:type="dxa"/>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United Kingdom</w:t>
            </w:r>
          </w:p>
        </w:tc>
        <w:tc>
          <w:tcPr>
            <w:tcW w:w="1692"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Sub-national</w:t>
            </w:r>
          </w:p>
        </w:tc>
        <w:tc>
          <w:tcPr>
            <w:tcW w:w="1701"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Human</w:t>
            </w:r>
          </w:p>
        </w:tc>
        <w:tc>
          <w:tcPr>
            <w:tcW w:w="2375"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Surveillance</w:t>
            </w:r>
          </w:p>
        </w:tc>
      </w:tr>
      <w:tr w:rsidR="0005622A" w:rsidRPr="00C44B9E" w:rsidTr="0005622A">
        <w:trPr>
          <w:trHeight w:val="300"/>
        </w:trPr>
        <w:tc>
          <w:tcPr>
            <w:cnfStyle w:val="001000000000" w:firstRow="0" w:lastRow="0" w:firstColumn="1" w:lastColumn="0" w:oddVBand="0" w:evenVBand="0" w:oddHBand="0" w:evenHBand="0" w:firstRowFirstColumn="0" w:firstRowLastColumn="0" w:lastRowFirstColumn="0" w:lastRowLastColumn="0"/>
            <w:tcW w:w="1245" w:type="dxa"/>
            <w:noWrap/>
            <w:hideMark/>
          </w:tcPr>
          <w:p w:rsidR="0005622A" w:rsidRPr="00C44B9E" w:rsidRDefault="0005622A" w:rsidP="0005622A">
            <w:r>
              <w:fldChar w:fldCharType="begin" w:fldLock="1"/>
            </w:r>
            <w:r w:rsidR="00E40AC6">
              <w:instrText>ADDIN CSL_CITATION {"citationItems":[{"id":"ITEM-1","itemData":{"DOI":"10.1016/j.jhin.2016.12.008","ISSN":"1532-2939 (Electronic)","PMID":"28190700","abstract":"BACKGROUND: Escherichia coli causes more than one-third of the bacteraemia cases  in England each year, and the incidence of these infections is increasing. AIM: To determine the underlying risk factors associated with E. coli bacteraemia. METHODS: A three-month enhanced sentinel surveillance study involving 35 National Health Service hospitals was undertaken in the winter of 2012/13 to collect risk factor information and further details on the underlying source of infection to augment data already collected by the English national surveillance programme. Antimicrobial susceptibility results for E. coli isolated from blood and urine were also collected. FINDINGS: A total of 1731 cases of E. coli bacteraemia were included. The urogenital tract was the most frequently reported source of infection (51.2% of cases) with previous treatment for a urinary tract infection being the largest independent effect associated with this infection source. Half of all patients had previous healthcare exposure in the month prior to the bacteraemia with antimicrobial therapy and urinary catheterization being reported in one-third and one-fifth of these patients, respectively. Previous healthcare exposure was associated with a higher proportion of antibiotic non-susceptibility in the blood culture isolates (P=0.001). CONCLUSION: Analysis of risk factors suggests the potential benefit of community- and hospital-related interventions, especially the better use of urinary catheters and improved antibiotic management of urinary tract infections. As part of the latter strategy, antibiotic resistance profiles need to be closely monitored to ensure that treatment guidelines are up to date to limit inappropriate empiric therapy.","author":[{"dropping-particle":"","family":"Abernethy","given":"J","non-dropping-particle":"","parse-names":false,"suffix":""},{"dropping-particle":"","family":"Guy","given":"R","non-dropping-particle":"","parse-names":false,"suffix":""},{"dropping-particle":"","family":"Sheridan","given":"E A","non-dropping-particle":"","parse-names":false,"suffix":""},{"dropping-particle":"","family":"Hopkins","given":"S","non-dropping-particle":"","parse-names":false,"suffix":""},{"dropping-particle":"","family":"Kiernan","given":"M","non-dropping-particle":"","parse-names":false,"suffix":""},{"dropping-particle":"","family":"Wilcox","given":"M H","non-dropping-particle":"","parse-names":false,"suffix":""},{"dropping-particle":"","family":"Johnson","given":"A P","non-dropping-particle":"","parse-names":false,"suffix":""},{"dropping-particle":"","family":"Hope","given":"R","non-dropping-particle":"","parse-names":false,"suffix":""}],"container-title":"The Journal of hospital infection","id":"ITEM-1","issue":"4","issued":{"date-parts":[["2017","4"]]},"language":"eng","page":"365-375","publisher-place":"England","title":"Epidemiology of Escherichia coli bacteraemia in England: results of an enhanced sentinel surveillance programme.","type":"article-journal","volume":"95"},"uris":["http://www.mendeley.com/documents/?uuid=9168dce1-e4d4-473a-9838-90babbe7c13b"]}],"mendeley":{"formattedCitation":"(42)","plainTextFormattedCitation":"(42)","previouslyFormattedCitation":"(85)"},"properties":{"noteIndex":0},"schema":"https://github.com/citation-style-language/schema/raw/master/csl-citation.json"}</w:instrText>
            </w:r>
            <w:r>
              <w:fldChar w:fldCharType="separate"/>
            </w:r>
            <w:r w:rsidR="00E40AC6" w:rsidRPr="00E40AC6">
              <w:rPr>
                <w:b w:val="0"/>
                <w:noProof/>
              </w:rPr>
              <w:t>(42)</w:t>
            </w:r>
            <w:r>
              <w:fldChar w:fldCharType="end"/>
            </w:r>
          </w:p>
        </w:tc>
        <w:tc>
          <w:tcPr>
            <w:tcW w:w="3570" w:type="dxa"/>
            <w:noWrap/>
            <w:hideMark/>
          </w:tcPr>
          <w:p w:rsidR="0005622A" w:rsidRPr="0005622A" w:rsidRDefault="0005622A" w:rsidP="0005622A">
            <w:pPr>
              <w:cnfStyle w:val="000000000000" w:firstRow="0" w:lastRow="0" w:firstColumn="0" w:lastColumn="0" w:oddVBand="0" w:evenVBand="0" w:oddHBand="0" w:evenHBand="0" w:firstRowFirstColumn="0" w:firstRowLastColumn="0" w:lastRowFirstColumn="0" w:lastRowLastColumn="0"/>
            </w:pPr>
            <w:r w:rsidRPr="0005622A">
              <w:t xml:space="preserve">Sentinel surveillance for </w:t>
            </w:r>
            <w:r w:rsidRPr="0005622A">
              <w:rPr>
                <w:i/>
              </w:rPr>
              <w:t>E. coli</w:t>
            </w:r>
          </w:p>
        </w:tc>
        <w:tc>
          <w:tcPr>
            <w:tcW w:w="3411" w:type="dxa"/>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United Kingdom</w:t>
            </w:r>
          </w:p>
        </w:tc>
        <w:tc>
          <w:tcPr>
            <w:tcW w:w="1692"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National</w:t>
            </w:r>
          </w:p>
        </w:tc>
        <w:tc>
          <w:tcPr>
            <w:tcW w:w="1701"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Human</w:t>
            </w:r>
          </w:p>
        </w:tc>
        <w:tc>
          <w:tcPr>
            <w:tcW w:w="2375"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Surveillance</w:t>
            </w:r>
          </w:p>
        </w:tc>
      </w:tr>
      <w:tr w:rsidR="0005622A" w:rsidRPr="00C44B9E" w:rsidTr="0005622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45" w:type="dxa"/>
            <w:noWrap/>
            <w:hideMark/>
          </w:tcPr>
          <w:p w:rsidR="0005622A" w:rsidRPr="00C44B9E" w:rsidRDefault="0005622A" w:rsidP="0005622A">
            <w:r>
              <w:fldChar w:fldCharType="begin" w:fldLock="1"/>
            </w:r>
            <w:r w:rsidR="00E40AC6">
              <w:instrText>ADDIN CSL_CITATION {"citationItems":[{"id":"ITEM-1","itemData":{"DOI":"10.1016/j.ijfoodmicro.2018.11.006","ISSN":"1879-3460 (Electronic)","PMID":"30445282","abstract":"Strategies to mitigate antibiotic-resistant bacteria (ARB), including human pathogens, on raw vegetables are needed to reduce incidence of resistant infections. The objective of this research was to determine the effectiveness of standard post-harvest interventions, sanitizer washing and cold storage, to reduce ARB, including antibiotic resistant strains of the human pathogen E. coli O15:H7 and a common spoilage bacterium Pseudomonas, on raw carrots. To provide a background inoculum representing potential pre-harvest carryover of ARB, carrots were dip-inoculated in dairy cow manure compost slurry and further inoculated with known ARB. Inoculated carrots were washed with one of three treatments: sodium hypochlorite (50ppm free chlorine), peroxyacetic acid (40ppm peroxyacetic acid; 11.2% hydrogen peroxide), tap water (no sanitizer), or no washing (control). Washed carrots were air dried, packaged and stored at 10 degrees C for 7d or 2 degrees C for up to 60d. Enumeration was performed using total heterotrophic plate counts (HPC), HPCs on antibiotic-containing media (\"ARBs\"), E. coli O157:H7, and Pseudomonas sp. immediately after washing (0d) and after 7d of storage. In addition to the cultured bacteria, changes to the surficial carrot microbiota were profiled by sequencing bacterial 16S rRNA gene amplicons to determine the effect of sanitizer wash, storage temperature, and time of storage (0, 1, 7, 14 and 60d). Storage temperature, addition of a sanitizer during wash, and duration of storage significantly affected the bacterial microbiota (Wilcoxon, p&lt;0.05). Inclusion of either sanitizer in the wash water significantly reduced the log CFU/g of E. coli O157:H7 and Pseudomonas sp., as well as HPCs enumerated on cefotaxime- (10mug/ml), sulfamethoxazole- (100mug/ml), or tetracycline (3mug/ml) supplemented media compared to the unwashed control (ANOVA, p&lt;0.05). However, no significant reductions to bacteria resistant to vancomycin or clindamycin occurred after washing and storage. Members of the Proteobactetria, Firmicutes, Actinobacteria, Planctomycetes, and Acidobacteria comprised the bacterial carrot microbiota. The diversity of the carrot microbiota was significantly affected by the temperature of storage and by extended storage (60d), when spoilage began to occur. There were no significant differences to the relative abundance of bacterial groups associated with the type of sanitizer used for washing. Results of this study indicate that inclusion of a san…","author":[{"dropping-particle":"","family":"Dharmarha","given":"Vaishali","non-dropping-particle":"","parse-names":false,"suffix":""},{"dropping-particle":"","family":"Pulido","given":"Natalie","non-dropping-particle":"","parse-names":false,"suffix":""},{"dropping-particle":"","family":"Boyer","given":"Renee R","non-dropping-particle":"","parse-names":false,"suffix":""},{"dropping-particle":"","family":"Pruden","given":"Amy","non-dropping-particle":"","parse-names":false,"suffix":""},{"dropping-particle":"","family":"Strawn","given":"Laura K","non-dropping-particle":"","parse-names":false,"suffix":""},{"dropping-particle":"","family":"Ponder","given":"Monica A","non-dropping-particle":"","parse-names":false,"suffix":""}],"container-title":"International journal of food microbiology","id":"ITEM-1","issued":{"date-parts":[["2019","2"]]},"language":"eng","page":"25-34","publisher-place":"Netherlands","title":"Effect of post-harvest interventions on surficial carrot bacterial community dynamics, pathogen survival, and antibiotic resistance.","type":"article-journal","volume":"291"},"uris":["http://www.mendeley.com/documents/?uuid=714170ed-a37b-4241-a4f6-6c20f86796ec"]}],"mendeley":{"formattedCitation":"(43)","plainTextFormattedCitation":"(43)","previouslyFormattedCitation":"(86)"},"properties":{"noteIndex":0},"schema":"https://github.com/citation-style-language/schema/raw/master/csl-citation.json"}</w:instrText>
            </w:r>
            <w:r>
              <w:fldChar w:fldCharType="separate"/>
            </w:r>
            <w:r w:rsidR="00E40AC6" w:rsidRPr="00E40AC6">
              <w:rPr>
                <w:b w:val="0"/>
                <w:noProof/>
              </w:rPr>
              <w:t>(43)</w:t>
            </w:r>
            <w:r>
              <w:fldChar w:fldCharType="end"/>
            </w:r>
          </w:p>
        </w:tc>
        <w:tc>
          <w:tcPr>
            <w:tcW w:w="3570"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t>R</w:t>
            </w:r>
            <w:r w:rsidRPr="00C44B9E">
              <w:t xml:space="preserve">esearch </w:t>
            </w:r>
            <w:proofErr w:type="spellStart"/>
            <w:r w:rsidRPr="00C44B9E">
              <w:t>post harvest</w:t>
            </w:r>
            <w:proofErr w:type="spellEnd"/>
            <w:r w:rsidRPr="00C44B9E">
              <w:t xml:space="preserve"> intervention</w:t>
            </w:r>
          </w:p>
        </w:tc>
        <w:tc>
          <w:tcPr>
            <w:tcW w:w="3411" w:type="dxa"/>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United States</w:t>
            </w:r>
          </w:p>
        </w:tc>
        <w:tc>
          <w:tcPr>
            <w:tcW w:w="1692"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Local</w:t>
            </w:r>
          </w:p>
        </w:tc>
        <w:tc>
          <w:tcPr>
            <w:tcW w:w="1701"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Food</w:t>
            </w:r>
          </w:p>
        </w:tc>
        <w:tc>
          <w:tcPr>
            <w:tcW w:w="2375"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Prevention</w:t>
            </w:r>
          </w:p>
        </w:tc>
      </w:tr>
      <w:tr w:rsidR="0005622A" w:rsidRPr="00C44B9E" w:rsidTr="0005622A">
        <w:trPr>
          <w:trHeight w:val="300"/>
        </w:trPr>
        <w:tc>
          <w:tcPr>
            <w:cnfStyle w:val="001000000000" w:firstRow="0" w:lastRow="0" w:firstColumn="1" w:lastColumn="0" w:oddVBand="0" w:evenVBand="0" w:oddHBand="0" w:evenHBand="0" w:firstRowFirstColumn="0" w:firstRowLastColumn="0" w:lastRowFirstColumn="0" w:lastRowLastColumn="0"/>
            <w:tcW w:w="1245" w:type="dxa"/>
            <w:noWrap/>
            <w:hideMark/>
          </w:tcPr>
          <w:p w:rsidR="0005622A" w:rsidRPr="00C44B9E" w:rsidRDefault="0005622A" w:rsidP="0005622A">
            <w:r>
              <w:lastRenderedPageBreak/>
              <w:fldChar w:fldCharType="begin" w:fldLock="1"/>
            </w:r>
            <w:r w:rsidR="00E40AC6">
              <w:instrText>ADDIN CSL_CITATION {"citationItems":[{"id":"ITEM-1","itemData":{"DOI":"10.3201/eid1601.090729","ISSN":"10806040","PMID":"20031042","abstract":"The Canadian Integrated Program for Antimicrobial Resistance Surveillance describes a strong correlation (r = 0.9, p&lt;0.0001) between ceftiofur-resistant Salmonella enterica serovar Heidelberg isolated from retail chicken and incidence of ceftiofur-resistant Salmonella serovar Heidelberg infections in humans across Canada. In Québec, changes of ceftiofur resistance in chicken Salmonella Heidelberg and Escherichia coli isolates appear related to changing levels of ceftiofur use in hatcheries during the study period, from highest to lowest levels before and after a voluntary withdrawal, to increasing levels after reintroduction of use (62% to 7% to 20%, and 34% to 6% to 19%, respectively). These events provide evidence that ceftiofur use in chickens results in extended-spectrum cephalosporin resistance in bacteria from chicken and humans. To ensure the continued effectiveness of extended-spectrum cephalosporins for treating serious infections in humans, multidisciplinary efforts are needed to scrutinize and, where appropriate, limit use of ceftiofur in chicken production in Canada.","author":[{"dropping-particle":"","family":"Dutil","given":"Lucie","non-dropping-particle":"","parse-names":false,"suffix":""},{"dropping-particle":"","family":"Irwin","given":"Rebecca","non-dropping-particle":"","parse-names":false,"suffix":""},{"dropping-particle":"","family":"Finley","given":"Rita","non-dropping-particle":"","parse-names":false,"suffix":""},{"dropping-particle":"","family":"Ng","given":"Lai King","non-dropping-particle":"","parse-names":false,"suffix":""},{"dropping-particle":"","family":"Avery","given":"Brent","non-dropping-particle":"","parse-names":false,"suffix":""},{"dropping-particle":"","family":"Boerlin","given":"Patrick","non-dropping-particle":"","parse-names":false,"suffix":""},{"dropping-particle":"","family":"Bourgault","given":"Anne Marie","non-dropping-particle":"","parse-names":false,"suffix":""},{"dropping-particle":"","family":"Cole","given":"Linda","non-dropping-particle":"","parse-names":false,"suffix":""},{"dropping-particle":"","family":"Daignault","given":"Danielle","non-dropping-particle":"","parse-names":false,"suffix":""},{"dropping-particle":"","family":"Desruisseau","given":"Andrea","non-dropping-particle":"","parse-names":false,"suffix":""},{"dropping-particle":"","family":"Demczuk","given":"Walter","non-dropping-particle":"","parse-names":false,"suffix":""},{"dropping-particle":"","family":"Hoang","given":"Linda","non-dropping-particle":"","parse-names":false,"suffix":""},{"dropping-particle":"","family":"Horsman","given":"Greg B.","non-dropping-particle":"","parse-names":false,"suffix":""},{"dropping-particle":"","family":"Ismail","given":"Johanne","non-dropping-particle":"","parse-names":false,"suffix":""},{"dropping-particle":"","family":"Jamieson","given":"Frances","non-dropping-particle":"","parse-names":false,"suffix":""},{"dropping-particle":"","family":"Maki","given":"Anne","non-dropping-particle":"","parse-names":false,"suffix":""},{"dropping-particle":"","family":"Pacagnella","given":"Ana","non-dropping-particle":"","parse-names":false,"suffix":""},{"dropping-particle":"","family":"Pillai","given":"Dylan R.","non-dropping-particle":"","parse-names":false,"suffix":""}],"container-title":"Emerging Infectious Diseases","id":"ITEM-1","issue":"1","issued":{"date-parts":[["2010"]]},"page":"48-54","title":"Ceftiofur resistance in Salmonella enterica serovar Heidelberg from chicken meat and humans, Canada","type":"article-journal","volume":"16"},"uris":["http://www.mendeley.com/documents/?uuid=452b896c-0974-4b6f-9cff-b48375f0e803"]}],"mendeley":{"formattedCitation":"(44)","plainTextFormattedCitation":"(44)","previouslyFormattedCitation":"(87)"},"properties":{"noteIndex":0},"schema":"https://github.com/citation-style-language/schema/raw/master/csl-citation.json"}</w:instrText>
            </w:r>
            <w:r>
              <w:fldChar w:fldCharType="separate"/>
            </w:r>
            <w:r w:rsidR="00E40AC6" w:rsidRPr="00E40AC6">
              <w:rPr>
                <w:b w:val="0"/>
                <w:noProof/>
              </w:rPr>
              <w:t>(44)</w:t>
            </w:r>
            <w:r>
              <w:fldChar w:fldCharType="end"/>
            </w:r>
          </w:p>
        </w:tc>
        <w:tc>
          <w:tcPr>
            <w:tcW w:w="3570"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t>V</w:t>
            </w:r>
            <w:r w:rsidRPr="00C44B9E">
              <w:t xml:space="preserve">oluntary ban of </w:t>
            </w:r>
            <w:proofErr w:type="spellStart"/>
            <w:r w:rsidRPr="00C44B9E">
              <w:t>ceftiofur</w:t>
            </w:r>
            <w:proofErr w:type="spellEnd"/>
            <w:r w:rsidRPr="00C44B9E">
              <w:t xml:space="preserve"> in Qu</w:t>
            </w:r>
            <w:r>
              <w:rPr>
                <w:rFonts w:cstheme="minorHAnsi"/>
              </w:rPr>
              <w:t>é</w:t>
            </w:r>
            <w:r w:rsidRPr="00C44B9E">
              <w:t>bec in poultry sector</w:t>
            </w:r>
          </w:p>
        </w:tc>
        <w:tc>
          <w:tcPr>
            <w:tcW w:w="3411" w:type="dxa"/>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Canada</w:t>
            </w:r>
          </w:p>
        </w:tc>
        <w:tc>
          <w:tcPr>
            <w:tcW w:w="1692"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Sub-national</w:t>
            </w:r>
          </w:p>
        </w:tc>
        <w:tc>
          <w:tcPr>
            <w:tcW w:w="1701"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Animal</w:t>
            </w:r>
          </w:p>
        </w:tc>
        <w:tc>
          <w:tcPr>
            <w:tcW w:w="2375"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Conservation</w:t>
            </w:r>
          </w:p>
        </w:tc>
      </w:tr>
      <w:tr w:rsidR="0005622A" w:rsidRPr="00C44B9E" w:rsidTr="0005622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45" w:type="dxa"/>
            <w:noWrap/>
            <w:hideMark/>
          </w:tcPr>
          <w:p w:rsidR="0005622A" w:rsidRPr="00DB5E37" w:rsidRDefault="0005622A" w:rsidP="0005622A">
            <w:r w:rsidRPr="00DB5E37">
              <w:fldChar w:fldCharType="begin" w:fldLock="1"/>
            </w:r>
            <w:r w:rsidR="00E40AC6">
              <w:instrText>ADDIN CSL_CITATION {"citationItems":[{"id":"ITEM-1","itemData":{"DOI":"10.1016/j.ajic.2011.09.013","ISSN":"01966553","abstract":"Background: Urinary tract infection (UTI) is the most common diagnosis made in prescribing antimicrobials in long-term care facilities (LTCF). The diagnostic criteria for UTI vary among institutions and prescribers. Our aim was to reduce the inappropriate use of antimicrobials in LTCFs. Methods: A team comprising infectious disease consultant, infection control nurse, and geriatrician visited all LTCFs for older persons (2,321 patients in 25 primary care hospitals and 39 nursing homes and dementia units) in the Central Finland Healthcare District (population 267,000) during 2004-2005. The site visits consisted of a structured interview concerning patients, ongoing systematic antimicrobials, and diagnostic practices for UTI. Following the visits, regional guidelines for prudent use of antimicrobials in LTCFs were published, and the use of antimicrobials was followed up by an annual questionnaire. Results: The proportions of patients receiving antimicrobials in 2005, 2006, 2007, and 2008 were 19.9%, 16.9%, 16.2%, and 15.4%, respectively. Most of the antibiotics were used for UTI (range by year, 66.6%-81.1%). From 2005 through 2008, the proportion of patients on antibiotic prophylaxis for UTI decreased from 13% to 6%. The decrease was statistically significant in both types of settings. Conclusion: The visits and guidelines were associated with a reduction in the usage of antimicrobials. To sustain this, UTI surveillance and close collaboration between infection control experts and LTCFs are crucial. © 2012 by the Association for Professionals in Infection Control and Epidemiology, Inc.Published by Elsevier Inc. All rights reserved.","author":[{"dropping-particle":"","family":"Rummukainen","given":"Maija Liisa","non-dropping-particle":"","parse-names":false,"suffix":""},{"dropping-particle":"","family":"Jakobsson","given":"Aino","non-dropping-particle":"","parse-names":false,"suffix":""},{"dropping-particle":"","family":"Matsinen","given":"Maire","non-dropping-particle":"","parse-names":false,"suffix":""},{"dropping-particle":"","family":"Järvenpää","given":"Salme","non-dropping-particle":"","parse-names":false,"suffix":""},{"dropping-particle":"","family":"Nissinen","given":"Antti","non-dropping-particle":"","parse-names":false,"suffix":""},{"dropping-particle":"","family":"Karppi","given":"Pertti","non-dropping-particle":"","parse-names":false,"suffix":""},{"dropping-particle":"","family":"Lyytikäinen","given":"Outi","non-dropping-particle":"","parse-names":false,"suffix":""}],"container-title":"American Journal of Infection Control","id":"ITEM-1","issue":"8","issued":{"date-parts":[["2012"]]},"page":"711-714","publisher":"Elsevier Inc","title":"Reduction in inappropriate prevention of urinary tract infections in long-term care facilities","type":"article-journal","volume":"40"},"uris":["http://www.mendeley.com/documents/?uuid=914105be-e531-4b37-abb1-2619b057866a"]}],"mendeley":{"formattedCitation":"(45)","plainTextFormattedCitation":"(45)","previouslyFormattedCitation":"(88)"},"properties":{"noteIndex":0},"schema":"https://github.com/citation-style-language/schema/raw/master/csl-citation.json"}</w:instrText>
            </w:r>
            <w:r w:rsidRPr="00DB5E37">
              <w:fldChar w:fldCharType="separate"/>
            </w:r>
            <w:r w:rsidR="00E40AC6" w:rsidRPr="00E40AC6">
              <w:rPr>
                <w:b w:val="0"/>
                <w:noProof/>
              </w:rPr>
              <w:t>(45)</w:t>
            </w:r>
            <w:r w:rsidRPr="00DB5E37">
              <w:fldChar w:fldCharType="end"/>
            </w:r>
          </w:p>
        </w:tc>
        <w:tc>
          <w:tcPr>
            <w:tcW w:w="3570"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UTIs and AMU</w:t>
            </w:r>
          </w:p>
        </w:tc>
        <w:tc>
          <w:tcPr>
            <w:tcW w:w="3411" w:type="dxa"/>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Finland</w:t>
            </w:r>
          </w:p>
        </w:tc>
        <w:tc>
          <w:tcPr>
            <w:tcW w:w="1692"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Sub-national</w:t>
            </w:r>
          </w:p>
        </w:tc>
        <w:tc>
          <w:tcPr>
            <w:tcW w:w="1701"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Human</w:t>
            </w:r>
          </w:p>
        </w:tc>
        <w:tc>
          <w:tcPr>
            <w:tcW w:w="2375"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Conservation, Prevention</w:t>
            </w:r>
          </w:p>
        </w:tc>
      </w:tr>
      <w:tr w:rsidR="0005622A" w:rsidRPr="00C44B9E" w:rsidTr="0005622A">
        <w:trPr>
          <w:trHeight w:val="300"/>
        </w:trPr>
        <w:tc>
          <w:tcPr>
            <w:cnfStyle w:val="001000000000" w:firstRow="0" w:lastRow="0" w:firstColumn="1" w:lastColumn="0" w:oddVBand="0" w:evenVBand="0" w:oddHBand="0" w:evenHBand="0" w:firstRowFirstColumn="0" w:firstRowLastColumn="0" w:lastRowFirstColumn="0" w:lastRowLastColumn="0"/>
            <w:tcW w:w="1245" w:type="dxa"/>
            <w:noWrap/>
            <w:hideMark/>
          </w:tcPr>
          <w:p w:rsidR="0005622A" w:rsidRPr="00DB5E37" w:rsidRDefault="0005622A" w:rsidP="0005622A">
            <w:r w:rsidRPr="00DB5E37">
              <w:fldChar w:fldCharType="begin" w:fldLock="1"/>
            </w:r>
            <w:r w:rsidR="00E40AC6">
              <w:instrText>ADDIN CSL_CITATION {"citationItems":[{"id":"ITEM-1","itemData":{"ISSN":"1537-6591","author":[{"dropping-particle":"","family":"Gottesman","given":"Bat Sheva","non-dropping-particle":"","parse-names":false,"suffix":""},{"dropping-particle":"","family":"Carmeli","given":"Yehuda","non-dropping-particle":"","parse-names":false,"suffix":""},{"dropping-particle":"","family":"Shitrit","given":"Pnina","non-dropping-particle":"","parse-names":false,"suffix":""},{"dropping-particle":"","family":"Chowers","given":"Michal","non-dropping-particle":"","parse-names":false,"suffix":""}],"container-title":"Clinical Infectious Diseases","id":"ITEM-1","issue":"6","issued":{"date-parts":[["2009"]]},"page":"869-875","publisher":"The University of Chicago Press","title":"Impact of quinolone restriction on resistance patterns of Escherichia coli isolated from urine by culture in a community setting","type":"article-journal","volume":"49"},"uris":["http://www.mendeley.com/documents/?uuid=f883e95c-e6bf-439d-a89b-5b0d020c8334"]}],"mendeley":{"formattedCitation":"(46)","plainTextFormattedCitation":"(46)","previouslyFormattedCitation":"(89)"},"properties":{"noteIndex":0},"schema":"https://github.com/citation-style-language/schema/raw/master/csl-citation.json"}</w:instrText>
            </w:r>
            <w:r w:rsidRPr="00DB5E37">
              <w:fldChar w:fldCharType="separate"/>
            </w:r>
            <w:r w:rsidR="00E40AC6" w:rsidRPr="00E40AC6">
              <w:rPr>
                <w:b w:val="0"/>
                <w:noProof/>
              </w:rPr>
              <w:t>(46)</w:t>
            </w:r>
            <w:r w:rsidRPr="00DB5E37">
              <w:fldChar w:fldCharType="end"/>
            </w:r>
          </w:p>
        </w:tc>
        <w:tc>
          <w:tcPr>
            <w:tcW w:w="3570"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t>C</w:t>
            </w:r>
            <w:r w:rsidRPr="00C44B9E">
              <w:t>iprofloxacin restriction</w:t>
            </w:r>
          </w:p>
        </w:tc>
        <w:tc>
          <w:tcPr>
            <w:tcW w:w="3411" w:type="dxa"/>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Israel</w:t>
            </w:r>
          </w:p>
        </w:tc>
        <w:tc>
          <w:tcPr>
            <w:tcW w:w="1692"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National</w:t>
            </w:r>
          </w:p>
        </w:tc>
        <w:tc>
          <w:tcPr>
            <w:tcW w:w="1701"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Human</w:t>
            </w:r>
          </w:p>
        </w:tc>
        <w:tc>
          <w:tcPr>
            <w:tcW w:w="2375"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Conservation</w:t>
            </w:r>
          </w:p>
        </w:tc>
      </w:tr>
      <w:tr w:rsidR="0005622A" w:rsidRPr="00C44B9E" w:rsidTr="0005622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45" w:type="dxa"/>
            <w:noWrap/>
            <w:hideMark/>
          </w:tcPr>
          <w:p w:rsidR="0005622A" w:rsidRPr="00DB5E37" w:rsidRDefault="0005622A" w:rsidP="0005622A">
            <w:r w:rsidRPr="00DB5E37">
              <w:fldChar w:fldCharType="begin" w:fldLock="1"/>
            </w:r>
            <w:r w:rsidR="00E40AC6">
              <w:instrText>ADDIN CSL_CITATION {"citationItems":[{"id":"ITEM-1","itemData":{"DOI":"10.1586/14787210.2015.990381","ISSN":"17448336","abstract":"Introduction: Rising antibiotic resistance has become an increasing public health problem. There is a well-established correlation between antibiotic consumption and antimicrobial resistance. Consequently, measures to rationalize the prescribing of antibiotics should reduce the resistant strains. Following a 24% increase in antibiotic consumption at the end of the 1990s, multiple activities were designed and introduced by the Health Insurance Institute of Slovenia (ZZZS) and other organizations in Slovenia at the end of 1999. These activities reduced the antibiotic consumption by 18.7% by 2002. These measures have continued. Objective: To study changes in antibiotic utilization from 1995 to 2012 alongside the multiple interventions and their consequences, including changes in resistance patterns. Methods: This was a retrospective observational study involving all patients dispensed at least one ZZZS prescription for an antibiotic in Slovenia. Utilization was expressed in defined daily doses per thousand inhabitants per day. Multifaceted interventions were conducted over time involving all key stakeholder groups, that is, the Ministry of Health, ZZZS, physician groups and patients. These included comprehensive communication programs as well as prescribing restrictions for a number of antibiotics and classes. Results: From 1999 to 2012, antibiotic consumption decreased by 2-9% per year, with an overall decrease of 31%. There were also appreciable structural changes. Overall antibiotic utilization and the utilization of 7 out of 10 antibiotics significantly decreased after multiple interventions. The resistance of Streptococcus pneumoniae to penicillin decreased in line with decreased utilization. However, its resistance to macrolides increased from 5.4 to 21% despite halving of its utilization. The resistance of Escherichia coli to fluoroquinolones doubled from 10 to 21% despite utilization decreasing by a third. Expenditures on antibiotics decreased by 53%. Conclusion: Multiple demand-side measures introduced following increased utilization significantly decreased subsequent antibiotic utilization and associated costs. However, there was variable impact on antibiotic resistance. Additional targeted activities are planned to further reduce antibiotic prescribing and resistance.","author":[{"dropping-particle":"","family":"Fürst","given":"Jurij","non-dropping-particle":"","parse-names":false,"suffix":""},{"dropping-particle":"","family":"Čižman","given":"Milan","non-dropping-particle":"","parse-names":false,"suffix":""},{"dropping-particle":"","family":"Mrak","given":"Jana","non-dropping-particle":"","parse-names":false,"suffix":""},{"dropping-particle":"","family":"Kos","given":"Damjan","non-dropping-particle":"","parse-names":false,"suffix":""},{"dropping-particle":"","family":"Campbell","given":"Stephen","non-dropping-particle":"","parse-names":false,"suffix":""},{"dropping-particle":"","family":"Coenen","given":"Samuel","non-dropping-particle":"","parse-names":false,"suffix":""},{"dropping-particle":"","family":"Gustafsson","given":"Lars L.","non-dropping-particle":"","parse-names":false,"suffix":""},{"dropping-particle":"","family":"Fürst","given":"Luka","non-dropping-particle":"","parse-names":false,"suffix":""},{"dropping-particle":"","family":"Godman","given":"Brian","non-dropping-particle":"","parse-names":false,"suffix":""}],"container-title":"Expert Review of Anti-Infective Therapy","id":"ITEM-1","issue":"2","issued":{"date-parts":[["2015"]]},"page":"279-289","title":"The influence of a sustained multifaceted approach to improve antibiotic prescribing in Slovenia during the past decade: Findings and implications","type":"article-journal","volume":"13"},"uris":["http://www.mendeley.com/documents/?uuid=77d25099-c863-49e2-8f95-214a94f1be53"]}],"mendeley":{"formattedCitation":"(47)","plainTextFormattedCitation":"(47)","previouslyFormattedCitation":"(9)"},"properties":{"noteIndex":0},"schema":"https://github.com/citation-style-language/schema/raw/master/csl-citation.json"}</w:instrText>
            </w:r>
            <w:r w:rsidRPr="00DB5E37">
              <w:fldChar w:fldCharType="separate"/>
            </w:r>
            <w:r w:rsidR="00E40AC6" w:rsidRPr="00E40AC6">
              <w:rPr>
                <w:b w:val="0"/>
                <w:noProof/>
              </w:rPr>
              <w:t>(47)</w:t>
            </w:r>
            <w:r w:rsidRPr="00DB5E37">
              <w:fldChar w:fldCharType="end"/>
            </w:r>
          </w:p>
        </w:tc>
        <w:tc>
          <w:tcPr>
            <w:tcW w:w="3570"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Slovenia Multifaceted intervention</w:t>
            </w:r>
          </w:p>
        </w:tc>
        <w:tc>
          <w:tcPr>
            <w:tcW w:w="3411" w:type="dxa"/>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Slovenia</w:t>
            </w:r>
          </w:p>
        </w:tc>
        <w:tc>
          <w:tcPr>
            <w:tcW w:w="1692"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National</w:t>
            </w:r>
          </w:p>
        </w:tc>
        <w:tc>
          <w:tcPr>
            <w:tcW w:w="1701"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Human</w:t>
            </w:r>
          </w:p>
        </w:tc>
        <w:tc>
          <w:tcPr>
            <w:tcW w:w="2375"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Conservation</w:t>
            </w:r>
          </w:p>
        </w:tc>
      </w:tr>
      <w:tr w:rsidR="0005622A" w:rsidRPr="00C44B9E" w:rsidTr="0005622A">
        <w:trPr>
          <w:trHeight w:val="300"/>
        </w:trPr>
        <w:tc>
          <w:tcPr>
            <w:cnfStyle w:val="001000000000" w:firstRow="0" w:lastRow="0" w:firstColumn="1" w:lastColumn="0" w:oddVBand="0" w:evenVBand="0" w:oddHBand="0" w:evenHBand="0" w:firstRowFirstColumn="0" w:firstRowLastColumn="0" w:lastRowFirstColumn="0" w:lastRowLastColumn="0"/>
            <w:tcW w:w="1245" w:type="dxa"/>
            <w:noWrap/>
            <w:hideMark/>
          </w:tcPr>
          <w:p w:rsidR="0005622A" w:rsidRPr="00DB5E37" w:rsidRDefault="0005622A" w:rsidP="0005622A">
            <w:r w:rsidRPr="00DB5E37">
              <w:fldChar w:fldCharType="begin" w:fldLock="1"/>
            </w:r>
            <w:r w:rsidR="00E40AC6">
              <w:instrText>ADDIN CSL_CITATION {"citationItems":[{"id":"ITEM-1","itemData":{"ISSN":"1537-6591","author":[{"dropping-particle":"","family":"Fridkin","given":"Scott K","non-dropping-particle":"","parse-names":false,"suffix":""},{"dropping-particle":"","family":"Steward","given":"Christine D","non-dropping-particle":"","parse-names":false,"suffix":""},{"dropping-particle":"","family":"Edwards","given":"Jonathan R","non-dropping-particle":"","parse-names":false,"suffix":""},{"dropping-particle":"","family":"Pryor","given":"Erica R","non-dropping-particle":"","parse-names":false,"suffix":""},{"dropping-particle":"","family":"McGowan Jr","given":"John E","non-dropping-particle":"","parse-names":false,"suffix":""},{"dropping-particle":"","family":"Archibald","given":"Lennox K","non-dropping-particle":"","parse-names":false,"suffix":""},{"dropping-particle":"","family":"Gaynes","given":"Robert P","non-dropping-particle":"","parse-names":false,"suffix":""},{"dropping-particle":"","family":"Tenover","given":"Fred C","non-dropping-particle":"","parse-names":false,"suffix":""},{"dropping-particle":"","family":"Hospitals","given":"Project Intensive Care Antimicrobial Resistance Epidemiology (ICARE)","non-dropping-particle":"","parse-names":false,"suffix":""}],"container-title":"Clinical infectious diseases","id":"ITEM-1","issue":"2","issued":{"date-parts":[["1999"]]},"page":"245-252","publisher":"The University of Chicago Press","title":"Surveillance of antimicrobial use and antimicrobial resistance in United States hospitals: project ICARE phase 2","type":"article-journal","volume":"29"},"uris":["http://www.mendeley.com/documents/?uuid=6563c0de-7620-46b4-a2f0-f47ac074eba9"]}],"mendeley":{"formattedCitation":"(48)","plainTextFormattedCitation":"(48)","previouslyFormattedCitation":"(90)"},"properties":{"noteIndex":0},"schema":"https://github.com/citation-style-language/schema/raw/master/csl-citation.json"}</w:instrText>
            </w:r>
            <w:r w:rsidRPr="00DB5E37">
              <w:fldChar w:fldCharType="separate"/>
            </w:r>
            <w:r w:rsidR="00E40AC6" w:rsidRPr="00E40AC6">
              <w:rPr>
                <w:b w:val="0"/>
                <w:noProof/>
              </w:rPr>
              <w:t>(48)</w:t>
            </w:r>
            <w:r w:rsidRPr="00DB5E37">
              <w:fldChar w:fldCharType="end"/>
            </w:r>
          </w:p>
        </w:tc>
        <w:tc>
          <w:tcPr>
            <w:tcW w:w="3570"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ICARE - phase 2</w:t>
            </w:r>
          </w:p>
        </w:tc>
        <w:tc>
          <w:tcPr>
            <w:tcW w:w="3411" w:type="dxa"/>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United States</w:t>
            </w:r>
          </w:p>
        </w:tc>
        <w:tc>
          <w:tcPr>
            <w:tcW w:w="1692"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Sub-national</w:t>
            </w:r>
          </w:p>
        </w:tc>
        <w:tc>
          <w:tcPr>
            <w:tcW w:w="1701"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Human</w:t>
            </w:r>
          </w:p>
        </w:tc>
        <w:tc>
          <w:tcPr>
            <w:tcW w:w="2375"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Surveillance</w:t>
            </w:r>
          </w:p>
        </w:tc>
      </w:tr>
      <w:tr w:rsidR="0005622A" w:rsidRPr="00C44B9E" w:rsidTr="0005622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45" w:type="dxa"/>
            <w:noWrap/>
            <w:hideMark/>
          </w:tcPr>
          <w:p w:rsidR="0005622A" w:rsidRPr="00DB5E37" w:rsidRDefault="0005622A" w:rsidP="0005622A">
            <w:r w:rsidRPr="00DB5E37">
              <w:fldChar w:fldCharType="begin" w:fldLock="1"/>
            </w:r>
            <w:r w:rsidR="00E40AC6">
              <w:instrText>ADDIN CSL_CITATION {"citationItems":[{"id":"ITEM-1","itemData":{"DOI":"10.1089/fpd.2017.2283","ISSN":"1556-7125 (Electronic)","PMID":"28792800","abstract":"Drug-resistant bacterial infections pose a serious and growing public health threat globally. In this review, we describe the role of the National Antimicrobial Resistance Monitoring System (NARMS) in providing data that help address the resistance problem and show how such a program can have broad positive impacts on public health. NARMS was formed two decades ago to help assess the consequences to human health arising from the use of antimicrobial drugs in food animal production in the United States. A collaboration among the Centers for Disease Control and Prevention, the U.S. Food and Drug Administration, the United States Department of Agriculture, and state and local health departments, NARMS uses an integrated \"One Health\" approach to monitor antimicrobial resistance in enteric bacteria from humans, retail meat, and food animals. NARMS has adapted to changing needs and threats by expanding surveillance catchment areas, examining new isolate sources, adding bacteria, adjusting sampling schemes, and modifying antimicrobial agents tested. NARMS data are not only essential for ensuring that antimicrobial drugs approved for food animals are used in ways that are safe for human health but they also help address broader food safety priorities. NARMS surveillance, applied research studies, and outbreak isolate testing provide data on the emergence of drug-resistant enteric bacteria; genetic mechanisms underlying resistance; movement of bacterial populations among humans, food, and food animals; and sources and outcomes of resistant and susceptible infections. These data can be used to guide and evaluate the impact of science-based policies, regulatory actions, antimicrobial stewardship initiatives, and other public health efforts aimed at preserving drug effectiveness, improving patient outcomes, and preventing infections. Many improvements have been made to NARMS over time and the program will continue to adapt to address emerging resistance threats, changes in clinical diagnostic practices, and new technologies, such as whole genome sequencing.","author":[{"dropping-particle":"","family":"Karp","given":"Beth E","non-dropping-particle":"","parse-names":false,"suffix":""},{"dropping-particle":"","family":"Tate","given":"Heather","non-dropping-particle":"","parse-names":false,"suffix":""},{"dropping-particle":"","family":"Plumblee","given":"Jodie R","non-dropping-particle":"","parse-names":false,"suffix":""},{"dropping-particle":"","family":"Dessai","given":"Uday","non-dropping-particle":"","parse-names":false,"suffix":""},{"dropping-particle":"","family":"Whichard","given":"Jean M","non-dropping-particle":"","parse-names":false,"suffix":""},{"dropping-particle":"","family":"Thacker","given":"Eileen L","non-dropping-particle":"","parse-names":false,"suffix":""},{"dropping-particle":"","family":"Hale","given":"Kis Robertson","non-dropping-particle":"","parse-names":false,"suffix":""},{"dropping-particle":"","family":"Wilson","given":"Wanda","non-dropping-particle":"","parse-names":false,"suffix":""},{"dropping-particle":"","family":"Friedman","given":"Cindy R","non-dropping-particle":"","parse-names":false,"suffix":""},{"dropping-particle":"","family":"Griffin","given":"Patricia M","non-dropping-particle":"","parse-names":false,"suffix":""},{"dropping-particle":"","family":"McDermott","given":"Patrick F","non-dropping-particle":"","parse-names":false,"suffix":""}],"container-title":"Foodborne pathogens and disease","id":"ITEM-1","issue":"10","issued":{"date-parts":[["2017","10"]]},"language":"eng","page":"545-557","publisher-place":"United States","title":"National Antimicrobial Resistance Monitoring System: Two Decades of Advancing Public Health Through Integrated Surveillance of Antimicrobial Resistance.","type":"article-journal","volume":"14"},"uris":["http://www.mendeley.com/documents/?uuid=22f3511a-5464-406b-a085-4e5cf5b05c81"]}],"mendeley":{"formattedCitation":"(49)","plainTextFormattedCitation":"(49)","previouslyFormattedCitation":"(2)"},"properties":{"noteIndex":0},"schema":"https://github.com/citation-style-language/schema/raw/master/csl-citation.json"}</w:instrText>
            </w:r>
            <w:r w:rsidRPr="00DB5E37">
              <w:fldChar w:fldCharType="separate"/>
            </w:r>
            <w:r w:rsidR="00E40AC6" w:rsidRPr="00E40AC6">
              <w:rPr>
                <w:b w:val="0"/>
                <w:noProof/>
              </w:rPr>
              <w:t>(49)</w:t>
            </w:r>
            <w:r w:rsidRPr="00DB5E37">
              <w:fldChar w:fldCharType="end"/>
            </w:r>
          </w:p>
        </w:tc>
        <w:tc>
          <w:tcPr>
            <w:tcW w:w="3570"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NARMS</w:t>
            </w:r>
          </w:p>
        </w:tc>
        <w:tc>
          <w:tcPr>
            <w:tcW w:w="3411" w:type="dxa"/>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United States</w:t>
            </w:r>
          </w:p>
        </w:tc>
        <w:tc>
          <w:tcPr>
            <w:tcW w:w="1692"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Sub-national, National</w:t>
            </w:r>
          </w:p>
        </w:tc>
        <w:tc>
          <w:tcPr>
            <w:tcW w:w="1701"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Animal, Food, Human</w:t>
            </w:r>
          </w:p>
        </w:tc>
        <w:tc>
          <w:tcPr>
            <w:tcW w:w="2375"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Surveillance</w:t>
            </w:r>
          </w:p>
        </w:tc>
      </w:tr>
      <w:tr w:rsidR="0005622A" w:rsidRPr="0093723F" w:rsidTr="0005622A">
        <w:trPr>
          <w:trHeight w:val="300"/>
        </w:trPr>
        <w:tc>
          <w:tcPr>
            <w:cnfStyle w:val="001000000000" w:firstRow="0" w:lastRow="0" w:firstColumn="1" w:lastColumn="0" w:oddVBand="0" w:evenVBand="0" w:oddHBand="0" w:evenHBand="0" w:firstRowFirstColumn="0" w:firstRowLastColumn="0" w:lastRowFirstColumn="0" w:lastRowLastColumn="0"/>
            <w:tcW w:w="1245" w:type="dxa"/>
            <w:noWrap/>
            <w:hideMark/>
          </w:tcPr>
          <w:p w:rsidR="0005622A" w:rsidRPr="00122384" w:rsidRDefault="0005622A" w:rsidP="0005622A">
            <w:pPr>
              <w:rPr>
                <w:lang w:val="da-DK"/>
              </w:rPr>
            </w:pPr>
            <w:r>
              <w:fldChar w:fldCharType="begin" w:fldLock="1"/>
            </w:r>
            <w:r w:rsidR="00E40AC6">
              <w:instrText>ADDIN CSL_CITATION {"citationItems":[{"id":"ITEM-1","itemData":{"DOI":"10.2807/1560-7917.ES.2017.22.46.17-00062","abstract":"An important cornerstone in the control of antimicrobial resistance (AMR) is a well-designed quantitative system for the surveillance of spread and temporal trends in AMR. Since 2008, the Dutch national AMR surveillance system, based on routine data from medical microbiological laboratories (MMLs), has developed into a successful tool to support the control of AMR in the Netherlands. It provides background information for policy making in public health and healthcare services, supports development of empirical antibiotic therapy guidelines and facilitates in-depth research. In addition, participation of the MMLs in the national AMR surveillance network has contributed to sharing of knowledge and quality improvement. A future improvement will be the implementation of a new semantic standard together with standardised data transfer, which will reduce errors in data handling and enable a more real-time surveillance. Furthermore, the scientific impact and the possibility of detecting outbreaks may be amplified by merging the AMR surveillance database with databases from selected pathogen-based surveillance programmes containing patient data and genotypic typing data.","author":[{"dropping-particle":"","family":"Kuil","given":"W","non-dropping-particle":"der","parse-names":false,"suffix":""},{"dropping-particle":"","family":"Schoffelen","given":"A F","non-dropping-particle":"","parse-names":false,"suffix":""},{"dropping-particle":"","family":"Greeff","given":"S C","non-dropping-particle":"de","parse-names":false,"suffix":""},{"dropping-particle":"","family":"Thijsen","given":"S F T","non-dropping-particle":"","parse-names":false,"suffix":""},{"dropping-particle":"","family":"Alblas","given":"H J","non-dropping-particle":"","parse-names":false,"suffix":""},{"dropping-particle":"","family":"Notermans","given":"D W","non-dropping-particle":"","parse-names":false,"suffix":""},{"dropping-particle":"","family":"Vlek","given":"A L M","non-dropping-particle":"","parse-names":false,"suffix":""},{"dropping-particle":"","family":"Sande","given":"M A B","non-dropping-particle":"van der","parse-names":false,"suffix":""},{"dropping-particle":"","family":"Leenstra","given":"T","non-dropping-particle":"","parse-names":false,"suffix":""},{"dropping-particle":"","family":"Cohen-Stuart","given":"J W T","non-dropping-particle":"","parse-names":false,"suffix":""},{"dropping-particle":"","family":"Weersink","given":"A J L","non-dropping-particle":"","parse-names":false,"suffix":""},{"dropping-particle":"","family":"Visser","given":"C E","non-dropping-particle":"","parse-names":false,"suffix":""},{"dropping-particle":"","family":"Vandenbroucke-Grauls","given":"C.M.J.E.","non-dropping-particle":"","parse-names":false,"suffix":""},{"dropping-particle":"","family":"Ogtrop","given":"M L","non-dropping-particle":"van","parse-names":false,"suffix":""},{"dropping-particle":"","family":"Soeltan-Kaersenhout","given":"D J","non-dropping-particle":"","parse-names":false,"suffix":""},{"dropping-particle":"","family":"Scholing","given":"M","non-dropping-particle":"","parse-names":false,"suffix":""},{"dropping-particle":"","family":"Hees","given":"B C","non-dropping-particle":"van","parse-names":false,"suffix":""},{"dropping-particle":"","family":"Keulen","given":"P H J","non-dropping-particle":"van","parse-names":false,"suffix":""},{"dropping-particle":"","family":"Blijboom","given":"L","non-dropping-particle":"","parse-names":false,"suffix":""},{"dropping-particle":"","family":"Frakking","given":"F N J","non-dropping-particle":"","parse-names":false,"suffix":""},{"dropping-particle":"","family":"Groenendijk","given":"S","non-dropping-particle":"","parse-names":false,"suffix":""},{"dropping-particle":"","family":"Heereveld","given":"J","non-dropping-particle":"van","parse-names":false,"suffix":""},{"dropping-particle":"","family":"Hertroys","given":"R","non-dropping-particle":"","parse-names":false,"suffix":""},{"dropping-particle":"","family":"Monen","given":"J C","non-dropping-particle":"","parse-names":false,"suffix":""},{"dropping-particle":"","family":"Triest","given":"M I","non-dropping-particle":"van","parse-names":false,"suffix":""},{"dropping-particle":"","family":"Wielders","given":"C C H","non-dropping-particle":"","parse-names":false,"suffix":""},{"dropping-particle":"","family":"Woudt","given":"S H S","non-dropping-particle":"","parse-names":false,"suffix":""},{"dropping-particle":"","family":"Kluytmans","given":"J.A.J.W.","non-dropping-particle":"","parse-names":false,"suffix":""},{"dropping-particle":"","family":"Lundblad-Mattsson","given":"E E","non-dropping-particle":"","parse-names":false,"suffix":""},{"dropping-particle":"","family":"Sebens","given":"F W","non-dropping-particle":"","parse-names":false,"suffix":""},{"dropping-particle":"","family":"Jong","given":"E","non-dropping-particle":"de","parse-names":false,"suffix":""},{"dropping-particle":"","family":"Frénay","given":"H M E","non-dropping-particle":"","parse-names":false,"suffix":""},{"dropping-particle":"","family":"Maraha","given":"B","non-dropping-particle":"","parse-names":false,"suffix":""},{"dropping-particle":"","family":"Griethuysen","given":"A J","non-dropping-particle":"van","parse-names":false,"suffix":""},{"dropping-particle":"","family":"Silvis","given":"W","non-dropping-particle":"","parse-names":false,"suffix":""},{"dropping-particle":"","family":"Demeulemeester","given":"A","non-dropping-particle":"","parse-names":false,"suffix":""},{"dropping-particle":"","family":"Wintermans","given":"B B","non-dropping-particle":"","parse-names":false,"suffix":""},{"dropping-particle":"","family":"Trijp","given":"M.J.C.A.","non-dropping-particle":"van","parse-names":false,"suffix":""},{"dropping-particle":"","family":"Hendrix","given":"M G R","non-dropping-particle":"","parse-names":false,"suffix":""},{"dropping-particle":"","family":"Ott","given":"A","non-dropping-particle":"","parse-names":false,"suffix":""},{"dropping-particle":"","family":"Arends","given":"J P","non-dropping-particle":"","parse-names":false,"suffix":""},{"dropping-particle":"","family":"Kampinga","given":"G A","non-dropping-particle":"","parse-names":false,"suffix":""},{"dropping-particle":"","family":"Veenendaal","given":"D","non-dropping-particle":"","parse-names":false,"suffix":""},{"dropping-particle":"","family":"Brauwer","given":"E.I.G.B.","non-dropping-particle":"de","parse-names":false,"suffix":""},{"dropping-particle":"","family":"Stals","given":"F S","non-dropping-particle":"","parse-names":false,"suffix":""},{"dropping-particle":"","family":"Bakker","given":"L J","non-dropping-particle":"","parse-names":false,"suffix":""},{"dropping-particle":"","family":"Dorigo-Zetsma","given":"J W","non-dropping-particle":"","parse-names":false,"suffix":""},{"dropping-particle":"","family":"Ridwan","given":"B","non-dropping-particle":"","parse-names":false,"suffix":""},{"dropping-particle":"","family":"Zeijl","given":"J H","non-dropping-particle":"van","parse-names":false,"suffix":""},{"dropping-particle":"","family":"Bernards","given":"A T","non-dropping-particle":"","parse-names":false,"suffix":""},{"dropping-particle":"","family":"Erkens-Hulshof","given":"S","non-dropping-particle":"","parse-names":false,"suffix":""},{"dropping-particle":"","family":"Jongh","given":"B M","non-dropping-particle":"de","parse-names":false,"suffix":""},{"dropping-particle":"","family":"Nabuurs-Franssen","given":"M H","non-dropping-particle":"","parse-names":false,"suffix":""},{"dropping-particle":"","family":"Kuipers","given":"S","non-dropping-particle":"","parse-names":false,"suffix":""},{"dropping-particle":"","family":"Diederen","given":"B M W","non-dropping-particle":"","parse-names":false,"suffix":""},{"dropping-particle":"","family":"Melles","given":"D C","non-dropping-particle":"","parse-names":false,"suffix":""},{"dropping-particle":"","family":"Melles","given":"D C","non-dropping-particle":"","parse-names":false,"suffix":""},{"dropping-particle":"","family":"Rijn","given":"M","non-dropping-particle":"van","parse-names":false,"suffix":""},{"dropping-particle":"","family":"Man","given":"P","non-dropping-particle":"de","parse-names":false,"suffix":""},{"dropping-particle":"","family":"Vaessen","given":"N","non-dropping-particle":"","parse-names":false,"suffix":""},{"dropping-particle":"","family":"Leverstein-Van Hall","given":"M A","non-dropping-particle":"","parse-names":false,"suffix":""},{"dropping-particle":"","family":"Elzakker","given":"E P M","non-dropping-particle":"van","parse-names":false,"suffix":""},{"dropping-particle":"","family":"Muller","given":"A E","non-dropping-particle":"","parse-names":false,"suffix":""},{"dropping-particle":"","family":"Renders","given":"N H","non-dropping-particle":"","parse-names":false,"suffix":""},{"dropping-particle":"","family":"Dam","given":"D W","non-dropping-particle":"van","parse-names":false,"suffix":""},{"dropping-particle":"","family":"Hendrickx","given":"B G A","non-dropping-particle":"","parse-names":false,"suffix":""},{"dropping-particle":"","family":"Buiting","given":"A G M","non-dropping-particle":"","parse-names":false,"suffix":""},{"dropping-particle":"","family":"Deege","given":"M P D","non-dropping-particle":"","parse-names":false,"suffix":""},{"dropping-particle":"","family":"Overdevest","given":"I.T.M.A.","non-dropping-particle":"","parse-names":false,"suffix":""},{"dropping-particle":"","family":"Bosboom","given":"R W","non-dropping-particle":"","parse-names":false,"suffix":""},{"dropping-particle":"","family":"Trienekens","given":"T A M","non-dropping-particle":"","parse-names":false,"suffix":""},{"dropping-particle":"","family":"Voorn","given":"G P","non-dropping-particle":"","parse-names":false,"suffix":""},{"dropping-particle":"","family":"Ruijs","given":"G.J.H.M.","non-dropping-particle":"","parse-names":false,"suffix":""},{"dropping-particle":"","family":"Wolfhagen","given":"M.J.H.M.","non-dropping-particle":"","parse-names":false,"suffix":""}],"container-title":"Eurosurveillance","id":"ITEM-1","issue":"46","issued":{"date-parts":[["2017"]]},"note":"cited By 0","title":"National laboratory-based surveillance system for antimicrobial resistance: a successful tool to support the control of antimicrobial resistance in the Netherlands","type":"article-journal","volume":"22"},"uris":["http://www.mendeley.com/documents/?uuid=843f3302-2282-412e-8c2c-69692f71a0b9"]}],"mendeley":{"formattedCitation":"(50)","plainTextFormattedCitation":"(50)","previouslyFormattedCitation":"(91)"},"properties":{"noteIndex":0},"schema":"https://github.com/citation-style-language/schema/raw/master/csl-citation.json"}</w:instrText>
            </w:r>
            <w:r>
              <w:fldChar w:fldCharType="separate"/>
            </w:r>
            <w:r w:rsidR="00E40AC6" w:rsidRPr="00E40AC6">
              <w:rPr>
                <w:b w:val="0"/>
                <w:noProof/>
                <w:lang w:val="da-DK"/>
              </w:rPr>
              <w:t>(50)</w:t>
            </w:r>
            <w:r>
              <w:fldChar w:fldCharType="end"/>
            </w:r>
          </w:p>
        </w:tc>
        <w:tc>
          <w:tcPr>
            <w:tcW w:w="3570" w:type="dxa"/>
            <w:noWrap/>
            <w:hideMark/>
          </w:tcPr>
          <w:p w:rsidR="0005622A" w:rsidRPr="00122384" w:rsidRDefault="0005622A" w:rsidP="0005622A">
            <w:pPr>
              <w:cnfStyle w:val="000000000000" w:firstRow="0" w:lastRow="0" w:firstColumn="0" w:lastColumn="0" w:oddVBand="0" w:evenVBand="0" w:oddHBand="0" w:evenHBand="0" w:firstRowFirstColumn="0" w:firstRowLastColumn="0" w:lastRowFirstColumn="0" w:lastRowLastColumn="0"/>
              <w:rPr>
                <w:lang w:val="da-DK"/>
              </w:rPr>
            </w:pPr>
            <w:r w:rsidRPr="00122384">
              <w:rPr>
                <w:lang w:val="da-DK"/>
              </w:rPr>
              <w:t>ISIS-AR</w:t>
            </w:r>
          </w:p>
        </w:tc>
        <w:tc>
          <w:tcPr>
            <w:tcW w:w="3411" w:type="dxa"/>
          </w:tcPr>
          <w:p w:rsidR="0005622A" w:rsidRPr="00122384" w:rsidRDefault="0005622A" w:rsidP="0005622A">
            <w:pPr>
              <w:cnfStyle w:val="000000000000" w:firstRow="0" w:lastRow="0" w:firstColumn="0" w:lastColumn="0" w:oddVBand="0" w:evenVBand="0" w:oddHBand="0" w:evenHBand="0" w:firstRowFirstColumn="0" w:firstRowLastColumn="0" w:lastRowFirstColumn="0" w:lastRowLastColumn="0"/>
              <w:rPr>
                <w:lang w:val="da-DK"/>
              </w:rPr>
            </w:pPr>
            <w:r w:rsidRPr="00122384">
              <w:rPr>
                <w:lang w:val="da-DK"/>
              </w:rPr>
              <w:t>Netherlands</w:t>
            </w:r>
          </w:p>
        </w:tc>
        <w:tc>
          <w:tcPr>
            <w:tcW w:w="1692" w:type="dxa"/>
            <w:noWrap/>
            <w:hideMark/>
          </w:tcPr>
          <w:p w:rsidR="0005622A" w:rsidRPr="00122384" w:rsidRDefault="0005622A" w:rsidP="0005622A">
            <w:pPr>
              <w:cnfStyle w:val="000000000000" w:firstRow="0" w:lastRow="0" w:firstColumn="0" w:lastColumn="0" w:oddVBand="0" w:evenVBand="0" w:oddHBand="0" w:evenHBand="0" w:firstRowFirstColumn="0" w:firstRowLastColumn="0" w:lastRowFirstColumn="0" w:lastRowLastColumn="0"/>
              <w:rPr>
                <w:lang w:val="da-DK"/>
              </w:rPr>
            </w:pPr>
            <w:r w:rsidRPr="00122384">
              <w:rPr>
                <w:lang w:val="da-DK"/>
              </w:rPr>
              <w:t>National</w:t>
            </w:r>
          </w:p>
        </w:tc>
        <w:tc>
          <w:tcPr>
            <w:tcW w:w="1701" w:type="dxa"/>
            <w:noWrap/>
            <w:hideMark/>
          </w:tcPr>
          <w:p w:rsidR="0005622A" w:rsidRPr="00122384" w:rsidRDefault="0005622A" w:rsidP="0005622A">
            <w:pPr>
              <w:cnfStyle w:val="000000000000" w:firstRow="0" w:lastRow="0" w:firstColumn="0" w:lastColumn="0" w:oddVBand="0" w:evenVBand="0" w:oddHBand="0" w:evenHBand="0" w:firstRowFirstColumn="0" w:firstRowLastColumn="0" w:lastRowFirstColumn="0" w:lastRowLastColumn="0"/>
              <w:rPr>
                <w:lang w:val="da-DK"/>
              </w:rPr>
            </w:pPr>
            <w:r w:rsidRPr="00122384">
              <w:rPr>
                <w:lang w:val="da-DK"/>
              </w:rPr>
              <w:t>Human</w:t>
            </w:r>
          </w:p>
        </w:tc>
        <w:tc>
          <w:tcPr>
            <w:tcW w:w="2375" w:type="dxa"/>
            <w:noWrap/>
            <w:hideMark/>
          </w:tcPr>
          <w:p w:rsidR="0005622A" w:rsidRPr="00122384" w:rsidRDefault="0005622A" w:rsidP="0005622A">
            <w:pPr>
              <w:cnfStyle w:val="000000000000" w:firstRow="0" w:lastRow="0" w:firstColumn="0" w:lastColumn="0" w:oddVBand="0" w:evenVBand="0" w:oddHBand="0" w:evenHBand="0" w:firstRowFirstColumn="0" w:firstRowLastColumn="0" w:lastRowFirstColumn="0" w:lastRowLastColumn="0"/>
              <w:rPr>
                <w:lang w:val="da-DK"/>
              </w:rPr>
            </w:pPr>
            <w:r w:rsidRPr="00122384">
              <w:rPr>
                <w:lang w:val="da-DK"/>
              </w:rPr>
              <w:t>Surveillance</w:t>
            </w:r>
          </w:p>
        </w:tc>
      </w:tr>
      <w:tr w:rsidR="0005622A" w:rsidRPr="00C44B9E" w:rsidTr="0005622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45" w:type="dxa"/>
            <w:noWrap/>
            <w:hideMark/>
          </w:tcPr>
          <w:p w:rsidR="0005622A" w:rsidRPr="00017F70" w:rsidRDefault="0005622A" w:rsidP="0005622A">
            <w:r w:rsidRPr="00017F70">
              <w:fldChar w:fldCharType="begin" w:fldLock="1"/>
            </w:r>
            <w:r w:rsidR="00E40AC6">
              <w:rPr>
                <w:lang w:val="da-DK"/>
              </w:rPr>
              <w:instrText>ADDIN CSL_CITATION {"citationItems":[{"id":"ITEM-1","itemData":{"ISSN":"0305-7453","author":[{"dropping-particle":"","family":"Dorado-García","given":"Alejandro","non-dropping-particle":"","parse-names":false,"suffix":""},{"dropping-particle":"","family":"Mevius","given":"Dik J","non-dropping-particle":"","parse-names":false,"suffix":""},{"dropping-particle":"","family":"Jacobs","given":"José J H","non-dropping-particle":"","parse-names":false,"suffix":""},{"dropping-particle":"","family":"Geijlswijk","given":"Inge M","non-dropping-particle":"Van","parse-names":false,"suffix":""},{"dropping-particle":"","family":"Mouton","given":"Johan W","non-dropping-particle":"","parse-names":false,"suffix":""},{"dropping-particle":"","family":"Wagenaar","given":"Jaap A","non-dropping-particle":"","parse-names":false,"suffix":""},{"dropping-particle":"","family":"Heederik","given":"Dick J","non-dropping-particle":"","parse-names":false,"suffix":""}],"container-title":"Journal of Antimicrobial Chemotherapy","id":"ITEM-1","issue":"12","issued":{"date-parts":[["2016"]]},"page":"3607-3619","publisher":"Oxford University Press","title":"Quantitative assessment of antimicrobial resistance in livestock during the course of a nationwide antimicrobial use reduction in the Netherlands","type":"article-journal","volume":"71"},"uris":["http://www.mendeley.com/documents/?uuid=70e2fd44-6cfc-4f6a-846d-bbe3f38be96e"]}],"mendeley":{"formattedCitation":"(51)","plainTextFormattedCitation":"(51)","previouslyFormattedCitation":"(92)"},"properties":{"noteIndex":0},"schema":"https://github.com/citation-style-language/schema/raw/master/csl-citation.json"}</w:instrText>
            </w:r>
            <w:r w:rsidRPr="00017F70">
              <w:fldChar w:fldCharType="separate"/>
            </w:r>
            <w:r w:rsidR="00E40AC6" w:rsidRPr="00E40AC6">
              <w:rPr>
                <w:b w:val="0"/>
                <w:noProof/>
              </w:rPr>
              <w:t>(51)</w:t>
            </w:r>
            <w:r w:rsidRPr="00017F70">
              <w:fldChar w:fldCharType="end"/>
            </w:r>
          </w:p>
        </w:tc>
        <w:tc>
          <w:tcPr>
            <w:tcW w:w="3570" w:type="dxa"/>
            <w:noWrap/>
            <w:hideMark/>
          </w:tcPr>
          <w:p w:rsidR="0005622A" w:rsidRPr="00017F70" w:rsidRDefault="0005622A" w:rsidP="0005622A">
            <w:pPr>
              <w:cnfStyle w:val="000000100000" w:firstRow="0" w:lastRow="0" w:firstColumn="0" w:lastColumn="0" w:oddVBand="0" w:evenVBand="0" w:oddHBand="1" w:evenHBand="0" w:firstRowFirstColumn="0" w:firstRowLastColumn="0" w:lastRowFirstColumn="0" w:lastRowLastColumn="0"/>
            </w:pPr>
            <w:r w:rsidRPr="00017F70">
              <w:t>Netherlands AMU reduction campaign</w:t>
            </w:r>
          </w:p>
        </w:tc>
        <w:tc>
          <w:tcPr>
            <w:tcW w:w="3411" w:type="dxa"/>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Netherlands</w:t>
            </w:r>
          </w:p>
        </w:tc>
        <w:tc>
          <w:tcPr>
            <w:tcW w:w="1692"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National</w:t>
            </w:r>
          </w:p>
        </w:tc>
        <w:tc>
          <w:tcPr>
            <w:tcW w:w="1701"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r w:rsidRPr="00C44B9E">
              <w:t>Animal</w:t>
            </w:r>
          </w:p>
        </w:tc>
        <w:tc>
          <w:tcPr>
            <w:tcW w:w="2375" w:type="dxa"/>
            <w:noWrap/>
            <w:hideMark/>
          </w:tcPr>
          <w:p w:rsidR="0005622A" w:rsidRPr="00C44B9E" w:rsidRDefault="0005622A" w:rsidP="0005622A">
            <w:pPr>
              <w:cnfStyle w:val="000000100000" w:firstRow="0" w:lastRow="0" w:firstColumn="0" w:lastColumn="0" w:oddVBand="0" w:evenVBand="0" w:oddHBand="1" w:evenHBand="0" w:firstRowFirstColumn="0" w:firstRowLastColumn="0" w:lastRowFirstColumn="0" w:lastRowLastColumn="0"/>
            </w:pPr>
          </w:p>
        </w:tc>
      </w:tr>
      <w:tr w:rsidR="0005622A" w:rsidRPr="00C44B9E" w:rsidTr="0005622A">
        <w:trPr>
          <w:trHeight w:val="300"/>
        </w:trPr>
        <w:tc>
          <w:tcPr>
            <w:cnfStyle w:val="001000000000" w:firstRow="0" w:lastRow="0" w:firstColumn="1" w:lastColumn="0" w:oddVBand="0" w:evenVBand="0" w:oddHBand="0" w:evenHBand="0" w:firstRowFirstColumn="0" w:firstRowLastColumn="0" w:lastRowFirstColumn="0" w:lastRowLastColumn="0"/>
            <w:tcW w:w="1245" w:type="dxa"/>
            <w:noWrap/>
            <w:hideMark/>
          </w:tcPr>
          <w:p w:rsidR="0005622A" w:rsidRPr="00C44B9E" w:rsidRDefault="0005622A" w:rsidP="0005622A">
            <w:r>
              <w:fldChar w:fldCharType="begin" w:fldLock="1"/>
            </w:r>
            <w:r w:rsidR="00E40AC6">
              <w:instrText>ADDIN CSL_CITATION {"citationItems":[{"id":"ITEM-1","itemData":{"author":[{"dropping-particle":"","family":"Mölstad","given":"S","non-dropping-particle":"","parse-names":false,"suffix":""},{"dropping-particle":"","family":"Cars","given":"O","non-dropping-particle":"","parse-names":false,"suffix":""},{"dropping-particle":"","family":"Struwe","given":"J","non-dropping-particle":"","parse-names":false,"suffix":""}],"container-title":"Eurosurveillance","id":"ITEM-1","issue":"46","issued":{"date-parts":[["2008"]]},"page":"1-4","title":"Strama - A Swedish working model for containment of antibiotic resistance","type":"article-journal","volume":"13"},"uris":["http://www.mendeley.com/documents/?uuid=b2f5a718-d582-4068-9a43-ac1ad10d49c7"]}],"mendeley":{"formattedCitation":"(52)","plainTextFormattedCitation":"(52)","previouslyFormattedCitation":"(7)"},"properties":{"noteIndex":0},"schema":"https://github.com/citation-style-language/schema/raw/master/csl-citation.json"}</w:instrText>
            </w:r>
            <w:r>
              <w:fldChar w:fldCharType="separate"/>
            </w:r>
            <w:r w:rsidR="00E40AC6" w:rsidRPr="00E40AC6">
              <w:rPr>
                <w:b w:val="0"/>
                <w:noProof/>
              </w:rPr>
              <w:t>(52)</w:t>
            </w:r>
            <w:r>
              <w:fldChar w:fldCharType="end"/>
            </w:r>
          </w:p>
        </w:tc>
        <w:tc>
          <w:tcPr>
            <w:tcW w:w="3570"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proofErr w:type="spellStart"/>
            <w:r w:rsidRPr="00C44B9E">
              <w:t>Strama</w:t>
            </w:r>
            <w:proofErr w:type="spellEnd"/>
          </w:p>
        </w:tc>
        <w:tc>
          <w:tcPr>
            <w:tcW w:w="3411" w:type="dxa"/>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Sweden</w:t>
            </w:r>
          </w:p>
        </w:tc>
        <w:tc>
          <w:tcPr>
            <w:tcW w:w="1692"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Local, National</w:t>
            </w:r>
          </w:p>
        </w:tc>
        <w:tc>
          <w:tcPr>
            <w:tcW w:w="1701"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Animal, Human</w:t>
            </w:r>
          </w:p>
        </w:tc>
        <w:tc>
          <w:tcPr>
            <w:tcW w:w="2375" w:type="dxa"/>
            <w:noWrap/>
            <w:hideMark/>
          </w:tcPr>
          <w:p w:rsidR="0005622A" w:rsidRPr="00C44B9E" w:rsidRDefault="0005622A" w:rsidP="0005622A">
            <w:pPr>
              <w:cnfStyle w:val="000000000000" w:firstRow="0" w:lastRow="0" w:firstColumn="0" w:lastColumn="0" w:oddVBand="0" w:evenVBand="0" w:oddHBand="0" w:evenHBand="0" w:firstRowFirstColumn="0" w:firstRowLastColumn="0" w:lastRowFirstColumn="0" w:lastRowLastColumn="0"/>
            </w:pPr>
            <w:r w:rsidRPr="00C44B9E">
              <w:t>Surveillance, Conservation</w:t>
            </w:r>
          </w:p>
        </w:tc>
      </w:tr>
    </w:tbl>
    <w:p w:rsidR="0005622A" w:rsidRDefault="0005622A" w:rsidP="0005622A"/>
    <w:p w:rsidR="0005622A" w:rsidRDefault="0005622A" w:rsidP="0005622A"/>
    <w:p w:rsidR="00E40AC6" w:rsidRPr="00E40AC6" w:rsidRDefault="00E40AC6" w:rsidP="00E40AC6">
      <w:pPr>
        <w:widowControl w:val="0"/>
        <w:autoSpaceDE w:val="0"/>
        <w:autoSpaceDN w:val="0"/>
        <w:adjustRightInd w:val="0"/>
        <w:ind w:left="640" w:hanging="640"/>
        <w:rPr>
          <w:rFonts w:ascii="Calibri" w:hAnsi="Calibri" w:cs="Calibri"/>
          <w:noProof/>
          <w:szCs w:val="24"/>
        </w:rPr>
      </w:pPr>
      <w:r>
        <w:fldChar w:fldCharType="begin" w:fldLock="1"/>
      </w:r>
      <w:r>
        <w:instrText xml:space="preserve">ADDIN Mendeley Bibliography CSL_BIBLIOGRAPHY </w:instrText>
      </w:r>
      <w:r>
        <w:fldChar w:fldCharType="separate"/>
      </w:r>
      <w:r w:rsidRPr="00E40AC6">
        <w:rPr>
          <w:rFonts w:ascii="Calibri" w:hAnsi="Calibri" w:cs="Calibri"/>
          <w:noProof/>
          <w:szCs w:val="24"/>
        </w:rPr>
        <w:t xml:space="preserve">1. </w:t>
      </w:r>
      <w:r w:rsidRPr="00E40AC6">
        <w:rPr>
          <w:rFonts w:ascii="Calibri" w:hAnsi="Calibri" w:cs="Calibri"/>
          <w:noProof/>
          <w:szCs w:val="24"/>
        </w:rPr>
        <w:tab/>
        <w:t xml:space="preserve">Musicha P, Cornick JE, Bar-Zeev N, French N, Masesa C, Denis B, et al. Trends in antimicrobial resistance in bloodstream infection isolates at a large urban hospital in Malawi (1998-2016): a surveillance study. Lancet Infect Dis. 2017 Oct;17(10):1042–52. </w:t>
      </w:r>
    </w:p>
    <w:p w:rsidR="00E40AC6" w:rsidRPr="00E40AC6" w:rsidRDefault="00E40AC6" w:rsidP="00E40AC6">
      <w:pPr>
        <w:widowControl w:val="0"/>
        <w:autoSpaceDE w:val="0"/>
        <w:autoSpaceDN w:val="0"/>
        <w:adjustRightInd w:val="0"/>
        <w:ind w:left="640" w:hanging="640"/>
        <w:rPr>
          <w:rFonts w:ascii="Calibri" w:hAnsi="Calibri" w:cs="Calibri"/>
          <w:noProof/>
          <w:szCs w:val="24"/>
        </w:rPr>
      </w:pPr>
      <w:r w:rsidRPr="00E40AC6">
        <w:rPr>
          <w:rFonts w:ascii="Calibri" w:hAnsi="Calibri" w:cs="Calibri"/>
          <w:noProof/>
          <w:szCs w:val="24"/>
        </w:rPr>
        <w:t xml:space="preserve">2. </w:t>
      </w:r>
      <w:r w:rsidRPr="00E40AC6">
        <w:rPr>
          <w:rFonts w:ascii="Calibri" w:hAnsi="Calibri" w:cs="Calibri"/>
          <w:noProof/>
          <w:szCs w:val="24"/>
        </w:rPr>
        <w:tab/>
        <w:t xml:space="preserve">Leverstein-van Hall M, Fluit A, Blok H, Box A, Peters E, Weersink A, et al. Control of nosocomial multiresistant Enterobacteriaceae using a temporary restrictive antibiotic agent policy. Eur J Clin Microbiol Infect Dis. 2001;20(11):785–91. </w:t>
      </w:r>
    </w:p>
    <w:p w:rsidR="00E40AC6" w:rsidRPr="00E40AC6" w:rsidRDefault="00E40AC6" w:rsidP="00E40AC6">
      <w:pPr>
        <w:widowControl w:val="0"/>
        <w:autoSpaceDE w:val="0"/>
        <w:autoSpaceDN w:val="0"/>
        <w:adjustRightInd w:val="0"/>
        <w:ind w:left="640" w:hanging="640"/>
        <w:rPr>
          <w:rFonts w:ascii="Calibri" w:hAnsi="Calibri" w:cs="Calibri"/>
          <w:noProof/>
          <w:szCs w:val="24"/>
        </w:rPr>
      </w:pPr>
      <w:r w:rsidRPr="00E40AC6">
        <w:rPr>
          <w:rFonts w:ascii="Calibri" w:hAnsi="Calibri" w:cs="Calibri"/>
          <w:noProof/>
          <w:szCs w:val="24"/>
        </w:rPr>
        <w:lastRenderedPageBreak/>
        <w:t xml:space="preserve">3. </w:t>
      </w:r>
      <w:r w:rsidRPr="00E40AC6">
        <w:rPr>
          <w:rFonts w:ascii="Calibri" w:hAnsi="Calibri" w:cs="Calibri"/>
          <w:noProof/>
          <w:szCs w:val="24"/>
        </w:rPr>
        <w:tab/>
        <w:t xml:space="preserve">Meyer E, Lapatschek M, Bechtold A, Schwarzkopf G, Gastmeier P, Schwab F. Impact of restriction of third generation cephalosporins on the burden of third generation cephalosporin resistant K. pneumoniae and E. coli in an ICU. Intensive Care Med. 2009;35(5):862–70. </w:t>
      </w:r>
    </w:p>
    <w:p w:rsidR="00E40AC6" w:rsidRPr="00E40AC6" w:rsidRDefault="00E40AC6" w:rsidP="00E40AC6">
      <w:pPr>
        <w:widowControl w:val="0"/>
        <w:autoSpaceDE w:val="0"/>
        <w:autoSpaceDN w:val="0"/>
        <w:adjustRightInd w:val="0"/>
        <w:ind w:left="640" w:hanging="640"/>
        <w:rPr>
          <w:rFonts w:ascii="Calibri" w:hAnsi="Calibri" w:cs="Calibri"/>
          <w:noProof/>
          <w:szCs w:val="24"/>
        </w:rPr>
      </w:pPr>
      <w:r w:rsidRPr="00E40AC6">
        <w:rPr>
          <w:rFonts w:ascii="Calibri" w:hAnsi="Calibri" w:cs="Calibri"/>
          <w:noProof/>
          <w:szCs w:val="24"/>
        </w:rPr>
        <w:t xml:space="preserve">4. </w:t>
      </w:r>
      <w:r w:rsidRPr="00E40AC6">
        <w:rPr>
          <w:rFonts w:ascii="Calibri" w:hAnsi="Calibri" w:cs="Calibri"/>
          <w:noProof/>
          <w:szCs w:val="24"/>
        </w:rPr>
        <w:tab/>
        <w:t xml:space="preserve">Willemsen I, Cooper B, Van Buitenen C, Winters M, Andriesse G, Kluytmans J. Improving quinolone use in hospitals by using a bundle of interventions in an interrupted time series analysis. Antimicrob Agents Chemother. 2010;54(9):3763–9. </w:t>
      </w:r>
    </w:p>
    <w:p w:rsidR="00E40AC6" w:rsidRPr="00E40AC6" w:rsidRDefault="00E40AC6" w:rsidP="00E40AC6">
      <w:pPr>
        <w:widowControl w:val="0"/>
        <w:autoSpaceDE w:val="0"/>
        <w:autoSpaceDN w:val="0"/>
        <w:adjustRightInd w:val="0"/>
        <w:ind w:left="640" w:hanging="640"/>
        <w:rPr>
          <w:rFonts w:ascii="Calibri" w:hAnsi="Calibri" w:cs="Calibri"/>
          <w:noProof/>
          <w:szCs w:val="24"/>
        </w:rPr>
      </w:pPr>
      <w:r w:rsidRPr="00E40AC6">
        <w:rPr>
          <w:rFonts w:ascii="Calibri" w:hAnsi="Calibri" w:cs="Calibri"/>
          <w:noProof/>
          <w:szCs w:val="24"/>
        </w:rPr>
        <w:t xml:space="preserve">5. </w:t>
      </w:r>
      <w:r w:rsidRPr="00E40AC6">
        <w:rPr>
          <w:rFonts w:ascii="Calibri" w:hAnsi="Calibri" w:cs="Calibri"/>
          <w:noProof/>
          <w:szCs w:val="24"/>
        </w:rPr>
        <w:tab/>
        <w:t xml:space="preserve">Lee RA, Scully MC, Camins BC, Griffin RL, Kunz DF, Moser SA, et al. Improvement of gram-negative susceptibility to fluoroquinolones after implementation of a pre-authorization policy for fluoroquinolone use: A decade-long experience. Infect Control Hosp Epidemiol. 2018 Dec;39(12):1419–24. </w:t>
      </w:r>
    </w:p>
    <w:p w:rsidR="00E40AC6" w:rsidRPr="00E40AC6" w:rsidRDefault="00E40AC6" w:rsidP="00E40AC6">
      <w:pPr>
        <w:widowControl w:val="0"/>
        <w:autoSpaceDE w:val="0"/>
        <w:autoSpaceDN w:val="0"/>
        <w:adjustRightInd w:val="0"/>
        <w:ind w:left="640" w:hanging="640"/>
        <w:rPr>
          <w:rFonts w:ascii="Calibri" w:hAnsi="Calibri" w:cs="Calibri"/>
          <w:noProof/>
          <w:szCs w:val="24"/>
        </w:rPr>
      </w:pPr>
      <w:r w:rsidRPr="00E40AC6">
        <w:rPr>
          <w:rFonts w:ascii="Calibri" w:hAnsi="Calibri" w:cs="Calibri"/>
          <w:noProof/>
          <w:szCs w:val="24"/>
        </w:rPr>
        <w:t xml:space="preserve">6. </w:t>
      </w:r>
      <w:r w:rsidRPr="00E40AC6">
        <w:rPr>
          <w:rFonts w:ascii="Calibri" w:hAnsi="Calibri" w:cs="Calibri"/>
          <w:noProof/>
          <w:szCs w:val="24"/>
        </w:rPr>
        <w:tab/>
        <w:t xml:space="preserve">Ding H, Yang Y, Wei J, Fan S, Yu S, Yao K, et al. Influencing the use of antibiotics in a Chinese pediatric intensive care unit. Pharm world Sci. 2008;30(6):787–93. </w:t>
      </w:r>
    </w:p>
    <w:p w:rsidR="00E40AC6" w:rsidRPr="00E40AC6" w:rsidRDefault="00E40AC6" w:rsidP="00E40AC6">
      <w:pPr>
        <w:widowControl w:val="0"/>
        <w:autoSpaceDE w:val="0"/>
        <w:autoSpaceDN w:val="0"/>
        <w:adjustRightInd w:val="0"/>
        <w:ind w:left="640" w:hanging="640"/>
        <w:rPr>
          <w:rFonts w:ascii="Calibri" w:hAnsi="Calibri" w:cs="Calibri"/>
          <w:noProof/>
          <w:szCs w:val="24"/>
        </w:rPr>
      </w:pPr>
      <w:r w:rsidRPr="00E40AC6">
        <w:rPr>
          <w:rFonts w:ascii="Calibri" w:hAnsi="Calibri" w:cs="Calibri"/>
          <w:noProof/>
          <w:szCs w:val="24"/>
        </w:rPr>
        <w:t xml:space="preserve">7. </w:t>
      </w:r>
      <w:r w:rsidRPr="00E40AC6">
        <w:rPr>
          <w:rFonts w:ascii="Calibri" w:hAnsi="Calibri" w:cs="Calibri"/>
          <w:noProof/>
          <w:szCs w:val="24"/>
        </w:rPr>
        <w:tab/>
        <w:t xml:space="preserve">Petrikkos G, Markogiannakis A, Papapareskevas J, Daikos GL, Stefanakos G, Zissis NP, et al. Differences in the changes in resistance patterns to third-and fourth-generation cephalosporins and piperacillin/tazobactam among Klebsiella pneumoniae and Escherichia coli clinical isolates following a restriction policy in a Greek tertiary care hospital. Int J Antimicrob Agents. 2007;29(1):34–8. </w:t>
      </w:r>
    </w:p>
    <w:p w:rsidR="00E40AC6" w:rsidRPr="00E40AC6" w:rsidRDefault="00E40AC6" w:rsidP="00E40AC6">
      <w:pPr>
        <w:widowControl w:val="0"/>
        <w:autoSpaceDE w:val="0"/>
        <w:autoSpaceDN w:val="0"/>
        <w:adjustRightInd w:val="0"/>
        <w:ind w:left="640" w:hanging="640"/>
        <w:rPr>
          <w:rFonts w:ascii="Calibri" w:hAnsi="Calibri" w:cs="Calibri"/>
          <w:noProof/>
          <w:szCs w:val="24"/>
        </w:rPr>
      </w:pPr>
      <w:r w:rsidRPr="00E40AC6">
        <w:rPr>
          <w:rFonts w:ascii="Calibri" w:hAnsi="Calibri" w:cs="Calibri"/>
          <w:noProof/>
          <w:szCs w:val="24"/>
        </w:rPr>
        <w:t xml:space="preserve">8. </w:t>
      </w:r>
      <w:r w:rsidRPr="00E40AC6">
        <w:rPr>
          <w:rFonts w:ascii="Calibri" w:hAnsi="Calibri" w:cs="Calibri"/>
          <w:noProof/>
          <w:szCs w:val="24"/>
        </w:rPr>
        <w:tab/>
        <w:t xml:space="preserve">Kim N-H, Han W-D, Song K-H, Seo H, Shin M, Kim TS, et al. Successful containment of carbapenem-resistant Enterobacteriaceae by strict contact precautions without active surveillance. Am J Infect Control. 2014;42(12):1270–3. </w:t>
      </w:r>
    </w:p>
    <w:p w:rsidR="00E40AC6" w:rsidRPr="00E40AC6" w:rsidRDefault="00E40AC6" w:rsidP="00E40AC6">
      <w:pPr>
        <w:widowControl w:val="0"/>
        <w:autoSpaceDE w:val="0"/>
        <w:autoSpaceDN w:val="0"/>
        <w:adjustRightInd w:val="0"/>
        <w:ind w:left="640" w:hanging="640"/>
        <w:rPr>
          <w:rFonts w:ascii="Calibri" w:hAnsi="Calibri" w:cs="Calibri"/>
          <w:noProof/>
          <w:szCs w:val="24"/>
        </w:rPr>
      </w:pPr>
      <w:r w:rsidRPr="00E40AC6">
        <w:rPr>
          <w:rFonts w:ascii="Calibri" w:hAnsi="Calibri" w:cs="Calibri"/>
          <w:noProof/>
          <w:szCs w:val="24"/>
        </w:rPr>
        <w:t xml:space="preserve">9. </w:t>
      </w:r>
      <w:r w:rsidRPr="00E40AC6">
        <w:rPr>
          <w:rFonts w:ascii="Calibri" w:hAnsi="Calibri" w:cs="Calibri"/>
          <w:noProof/>
          <w:szCs w:val="24"/>
        </w:rPr>
        <w:tab/>
        <w:t xml:space="preserve">De Champs C, Franchineau P, Gourgand JM, Loriette Y, Gaulme J, Sirot J. Clinical and bacteriological survey after change in aminoglycoside treatment to control an epidemic of Enterobacter cloacae. J Hosp Infect. 1994;28(3):219–29. </w:t>
      </w:r>
    </w:p>
    <w:p w:rsidR="00E40AC6" w:rsidRPr="00E40AC6" w:rsidRDefault="00E40AC6" w:rsidP="00E40AC6">
      <w:pPr>
        <w:widowControl w:val="0"/>
        <w:autoSpaceDE w:val="0"/>
        <w:autoSpaceDN w:val="0"/>
        <w:adjustRightInd w:val="0"/>
        <w:ind w:left="640" w:hanging="640"/>
        <w:rPr>
          <w:rFonts w:ascii="Calibri" w:hAnsi="Calibri" w:cs="Calibri"/>
          <w:noProof/>
          <w:szCs w:val="24"/>
        </w:rPr>
      </w:pPr>
      <w:r w:rsidRPr="00E40AC6">
        <w:rPr>
          <w:rFonts w:ascii="Calibri" w:hAnsi="Calibri" w:cs="Calibri"/>
          <w:noProof/>
          <w:szCs w:val="24"/>
        </w:rPr>
        <w:t xml:space="preserve">10. </w:t>
      </w:r>
      <w:r w:rsidRPr="00E40AC6">
        <w:rPr>
          <w:rFonts w:ascii="Calibri" w:hAnsi="Calibri" w:cs="Calibri"/>
          <w:noProof/>
          <w:szCs w:val="24"/>
        </w:rPr>
        <w:tab/>
        <w:t xml:space="preserve">Ikeda Y, Mamiya T, Nishiyama H, Narusawa S, Koseki T, Mouri A, et al. A permission system for carbapenem use reduced incidence of drug-resistant bacteria and cost of antimicrobials at a general hospital in japan. Nagoya J Med Sci. 2012;74(1–2):93–104. </w:t>
      </w:r>
    </w:p>
    <w:p w:rsidR="00E40AC6" w:rsidRPr="00E40AC6" w:rsidRDefault="00E40AC6" w:rsidP="00E40AC6">
      <w:pPr>
        <w:widowControl w:val="0"/>
        <w:autoSpaceDE w:val="0"/>
        <w:autoSpaceDN w:val="0"/>
        <w:adjustRightInd w:val="0"/>
        <w:ind w:left="640" w:hanging="640"/>
        <w:rPr>
          <w:rFonts w:ascii="Calibri" w:hAnsi="Calibri" w:cs="Calibri"/>
          <w:noProof/>
          <w:szCs w:val="24"/>
        </w:rPr>
      </w:pPr>
      <w:r w:rsidRPr="00E40AC6">
        <w:rPr>
          <w:rFonts w:ascii="Calibri" w:hAnsi="Calibri" w:cs="Calibri"/>
          <w:noProof/>
          <w:szCs w:val="24"/>
        </w:rPr>
        <w:t xml:space="preserve">11. </w:t>
      </w:r>
      <w:r w:rsidRPr="00E40AC6">
        <w:rPr>
          <w:rFonts w:ascii="Calibri" w:hAnsi="Calibri" w:cs="Calibri"/>
          <w:noProof/>
          <w:szCs w:val="24"/>
        </w:rPr>
        <w:tab/>
        <w:t xml:space="preserve">Chan YY, Lin TY, Huang CT, Deng ST, Wu TL, Leu HS, et al. Implementation and outcomes of a hospital-wide computerised antimicrobial stewardship programme in a large medical centre in Taiwan. Int J Antimicrob Agents. 2011;38(6):486–92. </w:t>
      </w:r>
    </w:p>
    <w:p w:rsidR="00E40AC6" w:rsidRPr="00E40AC6" w:rsidRDefault="00E40AC6" w:rsidP="00E40AC6">
      <w:pPr>
        <w:widowControl w:val="0"/>
        <w:autoSpaceDE w:val="0"/>
        <w:autoSpaceDN w:val="0"/>
        <w:adjustRightInd w:val="0"/>
        <w:ind w:left="640" w:hanging="640"/>
        <w:rPr>
          <w:rFonts w:ascii="Calibri" w:hAnsi="Calibri" w:cs="Calibri"/>
          <w:noProof/>
          <w:szCs w:val="24"/>
        </w:rPr>
      </w:pPr>
      <w:r w:rsidRPr="00E40AC6">
        <w:rPr>
          <w:rFonts w:ascii="Calibri" w:hAnsi="Calibri" w:cs="Calibri"/>
          <w:noProof/>
          <w:szCs w:val="24"/>
        </w:rPr>
        <w:t xml:space="preserve">12. </w:t>
      </w:r>
      <w:r w:rsidRPr="00E40AC6">
        <w:rPr>
          <w:rFonts w:ascii="Calibri" w:hAnsi="Calibri" w:cs="Calibri"/>
          <w:noProof/>
          <w:szCs w:val="24"/>
        </w:rPr>
        <w:tab/>
        <w:t xml:space="preserve">Zou YM, Ma Y, Liu JH, Shi J, Fan T, Shan YY, et al. Trends and correlation of antibacterial usage and bacterial resistance: time series analysis for antibacterial stewardship in a Chinese teaching hospital (2009–2013). Eur J Clin Microbiol Infect Dis. 2015;34(4):795–803. </w:t>
      </w:r>
    </w:p>
    <w:p w:rsidR="00E40AC6" w:rsidRPr="00E40AC6" w:rsidRDefault="00E40AC6" w:rsidP="00E40AC6">
      <w:pPr>
        <w:widowControl w:val="0"/>
        <w:autoSpaceDE w:val="0"/>
        <w:autoSpaceDN w:val="0"/>
        <w:adjustRightInd w:val="0"/>
        <w:ind w:left="640" w:hanging="640"/>
        <w:rPr>
          <w:rFonts w:ascii="Calibri" w:hAnsi="Calibri" w:cs="Calibri"/>
          <w:noProof/>
          <w:szCs w:val="24"/>
        </w:rPr>
      </w:pPr>
      <w:r w:rsidRPr="00E40AC6">
        <w:rPr>
          <w:rFonts w:ascii="Calibri" w:hAnsi="Calibri" w:cs="Calibri"/>
          <w:noProof/>
          <w:szCs w:val="24"/>
        </w:rPr>
        <w:t xml:space="preserve">13. </w:t>
      </w:r>
      <w:r w:rsidRPr="00E40AC6">
        <w:rPr>
          <w:rFonts w:ascii="Calibri" w:hAnsi="Calibri" w:cs="Calibri"/>
          <w:noProof/>
          <w:szCs w:val="24"/>
        </w:rPr>
        <w:tab/>
        <w:t xml:space="preserve">Hanberger H, Skoog G, Ternhag A, Giske CG. Antibiotic consumption and antibiotic stewardship in Swedish hospitals. Ups J Med Sci. 2014;119(2):154–61. </w:t>
      </w:r>
    </w:p>
    <w:p w:rsidR="00E40AC6" w:rsidRPr="00E40AC6" w:rsidRDefault="00E40AC6" w:rsidP="00E40AC6">
      <w:pPr>
        <w:widowControl w:val="0"/>
        <w:autoSpaceDE w:val="0"/>
        <w:autoSpaceDN w:val="0"/>
        <w:adjustRightInd w:val="0"/>
        <w:ind w:left="640" w:hanging="640"/>
        <w:rPr>
          <w:rFonts w:ascii="Calibri" w:hAnsi="Calibri" w:cs="Calibri"/>
          <w:noProof/>
          <w:szCs w:val="24"/>
        </w:rPr>
      </w:pPr>
      <w:r w:rsidRPr="00E40AC6">
        <w:rPr>
          <w:rFonts w:ascii="Calibri" w:hAnsi="Calibri" w:cs="Calibri"/>
          <w:noProof/>
          <w:szCs w:val="24"/>
        </w:rPr>
        <w:t xml:space="preserve">14. </w:t>
      </w:r>
      <w:r w:rsidRPr="00E40AC6">
        <w:rPr>
          <w:rFonts w:ascii="Calibri" w:hAnsi="Calibri" w:cs="Calibri"/>
          <w:noProof/>
          <w:szCs w:val="24"/>
        </w:rPr>
        <w:tab/>
        <w:t xml:space="preserve">Altunsoy A, Aypak C, Azap A, Ergönül Ö, Balik I. The impact of a nationwide antibiotic restriction program on antibiotic usage and resistance against </w:t>
      </w:r>
      <w:r w:rsidRPr="00E40AC6">
        <w:rPr>
          <w:rFonts w:ascii="Calibri" w:hAnsi="Calibri" w:cs="Calibri"/>
          <w:noProof/>
          <w:szCs w:val="24"/>
        </w:rPr>
        <w:lastRenderedPageBreak/>
        <w:t xml:space="preserve">nosocomial pathogens in Turkey. Int J Med Sci. 2011;8(4):339–44. </w:t>
      </w:r>
    </w:p>
    <w:p w:rsidR="00E40AC6" w:rsidRPr="00E40AC6" w:rsidRDefault="00E40AC6" w:rsidP="00E40AC6">
      <w:pPr>
        <w:widowControl w:val="0"/>
        <w:autoSpaceDE w:val="0"/>
        <w:autoSpaceDN w:val="0"/>
        <w:adjustRightInd w:val="0"/>
        <w:ind w:left="640" w:hanging="640"/>
        <w:rPr>
          <w:rFonts w:ascii="Calibri" w:hAnsi="Calibri" w:cs="Calibri"/>
          <w:noProof/>
          <w:szCs w:val="24"/>
        </w:rPr>
      </w:pPr>
      <w:r w:rsidRPr="00E40AC6">
        <w:rPr>
          <w:rFonts w:ascii="Calibri" w:hAnsi="Calibri" w:cs="Calibri"/>
          <w:noProof/>
          <w:szCs w:val="24"/>
        </w:rPr>
        <w:t xml:space="preserve">15. </w:t>
      </w:r>
      <w:r w:rsidRPr="00E40AC6">
        <w:rPr>
          <w:rFonts w:ascii="Calibri" w:hAnsi="Calibri" w:cs="Calibri"/>
          <w:noProof/>
          <w:szCs w:val="24"/>
        </w:rPr>
        <w:tab/>
        <w:t xml:space="preserve">Mölstad S, Löfmark S, Carlin K, Erntell M, Aspevall O, Blad L, et al. Lessons learnt during 20 years of the swedish strategic programme against antibiotic resistance [Programme stratégique suédois contre la résistance aux antibiotiques - 20 années d’enseignements]. Bull World Health Organ. 2017;95(11):764–73. </w:t>
      </w:r>
    </w:p>
    <w:p w:rsidR="00E40AC6" w:rsidRPr="00E40AC6" w:rsidRDefault="00E40AC6" w:rsidP="00E40AC6">
      <w:pPr>
        <w:widowControl w:val="0"/>
        <w:autoSpaceDE w:val="0"/>
        <w:autoSpaceDN w:val="0"/>
        <w:adjustRightInd w:val="0"/>
        <w:ind w:left="640" w:hanging="640"/>
        <w:rPr>
          <w:rFonts w:ascii="Calibri" w:hAnsi="Calibri" w:cs="Calibri"/>
          <w:noProof/>
          <w:szCs w:val="24"/>
        </w:rPr>
      </w:pPr>
      <w:r w:rsidRPr="00E40AC6">
        <w:rPr>
          <w:rFonts w:ascii="Calibri" w:hAnsi="Calibri" w:cs="Calibri"/>
          <w:noProof/>
          <w:szCs w:val="24"/>
        </w:rPr>
        <w:t xml:space="preserve">16. </w:t>
      </w:r>
      <w:r w:rsidRPr="00E40AC6">
        <w:rPr>
          <w:rFonts w:ascii="Calibri" w:hAnsi="Calibri" w:cs="Calibri"/>
          <w:noProof/>
          <w:szCs w:val="24"/>
        </w:rPr>
        <w:tab/>
        <w:t xml:space="preserve">Turner PJ. Meropenem activity against European isolates: report on the MYSTIC (Meropenem Yearly Susceptibility Test Information Collection) 2006 results. Diagn Microbiol Infect Dis. 2008;60(2):185–92. </w:t>
      </w:r>
    </w:p>
    <w:p w:rsidR="00E40AC6" w:rsidRPr="00E40AC6" w:rsidRDefault="00E40AC6" w:rsidP="00E40AC6">
      <w:pPr>
        <w:widowControl w:val="0"/>
        <w:autoSpaceDE w:val="0"/>
        <w:autoSpaceDN w:val="0"/>
        <w:adjustRightInd w:val="0"/>
        <w:ind w:left="640" w:hanging="640"/>
        <w:rPr>
          <w:rFonts w:ascii="Calibri" w:hAnsi="Calibri" w:cs="Calibri"/>
          <w:noProof/>
          <w:szCs w:val="24"/>
        </w:rPr>
      </w:pPr>
      <w:r w:rsidRPr="00E40AC6">
        <w:rPr>
          <w:rFonts w:ascii="Calibri" w:hAnsi="Calibri" w:cs="Calibri"/>
          <w:noProof/>
          <w:szCs w:val="24"/>
        </w:rPr>
        <w:t xml:space="preserve">17. </w:t>
      </w:r>
      <w:r w:rsidRPr="00E40AC6">
        <w:rPr>
          <w:rFonts w:ascii="Calibri" w:hAnsi="Calibri" w:cs="Calibri"/>
          <w:noProof/>
          <w:szCs w:val="24"/>
        </w:rPr>
        <w:tab/>
        <w:t xml:space="preserve">Jones RN, Mendes C, Turner PJ, Masterton R. An overview of the Meropenem Yearly Susceptibility Test Information Collection (MYSTIC) Program: 1997-2004. Diagn Microbiol Infect Dis. 2005;53(4):247–56. </w:t>
      </w:r>
    </w:p>
    <w:p w:rsidR="00E40AC6" w:rsidRPr="00E40AC6" w:rsidRDefault="00E40AC6" w:rsidP="00E40AC6">
      <w:pPr>
        <w:widowControl w:val="0"/>
        <w:autoSpaceDE w:val="0"/>
        <w:autoSpaceDN w:val="0"/>
        <w:adjustRightInd w:val="0"/>
        <w:ind w:left="640" w:hanging="640"/>
        <w:rPr>
          <w:rFonts w:ascii="Calibri" w:hAnsi="Calibri" w:cs="Calibri"/>
          <w:noProof/>
          <w:szCs w:val="24"/>
        </w:rPr>
      </w:pPr>
      <w:r w:rsidRPr="00E40AC6">
        <w:rPr>
          <w:rFonts w:ascii="Calibri" w:hAnsi="Calibri" w:cs="Calibri"/>
          <w:noProof/>
          <w:szCs w:val="24"/>
        </w:rPr>
        <w:t xml:space="preserve">18. </w:t>
      </w:r>
      <w:r w:rsidRPr="00E40AC6">
        <w:rPr>
          <w:rFonts w:ascii="Calibri" w:hAnsi="Calibri" w:cs="Calibri"/>
          <w:noProof/>
          <w:szCs w:val="24"/>
        </w:rPr>
        <w:tab/>
        <w:t xml:space="preserve">Meyer E, Schwab F, Gastmeier P, Rueden H, Daschner FD. Surveillance of antimicrobial use and antimicrobial resistance in German intensive care units (SARI): A summary of the data from 2001 through 2004. Infection. 2006;34(6):303–9. </w:t>
      </w:r>
    </w:p>
    <w:p w:rsidR="00E40AC6" w:rsidRPr="00E40AC6" w:rsidRDefault="00E40AC6" w:rsidP="00E40AC6">
      <w:pPr>
        <w:widowControl w:val="0"/>
        <w:autoSpaceDE w:val="0"/>
        <w:autoSpaceDN w:val="0"/>
        <w:adjustRightInd w:val="0"/>
        <w:ind w:left="640" w:hanging="640"/>
        <w:rPr>
          <w:rFonts w:ascii="Calibri" w:hAnsi="Calibri" w:cs="Calibri"/>
          <w:noProof/>
          <w:szCs w:val="24"/>
        </w:rPr>
      </w:pPr>
      <w:r w:rsidRPr="00E40AC6">
        <w:rPr>
          <w:rFonts w:ascii="Calibri" w:hAnsi="Calibri" w:cs="Calibri"/>
          <w:noProof/>
          <w:szCs w:val="24"/>
        </w:rPr>
        <w:t xml:space="preserve">19. </w:t>
      </w:r>
      <w:r w:rsidRPr="00E40AC6">
        <w:rPr>
          <w:rFonts w:ascii="Calibri" w:hAnsi="Calibri" w:cs="Calibri"/>
          <w:noProof/>
          <w:szCs w:val="24"/>
        </w:rPr>
        <w:tab/>
        <w:t xml:space="preserve">Meyer E, Schwab F, Gastmeier P, Rueden H, Daschner FD, Jonas D. Stenotrophomonas maltophilia and antibiotic use in German intensive care units: data from Project SARI (Surveillance of Antimicrobial Use and Antimicrobial Resistance in German Intensive Care Units). J Hosp Infect. 2006;64(3):238–43. </w:t>
      </w:r>
    </w:p>
    <w:p w:rsidR="00E40AC6" w:rsidRPr="00E40AC6" w:rsidRDefault="00E40AC6" w:rsidP="00E40AC6">
      <w:pPr>
        <w:widowControl w:val="0"/>
        <w:autoSpaceDE w:val="0"/>
        <w:autoSpaceDN w:val="0"/>
        <w:adjustRightInd w:val="0"/>
        <w:ind w:left="640" w:hanging="640"/>
        <w:rPr>
          <w:rFonts w:ascii="Calibri" w:hAnsi="Calibri" w:cs="Calibri"/>
          <w:noProof/>
          <w:szCs w:val="24"/>
        </w:rPr>
      </w:pPr>
      <w:r w:rsidRPr="00E40AC6">
        <w:rPr>
          <w:rFonts w:ascii="Calibri" w:hAnsi="Calibri" w:cs="Calibri"/>
          <w:noProof/>
          <w:szCs w:val="24"/>
        </w:rPr>
        <w:t xml:space="preserve">20. </w:t>
      </w:r>
      <w:r w:rsidRPr="00E40AC6">
        <w:rPr>
          <w:rFonts w:ascii="Calibri" w:hAnsi="Calibri" w:cs="Calibri"/>
          <w:noProof/>
          <w:szCs w:val="24"/>
        </w:rPr>
        <w:tab/>
        <w:t xml:space="preserve">Meyer E, Schwab F, Jonas D, Rueden H, Gastmeier P, Daschner FD. Surveillance of antimicrobial use and antimicrobial resistance in intensive care units (SARI): 1. Antimicrobial use in German intensive care units. Intensive Care Med. 2004;30(6):1089–96. </w:t>
      </w:r>
    </w:p>
    <w:p w:rsidR="00E40AC6" w:rsidRPr="00E40AC6" w:rsidRDefault="00E40AC6" w:rsidP="00E40AC6">
      <w:pPr>
        <w:widowControl w:val="0"/>
        <w:autoSpaceDE w:val="0"/>
        <w:autoSpaceDN w:val="0"/>
        <w:adjustRightInd w:val="0"/>
        <w:ind w:left="640" w:hanging="640"/>
        <w:rPr>
          <w:rFonts w:ascii="Calibri" w:hAnsi="Calibri" w:cs="Calibri"/>
          <w:noProof/>
          <w:szCs w:val="24"/>
        </w:rPr>
      </w:pPr>
      <w:r w:rsidRPr="00E40AC6">
        <w:rPr>
          <w:rFonts w:ascii="Calibri" w:hAnsi="Calibri" w:cs="Calibri"/>
          <w:noProof/>
          <w:szCs w:val="24"/>
        </w:rPr>
        <w:t xml:space="preserve">21. </w:t>
      </w:r>
      <w:r w:rsidRPr="00E40AC6">
        <w:rPr>
          <w:rFonts w:ascii="Calibri" w:hAnsi="Calibri" w:cs="Calibri"/>
          <w:noProof/>
          <w:szCs w:val="24"/>
        </w:rPr>
        <w:tab/>
        <w:t xml:space="preserve">AgersoØ Y, Aarestrup FM. Voluntary ban on cephalosporin use in Danish pig production has effectively reduced extended-spectrum cephalosporinase-producing Escherichia coli in slaughter pigs. J Antimicrob Chemother. 2013;68(3):569–72. </w:t>
      </w:r>
    </w:p>
    <w:p w:rsidR="00E40AC6" w:rsidRPr="00E40AC6" w:rsidRDefault="00E40AC6" w:rsidP="00E40AC6">
      <w:pPr>
        <w:widowControl w:val="0"/>
        <w:autoSpaceDE w:val="0"/>
        <w:autoSpaceDN w:val="0"/>
        <w:adjustRightInd w:val="0"/>
        <w:ind w:left="640" w:hanging="640"/>
        <w:rPr>
          <w:rFonts w:ascii="Calibri" w:hAnsi="Calibri" w:cs="Calibri"/>
          <w:noProof/>
          <w:szCs w:val="24"/>
        </w:rPr>
      </w:pPr>
      <w:r w:rsidRPr="00E40AC6">
        <w:rPr>
          <w:rFonts w:ascii="Calibri" w:hAnsi="Calibri" w:cs="Calibri"/>
          <w:noProof/>
          <w:szCs w:val="24"/>
        </w:rPr>
        <w:t xml:space="preserve">22. </w:t>
      </w:r>
      <w:r w:rsidRPr="00E40AC6">
        <w:rPr>
          <w:rFonts w:ascii="Calibri" w:hAnsi="Calibri" w:cs="Calibri"/>
          <w:noProof/>
          <w:szCs w:val="24"/>
        </w:rPr>
        <w:tab/>
        <w:t xml:space="preserve">Rhomberg PR, Deshpande LM, Kirby JT, Jones RN. Activity of meropenem as serine carbapenemases evolve in US Medical Centers: monitoring report from the MYSTIC Program (2006). Diagn Microbiol Infect Dis. 2007;59(4):425–32. </w:t>
      </w:r>
    </w:p>
    <w:p w:rsidR="00E40AC6" w:rsidRPr="00E40AC6" w:rsidRDefault="00E40AC6" w:rsidP="00E40AC6">
      <w:pPr>
        <w:widowControl w:val="0"/>
        <w:autoSpaceDE w:val="0"/>
        <w:autoSpaceDN w:val="0"/>
        <w:adjustRightInd w:val="0"/>
        <w:ind w:left="640" w:hanging="640"/>
        <w:rPr>
          <w:rFonts w:ascii="Calibri" w:hAnsi="Calibri" w:cs="Calibri"/>
          <w:noProof/>
          <w:szCs w:val="24"/>
        </w:rPr>
      </w:pPr>
      <w:r w:rsidRPr="00E40AC6">
        <w:rPr>
          <w:rFonts w:ascii="Calibri" w:hAnsi="Calibri" w:cs="Calibri"/>
          <w:noProof/>
          <w:szCs w:val="24"/>
        </w:rPr>
        <w:t xml:space="preserve">23. </w:t>
      </w:r>
      <w:r w:rsidRPr="00E40AC6">
        <w:rPr>
          <w:rFonts w:ascii="Calibri" w:hAnsi="Calibri" w:cs="Calibri"/>
          <w:noProof/>
          <w:szCs w:val="24"/>
        </w:rPr>
        <w:tab/>
        <w:t xml:space="preserve">Mölstad S, Erntell M, Hanberger H, Melander E, Norman C, Skoog G, et al. Sustained reduction of antibiotic use and low bacterial resistance: 10-year follow-up of the Swedish Strama programme. Lancet Infect Dis. 2008;8(2):125–32. </w:t>
      </w:r>
    </w:p>
    <w:p w:rsidR="00E40AC6" w:rsidRPr="00E40AC6" w:rsidRDefault="00E40AC6" w:rsidP="00E40AC6">
      <w:pPr>
        <w:widowControl w:val="0"/>
        <w:autoSpaceDE w:val="0"/>
        <w:autoSpaceDN w:val="0"/>
        <w:adjustRightInd w:val="0"/>
        <w:ind w:left="640" w:hanging="640"/>
        <w:rPr>
          <w:rFonts w:ascii="Calibri" w:hAnsi="Calibri" w:cs="Calibri"/>
          <w:noProof/>
          <w:szCs w:val="24"/>
        </w:rPr>
      </w:pPr>
      <w:r w:rsidRPr="00E40AC6">
        <w:rPr>
          <w:rFonts w:ascii="Calibri" w:hAnsi="Calibri" w:cs="Calibri"/>
          <w:noProof/>
          <w:szCs w:val="24"/>
        </w:rPr>
        <w:t xml:space="preserve">24. </w:t>
      </w:r>
      <w:r w:rsidRPr="00E40AC6">
        <w:rPr>
          <w:rFonts w:ascii="Calibri" w:hAnsi="Calibri" w:cs="Calibri"/>
          <w:noProof/>
          <w:szCs w:val="24"/>
        </w:rPr>
        <w:tab/>
        <w:t xml:space="preserve">Meyer E, Schwab F, Jonas D, Ruden H, Gastmeier P, Daschner FD. Temporal changes in bacterial resistance in German intensive care units, 2001-2003: Data from the SARI (surveillance of antimicrobial use and antimicrobial resistance in intensive care units) project. J Hosp Infect. 2005;60(4):348–52. </w:t>
      </w:r>
    </w:p>
    <w:p w:rsidR="00E40AC6" w:rsidRPr="00E40AC6" w:rsidRDefault="00E40AC6" w:rsidP="00E40AC6">
      <w:pPr>
        <w:widowControl w:val="0"/>
        <w:autoSpaceDE w:val="0"/>
        <w:autoSpaceDN w:val="0"/>
        <w:adjustRightInd w:val="0"/>
        <w:ind w:left="640" w:hanging="640"/>
        <w:rPr>
          <w:rFonts w:ascii="Calibri" w:hAnsi="Calibri" w:cs="Calibri"/>
          <w:noProof/>
          <w:szCs w:val="24"/>
        </w:rPr>
      </w:pPr>
      <w:r w:rsidRPr="00E40AC6">
        <w:rPr>
          <w:rFonts w:ascii="Calibri" w:hAnsi="Calibri" w:cs="Calibri"/>
          <w:noProof/>
          <w:szCs w:val="24"/>
        </w:rPr>
        <w:t xml:space="preserve">25. </w:t>
      </w:r>
      <w:r w:rsidRPr="00E40AC6">
        <w:rPr>
          <w:rFonts w:ascii="Calibri" w:hAnsi="Calibri" w:cs="Calibri"/>
          <w:noProof/>
          <w:szCs w:val="24"/>
        </w:rPr>
        <w:tab/>
        <w:t xml:space="preserve">Meyer E, Jonas D, Schwab F, Rueden H, Gastmeier P, Daschner FD. Design of a surveillance system of antibiotic use and bacterial resistance in </w:t>
      </w:r>
      <w:r w:rsidRPr="00E40AC6">
        <w:rPr>
          <w:rFonts w:ascii="Calibri" w:hAnsi="Calibri" w:cs="Calibri"/>
          <w:noProof/>
          <w:szCs w:val="24"/>
        </w:rPr>
        <w:lastRenderedPageBreak/>
        <w:t xml:space="preserve">German intensive care units (SARI). Infection. 2003;31(4):208–15. </w:t>
      </w:r>
    </w:p>
    <w:p w:rsidR="00E40AC6" w:rsidRPr="00E40AC6" w:rsidRDefault="00E40AC6" w:rsidP="00E40AC6">
      <w:pPr>
        <w:widowControl w:val="0"/>
        <w:autoSpaceDE w:val="0"/>
        <w:autoSpaceDN w:val="0"/>
        <w:adjustRightInd w:val="0"/>
        <w:ind w:left="640" w:hanging="640"/>
        <w:rPr>
          <w:rFonts w:ascii="Calibri" w:hAnsi="Calibri" w:cs="Calibri"/>
          <w:noProof/>
          <w:szCs w:val="24"/>
        </w:rPr>
      </w:pPr>
      <w:r w:rsidRPr="00E40AC6">
        <w:rPr>
          <w:rFonts w:ascii="Calibri" w:hAnsi="Calibri" w:cs="Calibri"/>
          <w:noProof/>
          <w:szCs w:val="24"/>
        </w:rPr>
        <w:t xml:space="preserve">26. </w:t>
      </w:r>
      <w:r w:rsidRPr="00E40AC6">
        <w:rPr>
          <w:rFonts w:ascii="Calibri" w:hAnsi="Calibri" w:cs="Calibri"/>
          <w:noProof/>
          <w:szCs w:val="24"/>
        </w:rPr>
        <w:tab/>
        <w:t xml:space="preserve">Hammerum AM, Heuer OE, Emborg HD, Bagger-Skjøt L, Jensen VF, Rogues AM, et al. Danish integrated antimicrobial resistance monitoring and research program. Emerg Infect Dis. 2007;13(11):1632–9. </w:t>
      </w:r>
    </w:p>
    <w:p w:rsidR="00E40AC6" w:rsidRPr="00E40AC6" w:rsidRDefault="00E40AC6" w:rsidP="00E40AC6">
      <w:pPr>
        <w:widowControl w:val="0"/>
        <w:autoSpaceDE w:val="0"/>
        <w:autoSpaceDN w:val="0"/>
        <w:adjustRightInd w:val="0"/>
        <w:ind w:left="640" w:hanging="640"/>
        <w:rPr>
          <w:rFonts w:ascii="Calibri" w:hAnsi="Calibri" w:cs="Calibri"/>
          <w:noProof/>
          <w:szCs w:val="24"/>
        </w:rPr>
      </w:pPr>
      <w:r w:rsidRPr="00E40AC6">
        <w:rPr>
          <w:rFonts w:ascii="Calibri" w:hAnsi="Calibri" w:cs="Calibri"/>
          <w:noProof/>
          <w:szCs w:val="24"/>
        </w:rPr>
        <w:t xml:space="preserve">27. </w:t>
      </w:r>
      <w:r w:rsidRPr="00E40AC6">
        <w:rPr>
          <w:rFonts w:ascii="Calibri" w:hAnsi="Calibri" w:cs="Calibri"/>
          <w:noProof/>
          <w:szCs w:val="24"/>
        </w:rPr>
        <w:tab/>
        <w:t xml:space="preserve">Kadykalo S V, Anderson MEC, Alsop JE. Passive surveillance of antimicrobial resistance in Salmonella and Escherichia coli isolates from Ontario livestock, 2007-2015. Can Vet J = La Rev Vet Can. 2018 Jun;59(6):617–22. </w:t>
      </w:r>
    </w:p>
    <w:p w:rsidR="00E40AC6" w:rsidRPr="00E40AC6" w:rsidRDefault="00E40AC6" w:rsidP="00E40AC6">
      <w:pPr>
        <w:widowControl w:val="0"/>
        <w:autoSpaceDE w:val="0"/>
        <w:autoSpaceDN w:val="0"/>
        <w:adjustRightInd w:val="0"/>
        <w:ind w:left="640" w:hanging="640"/>
        <w:rPr>
          <w:rFonts w:ascii="Calibri" w:hAnsi="Calibri" w:cs="Calibri"/>
          <w:noProof/>
          <w:szCs w:val="24"/>
        </w:rPr>
      </w:pPr>
      <w:r w:rsidRPr="00E40AC6">
        <w:rPr>
          <w:rFonts w:ascii="Calibri" w:hAnsi="Calibri" w:cs="Calibri"/>
          <w:noProof/>
          <w:szCs w:val="24"/>
        </w:rPr>
        <w:t xml:space="preserve">28. </w:t>
      </w:r>
      <w:r w:rsidRPr="00E40AC6">
        <w:rPr>
          <w:rFonts w:ascii="Calibri" w:hAnsi="Calibri" w:cs="Calibri"/>
          <w:noProof/>
          <w:szCs w:val="24"/>
        </w:rPr>
        <w:tab/>
        <w:t xml:space="preserve">Zhang P, Shen Z, Zhang C, Song L, Wang B, Shang J, et al. Surveillance of antimicrobial resistance among Escherichia coli from chicken and  swine, China, 2008-2015. Vet Microbiol. 2017 May;203:49–55. </w:t>
      </w:r>
    </w:p>
    <w:p w:rsidR="00E40AC6" w:rsidRPr="00E40AC6" w:rsidRDefault="00E40AC6" w:rsidP="00E40AC6">
      <w:pPr>
        <w:widowControl w:val="0"/>
        <w:autoSpaceDE w:val="0"/>
        <w:autoSpaceDN w:val="0"/>
        <w:adjustRightInd w:val="0"/>
        <w:ind w:left="640" w:hanging="640"/>
        <w:rPr>
          <w:rFonts w:ascii="Calibri" w:hAnsi="Calibri" w:cs="Calibri"/>
          <w:noProof/>
          <w:szCs w:val="24"/>
        </w:rPr>
      </w:pPr>
      <w:r w:rsidRPr="00E40AC6">
        <w:rPr>
          <w:rFonts w:ascii="Calibri" w:hAnsi="Calibri" w:cs="Calibri"/>
          <w:noProof/>
          <w:szCs w:val="24"/>
        </w:rPr>
        <w:t xml:space="preserve">29. </w:t>
      </w:r>
      <w:r w:rsidRPr="00E40AC6">
        <w:rPr>
          <w:rFonts w:ascii="Calibri" w:hAnsi="Calibri" w:cs="Calibri"/>
          <w:noProof/>
          <w:szCs w:val="24"/>
        </w:rPr>
        <w:tab/>
        <w:t xml:space="preserve">de Jong A, Garch F El, Simjee S, Moyaert H, Rose M, Youala M, et al. Monitoring of antimicrobial susceptibility of udder pathogens recovered from cases of clinical mastitis in dairy cows across Europe: VetPath results. Vet Microbiol. 2018 Jan;213:73–81. </w:t>
      </w:r>
    </w:p>
    <w:p w:rsidR="00E40AC6" w:rsidRPr="00E40AC6" w:rsidRDefault="00E40AC6" w:rsidP="00E40AC6">
      <w:pPr>
        <w:widowControl w:val="0"/>
        <w:autoSpaceDE w:val="0"/>
        <w:autoSpaceDN w:val="0"/>
        <w:adjustRightInd w:val="0"/>
        <w:ind w:left="640" w:hanging="640"/>
        <w:rPr>
          <w:rFonts w:ascii="Calibri" w:hAnsi="Calibri" w:cs="Calibri"/>
          <w:noProof/>
          <w:szCs w:val="24"/>
        </w:rPr>
      </w:pPr>
      <w:r w:rsidRPr="00E40AC6">
        <w:rPr>
          <w:rFonts w:ascii="Calibri" w:hAnsi="Calibri" w:cs="Calibri"/>
          <w:noProof/>
          <w:szCs w:val="24"/>
        </w:rPr>
        <w:t xml:space="preserve">30. </w:t>
      </w:r>
      <w:r w:rsidRPr="00E40AC6">
        <w:rPr>
          <w:rFonts w:ascii="Calibri" w:hAnsi="Calibri" w:cs="Calibri"/>
          <w:noProof/>
          <w:szCs w:val="24"/>
        </w:rPr>
        <w:tab/>
        <w:t xml:space="preserve">Kaspersen H, Urdahl AM, Simm R, Slettemeas JS, Lagesen K, Norstrom M. Occurrence of quinolone resistant E. coli originating from different animal species in Norway. Vet Microbiol. 2018 Apr;217:25–31. </w:t>
      </w:r>
    </w:p>
    <w:p w:rsidR="00E40AC6" w:rsidRPr="00E40AC6" w:rsidRDefault="00E40AC6" w:rsidP="00E40AC6">
      <w:pPr>
        <w:widowControl w:val="0"/>
        <w:autoSpaceDE w:val="0"/>
        <w:autoSpaceDN w:val="0"/>
        <w:adjustRightInd w:val="0"/>
        <w:ind w:left="640" w:hanging="640"/>
        <w:rPr>
          <w:rFonts w:ascii="Calibri" w:hAnsi="Calibri" w:cs="Calibri"/>
          <w:noProof/>
          <w:szCs w:val="24"/>
        </w:rPr>
      </w:pPr>
      <w:r w:rsidRPr="00E40AC6">
        <w:rPr>
          <w:rFonts w:ascii="Calibri" w:hAnsi="Calibri" w:cs="Calibri"/>
          <w:noProof/>
          <w:szCs w:val="24"/>
        </w:rPr>
        <w:t xml:space="preserve">31. </w:t>
      </w:r>
      <w:r w:rsidRPr="00E40AC6">
        <w:rPr>
          <w:rFonts w:ascii="Calibri" w:hAnsi="Calibri" w:cs="Calibri"/>
          <w:noProof/>
          <w:szCs w:val="24"/>
        </w:rPr>
        <w:tab/>
        <w:t xml:space="preserve">Boireau C, Morignat E, Cazeau G, Jarrige N, Jouy E, Haenni M, et al. Antimicrobial resistance trends in Escherichia coli isolated from diseased food-producing animals in France: A 14-year period time-series study. Zoonoses Public Health. 2018 Feb;65(1):e86–94. </w:t>
      </w:r>
    </w:p>
    <w:p w:rsidR="00E40AC6" w:rsidRPr="00E40AC6" w:rsidRDefault="00E40AC6" w:rsidP="00E40AC6">
      <w:pPr>
        <w:widowControl w:val="0"/>
        <w:autoSpaceDE w:val="0"/>
        <w:autoSpaceDN w:val="0"/>
        <w:adjustRightInd w:val="0"/>
        <w:ind w:left="640" w:hanging="640"/>
        <w:rPr>
          <w:rFonts w:ascii="Calibri" w:hAnsi="Calibri" w:cs="Calibri"/>
          <w:noProof/>
          <w:szCs w:val="24"/>
        </w:rPr>
      </w:pPr>
      <w:r w:rsidRPr="00E40AC6">
        <w:rPr>
          <w:rFonts w:ascii="Calibri" w:hAnsi="Calibri" w:cs="Calibri"/>
          <w:noProof/>
          <w:szCs w:val="24"/>
        </w:rPr>
        <w:t xml:space="preserve">32. </w:t>
      </w:r>
      <w:r w:rsidRPr="00E40AC6">
        <w:rPr>
          <w:rFonts w:ascii="Calibri" w:hAnsi="Calibri" w:cs="Calibri"/>
          <w:noProof/>
          <w:szCs w:val="24"/>
        </w:rPr>
        <w:tab/>
        <w:t xml:space="preserve">Callens B, Cargnel M, Sarrazin S, Dewulf J, Hoet B, Vermeersch K, et al. Associations between a decreased veterinary antimicrobial use and resistance in commensal Escherichia coli from Belgian livestock species (2011-2015). Prev Vet Med. 2018 Sep;157:50–8. </w:t>
      </w:r>
    </w:p>
    <w:p w:rsidR="00E40AC6" w:rsidRPr="00E40AC6" w:rsidRDefault="00E40AC6" w:rsidP="00E40AC6">
      <w:pPr>
        <w:widowControl w:val="0"/>
        <w:autoSpaceDE w:val="0"/>
        <w:autoSpaceDN w:val="0"/>
        <w:adjustRightInd w:val="0"/>
        <w:ind w:left="640" w:hanging="640"/>
        <w:rPr>
          <w:rFonts w:ascii="Calibri" w:hAnsi="Calibri" w:cs="Calibri"/>
          <w:noProof/>
          <w:szCs w:val="24"/>
        </w:rPr>
      </w:pPr>
      <w:r w:rsidRPr="00E40AC6">
        <w:rPr>
          <w:rFonts w:ascii="Calibri" w:hAnsi="Calibri" w:cs="Calibri"/>
          <w:noProof/>
          <w:szCs w:val="24"/>
        </w:rPr>
        <w:t xml:space="preserve">33. </w:t>
      </w:r>
      <w:r w:rsidRPr="00E40AC6">
        <w:rPr>
          <w:rFonts w:ascii="Calibri" w:hAnsi="Calibri" w:cs="Calibri"/>
          <w:noProof/>
          <w:szCs w:val="24"/>
        </w:rPr>
        <w:tab/>
        <w:t xml:space="preserve">Denisuik AJ, Garbutt LA, Golden AR, Adam HJ, Baxter M, Nichol KA, et al. Antimicrobial-resistant pathogens in Canadian ICUs: results of the CANWARD 2007 to 2016 study. J Antimicrob Chemother. 2018 Nov; </w:t>
      </w:r>
    </w:p>
    <w:p w:rsidR="00E40AC6" w:rsidRPr="00E40AC6" w:rsidRDefault="00E40AC6" w:rsidP="00E40AC6">
      <w:pPr>
        <w:widowControl w:val="0"/>
        <w:autoSpaceDE w:val="0"/>
        <w:autoSpaceDN w:val="0"/>
        <w:adjustRightInd w:val="0"/>
        <w:ind w:left="640" w:hanging="640"/>
        <w:rPr>
          <w:rFonts w:ascii="Calibri" w:hAnsi="Calibri" w:cs="Calibri"/>
          <w:noProof/>
          <w:szCs w:val="24"/>
        </w:rPr>
      </w:pPr>
      <w:r w:rsidRPr="00E40AC6">
        <w:rPr>
          <w:rFonts w:ascii="Calibri" w:hAnsi="Calibri" w:cs="Calibri"/>
          <w:noProof/>
          <w:szCs w:val="24"/>
        </w:rPr>
        <w:t xml:space="preserve">34. </w:t>
      </w:r>
      <w:r w:rsidRPr="00E40AC6">
        <w:rPr>
          <w:rFonts w:ascii="Calibri" w:hAnsi="Calibri" w:cs="Calibri"/>
          <w:noProof/>
          <w:szCs w:val="24"/>
        </w:rPr>
        <w:tab/>
        <w:t xml:space="preserve">Johnson AP. Surveillance of antibiotic resistance. Philos Trans R Soc B Biol Sci. 2015;370(1670). </w:t>
      </w:r>
    </w:p>
    <w:p w:rsidR="00E40AC6" w:rsidRPr="00E40AC6" w:rsidRDefault="00E40AC6" w:rsidP="00E40AC6">
      <w:pPr>
        <w:widowControl w:val="0"/>
        <w:autoSpaceDE w:val="0"/>
        <w:autoSpaceDN w:val="0"/>
        <w:adjustRightInd w:val="0"/>
        <w:ind w:left="640" w:hanging="640"/>
        <w:rPr>
          <w:rFonts w:ascii="Calibri" w:hAnsi="Calibri" w:cs="Calibri"/>
          <w:noProof/>
          <w:szCs w:val="24"/>
        </w:rPr>
      </w:pPr>
      <w:r w:rsidRPr="00E40AC6">
        <w:rPr>
          <w:rFonts w:ascii="Calibri" w:hAnsi="Calibri" w:cs="Calibri"/>
          <w:noProof/>
          <w:szCs w:val="24"/>
        </w:rPr>
        <w:t xml:space="preserve">35. </w:t>
      </w:r>
      <w:r w:rsidRPr="00E40AC6">
        <w:rPr>
          <w:rFonts w:ascii="Calibri" w:hAnsi="Calibri" w:cs="Calibri"/>
          <w:noProof/>
          <w:szCs w:val="24"/>
        </w:rPr>
        <w:tab/>
        <w:t xml:space="preserve">Vikram A, Rovira P, Agga GE, Arthur TM, Bosilevac JM, Wheeler TL, et al. Impact of “Raised Without Antibiotics” Beef Cattle Production Practices On Occurrences of Antimicrobial Resistance. Appl Environ Microbiol. 2017 Sep; </w:t>
      </w:r>
    </w:p>
    <w:p w:rsidR="00E40AC6" w:rsidRPr="00E40AC6" w:rsidRDefault="00E40AC6" w:rsidP="00E40AC6">
      <w:pPr>
        <w:widowControl w:val="0"/>
        <w:autoSpaceDE w:val="0"/>
        <w:autoSpaceDN w:val="0"/>
        <w:adjustRightInd w:val="0"/>
        <w:ind w:left="640" w:hanging="640"/>
        <w:rPr>
          <w:rFonts w:ascii="Calibri" w:hAnsi="Calibri" w:cs="Calibri"/>
          <w:noProof/>
          <w:szCs w:val="24"/>
        </w:rPr>
      </w:pPr>
      <w:r w:rsidRPr="00E40AC6">
        <w:rPr>
          <w:rFonts w:ascii="Calibri" w:hAnsi="Calibri" w:cs="Calibri"/>
          <w:noProof/>
          <w:szCs w:val="24"/>
        </w:rPr>
        <w:t xml:space="preserve">36. </w:t>
      </w:r>
      <w:r w:rsidRPr="00E40AC6">
        <w:rPr>
          <w:rFonts w:ascii="Calibri" w:hAnsi="Calibri" w:cs="Calibri"/>
          <w:noProof/>
          <w:szCs w:val="24"/>
        </w:rPr>
        <w:tab/>
        <w:t xml:space="preserve">Remschmidt C, Schneider S, Meyer E, Schroeren-Boersch B, Gastmeier P, Schwab F. Surveillance of Antibiotic Use and Resistance in Intensive Care Units (SARI). Dtsch Arztebl Int. 2017 Dec;114(50):858–65. </w:t>
      </w:r>
    </w:p>
    <w:p w:rsidR="00E40AC6" w:rsidRPr="00E40AC6" w:rsidRDefault="00E40AC6" w:rsidP="00E40AC6">
      <w:pPr>
        <w:widowControl w:val="0"/>
        <w:autoSpaceDE w:val="0"/>
        <w:autoSpaceDN w:val="0"/>
        <w:adjustRightInd w:val="0"/>
        <w:ind w:left="640" w:hanging="640"/>
        <w:rPr>
          <w:rFonts w:ascii="Calibri" w:hAnsi="Calibri" w:cs="Calibri"/>
          <w:noProof/>
          <w:szCs w:val="24"/>
        </w:rPr>
      </w:pPr>
      <w:r w:rsidRPr="00E40AC6">
        <w:rPr>
          <w:rFonts w:ascii="Calibri" w:hAnsi="Calibri" w:cs="Calibri"/>
          <w:noProof/>
          <w:szCs w:val="24"/>
        </w:rPr>
        <w:t xml:space="preserve">37. </w:t>
      </w:r>
      <w:r w:rsidRPr="00E40AC6">
        <w:rPr>
          <w:rFonts w:ascii="Calibri" w:hAnsi="Calibri" w:cs="Calibri"/>
          <w:noProof/>
          <w:szCs w:val="24"/>
        </w:rPr>
        <w:tab/>
        <w:t xml:space="preserve">MacKinnon MC, Pearl DL, Carson CA, Parmley EJ, McEwen SA. Comparison of annual and regional variation in multidrug resistance using various classification metrics for generic Escherichia coli isolated from chicken abattoir surveillance samples in Canada. Prev Vet Med. 2018 Jun;154:9–17. </w:t>
      </w:r>
    </w:p>
    <w:p w:rsidR="00E40AC6" w:rsidRPr="00E40AC6" w:rsidRDefault="00E40AC6" w:rsidP="00E40AC6">
      <w:pPr>
        <w:widowControl w:val="0"/>
        <w:autoSpaceDE w:val="0"/>
        <w:autoSpaceDN w:val="0"/>
        <w:adjustRightInd w:val="0"/>
        <w:ind w:left="640" w:hanging="640"/>
        <w:rPr>
          <w:rFonts w:ascii="Calibri" w:hAnsi="Calibri" w:cs="Calibri"/>
          <w:noProof/>
          <w:szCs w:val="24"/>
        </w:rPr>
      </w:pPr>
      <w:r w:rsidRPr="00E40AC6">
        <w:rPr>
          <w:rFonts w:ascii="Calibri" w:hAnsi="Calibri" w:cs="Calibri"/>
          <w:noProof/>
          <w:szCs w:val="24"/>
        </w:rPr>
        <w:lastRenderedPageBreak/>
        <w:t xml:space="preserve">38. </w:t>
      </w:r>
      <w:r w:rsidRPr="00E40AC6">
        <w:rPr>
          <w:rFonts w:ascii="Calibri" w:hAnsi="Calibri" w:cs="Calibri"/>
          <w:noProof/>
          <w:szCs w:val="24"/>
        </w:rPr>
        <w:tab/>
        <w:t xml:space="preserve">Hiki M, Kawanishi M, Abo H, Kojima A, Koike R, Hamamoto S, et al. Decreased resistance to broad-spectrum cephalosporin in Escherichia coli from healthy broilers at farms in Japan after voluntary withdrawal of ceftiofur. Foodborne Pathog Dis. 2015;12(7):639–43. </w:t>
      </w:r>
    </w:p>
    <w:p w:rsidR="00E40AC6" w:rsidRPr="00E40AC6" w:rsidRDefault="00E40AC6" w:rsidP="00E40AC6">
      <w:pPr>
        <w:widowControl w:val="0"/>
        <w:autoSpaceDE w:val="0"/>
        <w:autoSpaceDN w:val="0"/>
        <w:adjustRightInd w:val="0"/>
        <w:ind w:left="640" w:hanging="640"/>
        <w:rPr>
          <w:rFonts w:ascii="Calibri" w:hAnsi="Calibri" w:cs="Calibri"/>
          <w:noProof/>
          <w:szCs w:val="24"/>
        </w:rPr>
      </w:pPr>
      <w:r w:rsidRPr="00E40AC6">
        <w:rPr>
          <w:rFonts w:ascii="Calibri" w:hAnsi="Calibri" w:cs="Calibri"/>
          <w:noProof/>
          <w:szCs w:val="24"/>
        </w:rPr>
        <w:t xml:space="preserve">39. </w:t>
      </w:r>
      <w:r w:rsidRPr="00E40AC6">
        <w:rPr>
          <w:rFonts w:ascii="Calibri" w:hAnsi="Calibri" w:cs="Calibri"/>
          <w:noProof/>
          <w:szCs w:val="24"/>
        </w:rPr>
        <w:tab/>
        <w:t xml:space="preserve">Jensen US, Muller A, Brandt CT, Frimodt-Møller N, Hammerum AM, Monnet DL, et al. Effect of generics on price and consumption of ciprofloxacin in primary healthcare: the relationship to increasing resistance. J Antimicrob Chemother. 2010;65(6):1286–91. </w:t>
      </w:r>
    </w:p>
    <w:p w:rsidR="00E40AC6" w:rsidRPr="00E40AC6" w:rsidRDefault="00E40AC6" w:rsidP="00E40AC6">
      <w:pPr>
        <w:widowControl w:val="0"/>
        <w:autoSpaceDE w:val="0"/>
        <w:autoSpaceDN w:val="0"/>
        <w:adjustRightInd w:val="0"/>
        <w:ind w:left="640" w:hanging="640"/>
        <w:rPr>
          <w:rFonts w:ascii="Calibri" w:hAnsi="Calibri" w:cs="Calibri"/>
          <w:noProof/>
          <w:szCs w:val="24"/>
        </w:rPr>
      </w:pPr>
      <w:r w:rsidRPr="00E40AC6">
        <w:rPr>
          <w:rFonts w:ascii="Calibri" w:hAnsi="Calibri" w:cs="Calibri"/>
          <w:noProof/>
          <w:szCs w:val="24"/>
        </w:rPr>
        <w:t xml:space="preserve">40. </w:t>
      </w:r>
      <w:r w:rsidRPr="00E40AC6">
        <w:rPr>
          <w:rFonts w:ascii="Calibri" w:hAnsi="Calibri" w:cs="Calibri"/>
          <w:noProof/>
          <w:szCs w:val="24"/>
        </w:rPr>
        <w:tab/>
        <w:t xml:space="preserve">Korzeniewska E, Harnisz M. Relationship between modification of activated sludge wastewater treatment and changes in antibiotic resistance of bacteria. Sci Total Environ. 2018 Oct;639:304–15. </w:t>
      </w:r>
    </w:p>
    <w:p w:rsidR="00E40AC6" w:rsidRPr="00E40AC6" w:rsidRDefault="00E40AC6" w:rsidP="00E40AC6">
      <w:pPr>
        <w:widowControl w:val="0"/>
        <w:autoSpaceDE w:val="0"/>
        <w:autoSpaceDN w:val="0"/>
        <w:adjustRightInd w:val="0"/>
        <w:ind w:left="640" w:hanging="640"/>
        <w:rPr>
          <w:rFonts w:ascii="Calibri" w:hAnsi="Calibri" w:cs="Calibri"/>
          <w:noProof/>
          <w:szCs w:val="24"/>
        </w:rPr>
      </w:pPr>
      <w:r w:rsidRPr="00E40AC6">
        <w:rPr>
          <w:rFonts w:ascii="Calibri" w:hAnsi="Calibri" w:cs="Calibri"/>
          <w:noProof/>
          <w:szCs w:val="24"/>
        </w:rPr>
        <w:t xml:space="preserve">41. </w:t>
      </w:r>
      <w:r w:rsidRPr="00E40AC6">
        <w:rPr>
          <w:rFonts w:ascii="Calibri" w:hAnsi="Calibri" w:cs="Calibri"/>
          <w:noProof/>
          <w:szCs w:val="24"/>
        </w:rPr>
        <w:tab/>
        <w:t xml:space="preserve">Davies J, Johnson AP, Hope R. Identifying hospital-onset Escherichia coli bacteraemia cases from English mandatory surveillance: the case for applying a two-day post-admission rule. J Hosp Infect. 2017 Nov;97(3):207–11. </w:t>
      </w:r>
    </w:p>
    <w:p w:rsidR="00E40AC6" w:rsidRPr="00E40AC6" w:rsidRDefault="00E40AC6" w:rsidP="00E40AC6">
      <w:pPr>
        <w:widowControl w:val="0"/>
        <w:autoSpaceDE w:val="0"/>
        <w:autoSpaceDN w:val="0"/>
        <w:adjustRightInd w:val="0"/>
        <w:ind w:left="640" w:hanging="640"/>
        <w:rPr>
          <w:rFonts w:ascii="Calibri" w:hAnsi="Calibri" w:cs="Calibri"/>
          <w:noProof/>
          <w:szCs w:val="24"/>
        </w:rPr>
      </w:pPr>
      <w:r w:rsidRPr="00E40AC6">
        <w:rPr>
          <w:rFonts w:ascii="Calibri" w:hAnsi="Calibri" w:cs="Calibri"/>
          <w:noProof/>
          <w:szCs w:val="24"/>
        </w:rPr>
        <w:t xml:space="preserve">42. </w:t>
      </w:r>
      <w:r w:rsidRPr="00E40AC6">
        <w:rPr>
          <w:rFonts w:ascii="Calibri" w:hAnsi="Calibri" w:cs="Calibri"/>
          <w:noProof/>
          <w:szCs w:val="24"/>
        </w:rPr>
        <w:tab/>
        <w:t xml:space="preserve">Abernethy J, Guy R, Sheridan EA, Hopkins S, Kiernan M, Wilcox MH, et al. Epidemiology of Escherichia coli bacteraemia in England: results of an enhanced sentinel surveillance programme. J Hosp Infect. 2017 Apr;95(4):365–75. </w:t>
      </w:r>
    </w:p>
    <w:p w:rsidR="00E40AC6" w:rsidRPr="00E40AC6" w:rsidRDefault="00E40AC6" w:rsidP="00E40AC6">
      <w:pPr>
        <w:widowControl w:val="0"/>
        <w:autoSpaceDE w:val="0"/>
        <w:autoSpaceDN w:val="0"/>
        <w:adjustRightInd w:val="0"/>
        <w:ind w:left="640" w:hanging="640"/>
        <w:rPr>
          <w:rFonts w:ascii="Calibri" w:hAnsi="Calibri" w:cs="Calibri"/>
          <w:noProof/>
          <w:szCs w:val="24"/>
        </w:rPr>
      </w:pPr>
      <w:r w:rsidRPr="00E40AC6">
        <w:rPr>
          <w:rFonts w:ascii="Calibri" w:hAnsi="Calibri" w:cs="Calibri"/>
          <w:noProof/>
          <w:szCs w:val="24"/>
        </w:rPr>
        <w:t xml:space="preserve">43. </w:t>
      </w:r>
      <w:r w:rsidRPr="00E40AC6">
        <w:rPr>
          <w:rFonts w:ascii="Calibri" w:hAnsi="Calibri" w:cs="Calibri"/>
          <w:noProof/>
          <w:szCs w:val="24"/>
        </w:rPr>
        <w:tab/>
        <w:t xml:space="preserve">Dharmarha V, Pulido N, Boyer RR, Pruden A, Strawn LK, Ponder MA. Effect of post-harvest interventions on surficial carrot bacterial community dynamics, pathogen survival, and antibiotic resistance. Int J Food Microbiol. 2019 Feb;291:25–34. </w:t>
      </w:r>
    </w:p>
    <w:p w:rsidR="00E40AC6" w:rsidRPr="00E40AC6" w:rsidRDefault="00E40AC6" w:rsidP="00E40AC6">
      <w:pPr>
        <w:widowControl w:val="0"/>
        <w:autoSpaceDE w:val="0"/>
        <w:autoSpaceDN w:val="0"/>
        <w:adjustRightInd w:val="0"/>
        <w:ind w:left="640" w:hanging="640"/>
        <w:rPr>
          <w:rFonts w:ascii="Calibri" w:hAnsi="Calibri" w:cs="Calibri"/>
          <w:noProof/>
          <w:szCs w:val="24"/>
        </w:rPr>
      </w:pPr>
      <w:r w:rsidRPr="00E40AC6">
        <w:rPr>
          <w:rFonts w:ascii="Calibri" w:hAnsi="Calibri" w:cs="Calibri"/>
          <w:noProof/>
          <w:szCs w:val="24"/>
        </w:rPr>
        <w:t xml:space="preserve">44. </w:t>
      </w:r>
      <w:r w:rsidRPr="00E40AC6">
        <w:rPr>
          <w:rFonts w:ascii="Calibri" w:hAnsi="Calibri" w:cs="Calibri"/>
          <w:noProof/>
          <w:szCs w:val="24"/>
        </w:rPr>
        <w:tab/>
        <w:t xml:space="preserve">Dutil L, Irwin R, Finley R, Ng LK, Avery B, Boerlin P, et al. Ceftiofur resistance in Salmonella enterica serovar Heidelberg from chicken meat and humans, Canada. Emerg Infect Dis. 2010;16(1):48–54. </w:t>
      </w:r>
    </w:p>
    <w:p w:rsidR="00E40AC6" w:rsidRPr="00E40AC6" w:rsidRDefault="00E40AC6" w:rsidP="00E40AC6">
      <w:pPr>
        <w:widowControl w:val="0"/>
        <w:autoSpaceDE w:val="0"/>
        <w:autoSpaceDN w:val="0"/>
        <w:adjustRightInd w:val="0"/>
        <w:ind w:left="640" w:hanging="640"/>
        <w:rPr>
          <w:rFonts w:ascii="Calibri" w:hAnsi="Calibri" w:cs="Calibri"/>
          <w:noProof/>
          <w:szCs w:val="24"/>
        </w:rPr>
      </w:pPr>
      <w:r w:rsidRPr="00E40AC6">
        <w:rPr>
          <w:rFonts w:ascii="Calibri" w:hAnsi="Calibri" w:cs="Calibri"/>
          <w:noProof/>
          <w:szCs w:val="24"/>
        </w:rPr>
        <w:t xml:space="preserve">45. </w:t>
      </w:r>
      <w:r w:rsidRPr="00E40AC6">
        <w:rPr>
          <w:rFonts w:ascii="Calibri" w:hAnsi="Calibri" w:cs="Calibri"/>
          <w:noProof/>
          <w:szCs w:val="24"/>
        </w:rPr>
        <w:tab/>
        <w:t>Rummukainen ML, Jakobsson A, Matsinen M, Järvenpää S, Nissinen A, Karppi P, et al. Reduction in inappropriate prevention of urinary tract infections in long-term care facilities. Am J Infect Control [Internet]. 2012;40(8):711–4. Available from: http://dx.doi.org/10.1016/j.ajic.2011.09.013</w:t>
      </w:r>
    </w:p>
    <w:p w:rsidR="00E40AC6" w:rsidRPr="00E40AC6" w:rsidRDefault="00E40AC6" w:rsidP="00E40AC6">
      <w:pPr>
        <w:widowControl w:val="0"/>
        <w:autoSpaceDE w:val="0"/>
        <w:autoSpaceDN w:val="0"/>
        <w:adjustRightInd w:val="0"/>
        <w:ind w:left="640" w:hanging="640"/>
        <w:rPr>
          <w:rFonts w:ascii="Calibri" w:hAnsi="Calibri" w:cs="Calibri"/>
          <w:noProof/>
          <w:szCs w:val="24"/>
        </w:rPr>
      </w:pPr>
      <w:r w:rsidRPr="00E40AC6">
        <w:rPr>
          <w:rFonts w:ascii="Calibri" w:hAnsi="Calibri" w:cs="Calibri"/>
          <w:noProof/>
          <w:szCs w:val="24"/>
        </w:rPr>
        <w:t xml:space="preserve">46. </w:t>
      </w:r>
      <w:r w:rsidRPr="00E40AC6">
        <w:rPr>
          <w:rFonts w:ascii="Calibri" w:hAnsi="Calibri" w:cs="Calibri"/>
          <w:noProof/>
          <w:szCs w:val="24"/>
        </w:rPr>
        <w:tab/>
        <w:t xml:space="preserve">Gottesman BS, Carmeli Y, Shitrit P, Chowers M. Impact of quinolone restriction on resistance patterns of Escherichia coli isolated from urine by culture in a community setting. Clin Infect Dis. 2009;49(6):869–75. </w:t>
      </w:r>
    </w:p>
    <w:p w:rsidR="00E40AC6" w:rsidRPr="00E40AC6" w:rsidRDefault="00E40AC6" w:rsidP="00E40AC6">
      <w:pPr>
        <w:widowControl w:val="0"/>
        <w:autoSpaceDE w:val="0"/>
        <w:autoSpaceDN w:val="0"/>
        <w:adjustRightInd w:val="0"/>
        <w:ind w:left="640" w:hanging="640"/>
        <w:rPr>
          <w:rFonts w:ascii="Calibri" w:hAnsi="Calibri" w:cs="Calibri"/>
          <w:noProof/>
          <w:szCs w:val="24"/>
        </w:rPr>
      </w:pPr>
      <w:r w:rsidRPr="00E40AC6">
        <w:rPr>
          <w:rFonts w:ascii="Calibri" w:hAnsi="Calibri" w:cs="Calibri"/>
          <w:noProof/>
          <w:szCs w:val="24"/>
        </w:rPr>
        <w:t xml:space="preserve">47. </w:t>
      </w:r>
      <w:r w:rsidRPr="00E40AC6">
        <w:rPr>
          <w:rFonts w:ascii="Calibri" w:hAnsi="Calibri" w:cs="Calibri"/>
          <w:noProof/>
          <w:szCs w:val="24"/>
        </w:rPr>
        <w:tab/>
        <w:t xml:space="preserve">Fürst J, Čižman M, Mrak J, Kos D, Campbell S, Coenen S, et al. The influence of a sustained multifaceted approach to improve antibiotic prescribing in Slovenia during the past decade: Findings and implications. Expert Rev Anti Infect Ther. 2015;13(2):279–89. </w:t>
      </w:r>
    </w:p>
    <w:p w:rsidR="00E40AC6" w:rsidRPr="00E40AC6" w:rsidRDefault="00E40AC6" w:rsidP="00E40AC6">
      <w:pPr>
        <w:widowControl w:val="0"/>
        <w:autoSpaceDE w:val="0"/>
        <w:autoSpaceDN w:val="0"/>
        <w:adjustRightInd w:val="0"/>
        <w:ind w:left="640" w:hanging="640"/>
        <w:rPr>
          <w:rFonts w:ascii="Calibri" w:hAnsi="Calibri" w:cs="Calibri"/>
          <w:noProof/>
          <w:szCs w:val="24"/>
        </w:rPr>
      </w:pPr>
      <w:r w:rsidRPr="00E40AC6">
        <w:rPr>
          <w:rFonts w:ascii="Calibri" w:hAnsi="Calibri" w:cs="Calibri"/>
          <w:noProof/>
          <w:szCs w:val="24"/>
        </w:rPr>
        <w:t xml:space="preserve">48. </w:t>
      </w:r>
      <w:r w:rsidRPr="00E40AC6">
        <w:rPr>
          <w:rFonts w:ascii="Calibri" w:hAnsi="Calibri" w:cs="Calibri"/>
          <w:noProof/>
          <w:szCs w:val="24"/>
        </w:rPr>
        <w:tab/>
        <w:t xml:space="preserve">Fridkin SK, Steward CD, Edwards JR, Pryor ER, McGowan Jr JE, Archibald LK, et al. Surveillance of antimicrobial use and antimicrobial resistance in United States hospitals: project ICARE phase 2. Clin Infect Dis. 1999;29(2):245–52. </w:t>
      </w:r>
    </w:p>
    <w:p w:rsidR="00E40AC6" w:rsidRPr="00E40AC6" w:rsidRDefault="00E40AC6" w:rsidP="00E40AC6">
      <w:pPr>
        <w:widowControl w:val="0"/>
        <w:autoSpaceDE w:val="0"/>
        <w:autoSpaceDN w:val="0"/>
        <w:adjustRightInd w:val="0"/>
        <w:ind w:left="640" w:hanging="640"/>
        <w:rPr>
          <w:rFonts w:ascii="Calibri" w:hAnsi="Calibri" w:cs="Calibri"/>
          <w:noProof/>
          <w:szCs w:val="24"/>
        </w:rPr>
      </w:pPr>
      <w:r w:rsidRPr="00E40AC6">
        <w:rPr>
          <w:rFonts w:ascii="Calibri" w:hAnsi="Calibri" w:cs="Calibri"/>
          <w:noProof/>
          <w:szCs w:val="24"/>
        </w:rPr>
        <w:t xml:space="preserve">49. </w:t>
      </w:r>
      <w:r w:rsidRPr="00E40AC6">
        <w:rPr>
          <w:rFonts w:ascii="Calibri" w:hAnsi="Calibri" w:cs="Calibri"/>
          <w:noProof/>
          <w:szCs w:val="24"/>
        </w:rPr>
        <w:tab/>
        <w:t xml:space="preserve">Karp BE, Tate H, Plumblee JR, Dessai U, Whichard JM, Thacker EL, et al. National Antimicrobial Resistance Monitoring System: Two Decades of Advancing Public Health Through Integrated Surveillance of Antimicrobial Resistance. Foodborne Pathog Dis. 2017 Oct;14(10):545–57. </w:t>
      </w:r>
    </w:p>
    <w:p w:rsidR="00E40AC6" w:rsidRPr="00E40AC6" w:rsidRDefault="00E40AC6" w:rsidP="00E40AC6">
      <w:pPr>
        <w:widowControl w:val="0"/>
        <w:autoSpaceDE w:val="0"/>
        <w:autoSpaceDN w:val="0"/>
        <w:adjustRightInd w:val="0"/>
        <w:ind w:left="640" w:hanging="640"/>
        <w:rPr>
          <w:rFonts w:ascii="Calibri" w:hAnsi="Calibri" w:cs="Calibri"/>
          <w:noProof/>
          <w:szCs w:val="24"/>
        </w:rPr>
      </w:pPr>
      <w:r w:rsidRPr="00E40AC6">
        <w:rPr>
          <w:rFonts w:ascii="Calibri" w:hAnsi="Calibri" w:cs="Calibri"/>
          <w:noProof/>
          <w:szCs w:val="24"/>
        </w:rPr>
        <w:lastRenderedPageBreak/>
        <w:t xml:space="preserve">50. </w:t>
      </w:r>
      <w:r w:rsidRPr="00E40AC6">
        <w:rPr>
          <w:rFonts w:ascii="Calibri" w:hAnsi="Calibri" w:cs="Calibri"/>
          <w:noProof/>
          <w:szCs w:val="24"/>
        </w:rPr>
        <w:tab/>
        <w:t>der Kuil W, Schoffelen AF, de Greeff SC, Thijsen SFT, Alblas HJ, Notermans DW, et al. National laboratory-based surveillance system for antimicrobial resistance: a successful tool to support the control of antimicrobial resistance in the Netherlands. Eurosurveillance [Internet]. 2017;22(46). Available from: https://www.scopus.com/inward/record.uri?eid=2-s2.0-85034982946&amp;doi=10.2807%2F1560-7917.ES.2017.22.46.17-00062&amp;partnerID=40&amp;md5=fa627714da282a53e18616bcd6566f2a</w:t>
      </w:r>
    </w:p>
    <w:p w:rsidR="00E40AC6" w:rsidRPr="00E40AC6" w:rsidRDefault="00E40AC6" w:rsidP="00E40AC6">
      <w:pPr>
        <w:widowControl w:val="0"/>
        <w:autoSpaceDE w:val="0"/>
        <w:autoSpaceDN w:val="0"/>
        <w:adjustRightInd w:val="0"/>
        <w:ind w:left="640" w:hanging="640"/>
        <w:rPr>
          <w:rFonts w:ascii="Calibri" w:hAnsi="Calibri" w:cs="Calibri"/>
          <w:noProof/>
          <w:szCs w:val="24"/>
        </w:rPr>
      </w:pPr>
      <w:r w:rsidRPr="00E40AC6">
        <w:rPr>
          <w:rFonts w:ascii="Calibri" w:hAnsi="Calibri" w:cs="Calibri"/>
          <w:noProof/>
          <w:szCs w:val="24"/>
        </w:rPr>
        <w:t xml:space="preserve">51. </w:t>
      </w:r>
      <w:r w:rsidRPr="00E40AC6">
        <w:rPr>
          <w:rFonts w:ascii="Calibri" w:hAnsi="Calibri" w:cs="Calibri"/>
          <w:noProof/>
          <w:szCs w:val="24"/>
        </w:rPr>
        <w:tab/>
        <w:t xml:space="preserve">Dorado-García A, Mevius DJ, Jacobs JJH, Van Geijlswijk IM, Mouton JW, Wagenaar JA, et al. Quantitative assessment of antimicrobial resistance in livestock during the course of a nationwide antimicrobial use reduction in the Netherlands. J Antimicrob Chemother. 2016;71(12):3607–19. </w:t>
      </w:r>
    </w:p>
    <w:p w:rsidR="00E40AC6" w:rsidRPr="00E40AC6" w:rsidRDefault="00E40AC6" w:rsidP="00E40AC6">
      <w:pPr>
        <w:widowControl w:val="0"/>
        <w:autoSpaceDE w:val="0"/>
        <w:autoSpaceDN w:val="0"/>
        <w:adjustRightInd w:val="0"/>
        <w:ind w:left="640" w:hanging="640"/>
        <w:rPr>
          <w:rFonts w:ascii="Calibri" w:hAnsi="Calibri" w:cs="Calibri"/>
          <w:noProof/>
        </w:rPr>
      </w:pPr>
      <w:r w:rsidRPr="00E40AC6">
        <w:rPr>
          <w:rFonts w:ascii="Calibri" w:hAnsi="Calibri" w:cs="Calibri"/>
          <w:noProof/>
          <w:szCs w:val="24"/>
        </w:rPr>
        <w:t xml:space="preserve">52. </w:t>
      </w:r>
      <w:r w:rsidRPr="00E40AC6">
        <w:rPr>
          <w:rFonts w:ascii="Calibri" w:hAnsi="Calibri" w:cs="Calibri"/>
          <w:noProof/>
          <w:szCs w:val="24"/>
        </w:rPr>
        <w:tab/>
        <w:t xml:space="preserve">Mölstad S, Cars O, Struwe J. Strama - A Swedish working model for containment of antibiotic resistance. Eurosurveillance. 2008;13(46):1–4. </w:t>
      </w:r>
    </w:p>
    <w:p w:rsidR="0005622A" w:rsidRPr="0005622A" w:rsidRDefault="00E40AC6" w:rsidP="0005622A">
      <w:pPr>
        <w:sectPr w:rsidR="0005622A" w:rsidRPr="0005622A" w:rsidSect="0005622A">
          <w:footerReference w:type="default" r:id="rId7"/>
          <w:pgSz w:w="16838" w:h="11906" w:orient="landscape"/>
          <w:pgMar w:top="1417" w:right="1417" w:bottom="1417" w:left="1417" w:header="708" w:footer="708" w:gutter="0"/>
          <w:lnNumType w:countBy="1" w:restart="continuous"/>
          <w:cols w:space="708"/>
          <w:docGrid w:linePitch="360"/>
        </w:sectPr>
      </w:pPr>
      <w:r>
        <w:fldChar w:fldCharType="end"/>
      </w:r>
    </w:p>
    <w:p w:rsidR="0005622A" w:rsidRDefault="0005622A" w:rsidP="0005622A">
      <w:pPr>
        <w:keepNext/>
      </w:pPr>
      <w:bookmarkStart w:id="1" w:name="_GoBack"/>
      <w:bookmarkEnd w:id="1"/>
      <w:r>
        <w:rPr>
          <w:noProof/>
          <w:lang w:val="fr-CH" w:eastAsia="fr-CH"/>
        </w:rPr>
        <w:lastRenderedPageBreak/>
        <w:drawing>
          <wp:inline distT="0" distB="0" distL="0" distR="0" wp14:anchorId="32761070" wp14:editId="76615A66">
            <wp:extent cx="5760720" cy="369951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year publication.png"/>
                    <pic:cNvPicPr/>
                  </pic:nvPicPr>
                  <pic:blipFill>
                    <a:blip r:embed="rId8">
                      <a:extLst>
                        <a:ext uri="{28A0092B-C50C-407E-A947-70E740481C1C}">
                          <a14:useLocalDpi xmlns:a14="http://schemas.microsoft.com/office/drawing/2010/main" val="0"/>
                        </a:ext>
                      </a:extLst>
                    </a:blip>
                    <a:stretch>
                      <a:fillRect/>
                    </a:stretch>
                  </pic:blipFill>
                  <pic:spPr>
                    <a:xfrm>
                      <a:off x="0" y="0"/>
                      <a:ext cx="5760720" cy="3699510"/>
                    </a:xfrm>
                    <a:prstGeom prst="rect">
                      <a:avLst/>
                    </a:prstGeom>
                  </pic:spPr>
                </pic:pic>
              </a:graphicData>
            </a:graphic>
          </wp:inline>
        </w:drawing>
      </w:r>
    </w:p>
    <w:p w:rsidR="0005622A" w:rsidRPr="0005622A" w:rsidRDefault="0005622A" w:rsidP="0005622A">
      <w:pPr>
        <w:pStyle w:val="Caption"/>
        <w:rPr>
          <w:sz w:val="22"/>
        </w:rPr>
      </w:pPr>
      <w:bookmarkStart w:id="2" w:name="_Ref16513362"/>
      <w:r w:rsidRPr="0005622A">
        <w:rPr>
          <w:b/>
          <w:sz w:val="22"/>
        </w:rPr>
        <w:t>Figure</w:t>
      </w:r>
      <w:bookmarkEnd w:id="2"/>
      <w:r w:rsidRPr="0005622A">
        <w:rPr>
          <w:b/>
          <w:sz w:val="22"/>
        </w:rPr>
        <w:t xml:space="preserve"> B2:</w:t>
      </w:r>
      <w:r w:rsidRPr="0005622A">
        <w:rPr>
          <w:noProof/>
          <w:sz w:val="22"/>
        </w:rPr>
        <w:t xml:space="preserve"> Year of publication of the scientific articles describing E. coli AMR interventions coded in AMRIntervene (n=52 articles coded)</w:t>
      </w:r>
    </w:p>
    <w:p w:rsidR="0005622A" w:rsidRPr="00DB0D78" w:rsidRDefault="0005622A" w:rsidP="0005622A"/>
    <w:p w:rsidR="0005622A" w:rsidRDefault="0005622A" w:rsidP="0005622A">
      <w:pPr>
        <w:keepNext/>
      </w:pPr>
      <w:r>
        <w:rPr>
          <w:noProof/>
          <w:lang w:val="fr-CH" w:eastAsia="fr-CH"/>
        </w:rPr>
        <w:drawing>
          <wp:inline distT="0" distB="0" distL="0" distR="0" wp14:anchorId="0FD5E05C" wp14:editId="1B0CF314">
            <wp:extent cx="5410200" cy="345472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nb key results per publi.png"/>
                    <pic:cNvPicPr/>
                  </pic:nvPicPr>
                  <pic:blipFill>
                    <a:blip r:embed="rId9">
                      <a:extLst>
                        <a:ext uri="{28A0092B-C50C-407E-A947-70E740481C1C}">
                          <a14:useLocalDpi xmlns:a14="http://schemas.microsoft.com/office/drawing/2010/main" val="0"/>
                        </a:ext>
                      </a:extLst>
                    </a:blip>
                    <a:stretch>
                      <a:fillRect/>
                    </a:stretch>
                  </pic:blipFill>
                  <pic:spPr>
                    <a:xfrm>
                      <a:off x="0" y="0"/>
                      <a:ext cx="5420687" cy="3461425"/>
                    </a:xfrm>
                    <a:prstGeom prst="rect">
                      <a:avLst/>
                    </a:prstGeom>
                  </pic:spPr>
                </pic:pic>
              </a:graphicData>
            </a:graphic>
          </wp:inline>
        </w:drawing>
      </w:r>
    </w:p>
    <w:p w:rsidR="0005622A" w:rsidRPr="0005622A" w:rsidRDefault="0005622A" w:rsidP="0005622A">
      <w:pPr>
        <w:pStyle w:val="Caption"/>
        <w:rPr>
          <w:noProof/>
          <w:sz w:val="22"/>
        </w:rPr>
      </w:pPr>
      <w:bookmarkStart w:id="3" w:name="_Ref16518240"/>
      <w:r w:rsidRPr="0005622A">
        <w:rPr>
          <w:b/>
          <w:sz w:val="22"/>
        </w:rPr>
        <w:t>Figure</w:t>
      </w:r>
      <w:bookmarkEnd w:id="3"/>
      <w:r w:rsidRPr="0005622A">
        <w:rPr>
          <w:b/>
          <w:sz w:val="22"/>
        </w:rPr>
        <w:t xml:space="preserve"> B3:</w:t>
      </w:r>
      <w:r w:rsidRPr="0005622A">
        <w:rPr>
          <w:noProof/>
          <w:sz w:val="22"/>
        </w:rPr>
        <w:t xml:space="preserve"> Number of key results described in the publications depending on the outcome of the key result of the described E. coli AMR interventions (n=52 articles coded)</w:t>
      </w:r>
    </w:p>
    <w:p w:rsidR="0005622A" w:rsidRPr="0005622A" w:rsidRDefault="0005622A" w:rsidP="0005622A">
      <w:pPr>
        <w:pStyle w:val="Caption"/>
        <w:keepNext/>
        <w:rPr>
          <w:sz w:val="22"/>
        </w:rPr>
      </w:pPr>
      <w:r w:rsidRPr="0005622A">
        <w:rPr>
          <w:b/>
          <w:sz w:val="22"/>
        </w:rPr>
        <w:lastRenderedPageBreak/>
        <w:t>Table B4:</w:t>
      </w:r>
      <w:r w:rsidRPr="0005622A">
        <w:rPr>
          <w:noProof/>
          <w:sz w:val="22"/>
        </w:rPr>
        <w:t xml:space="preserve"> Categorisation of key results identified in the 52 coded E.coli AMR interventions, classified based on the DPSIR framework</w:t>
      </w:r>
    </w:p>
    <w:tbl>
      <w:tblPr>
        <w:tblStyle w:val="ListTable3-Accent1"/>
        <w:tblW w:w="0" w:type="auto"/>
        <w:tblLook w:val="04A0" w:firstRow="1" w:lastRow="0" w:firstColumn="1" w:lastColumn="0" w:noHBand="0" w:noVBand="1"/>
      </w:tblPr>
      <w:tblGrid>
        <w:gridCol w:w="1964"/>
        <w:gridCol w:w="2272"/>
        <w:gridCol w:w="2563"/>
        <w:gridCol w:w="2263"/>
      </w:tblGrid>
      <w:tr w:rsidR="0005622A" w:rsidTr="00E40AC6">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964" w:type="dxa"/>
            <w:vAlign w:val="center"/>
          </w:tcPr>
          <w:p w:rsidR="0005622A" w:rsidRDefault="0005622A" w:rsidP="0005622A">
            <w:pPr>
              <w:jc w:val="center"/>
              <w:rPr>
                <w:lang w:eastAsia="fr-CH"/>
              </w:rPr>
            </w:pPr>
            <w:r>
              <w:rPr>
                <w:lang w:eastAsia="fr-CH"/>
              </w:rPr>
              <w:t xml:space="preserve">DPSIR category </w:t>
            </w:r>
            <w:r w:rsidRPr="008C7BF8">
              <w:rPr>
                <w:sz w:val="14"/>
                <w:lang w:eastAsia="fr-CH"/>
              </w:rPr>
              <w:t>(number of key results identified in the publications)</w:t>
            </w:r>
          </w:p>
        </w:tc>
        <w:tc>
          <w:tcPr>
            <w:tcW w:w="2272" w:type="dxa"/>
            <w:vAlign w:val="center"/>
          </w:tcPr>
          <w:p w:rsidR="0005622A" w:rsidRDefault="0005622A" w:rsidP="0005622A">
            <w:pPr>
              <w:jc w:val="center"/>
              <w:cnfStyle w:val="100000000000" w:firstRow="1" w:lastRow="0" w:firstColumn="0" w:lastColumn="0" w:oddVBand="0" w:evenVBand="0" w:oddHBand="0" w:evenHBand="0" w:firstRowFirstColumn="0" w:firstRowLastColumn="0" w:lastRowFirstColumn="0" w:lastRowLastColumn="0"/>
              <w:rPr>
                <w:lang w:eastAsia="fr-CH"/>
              </w:rPr>
            </w:pPr>
            <w:r>
              <w:rPr>
                <w:lang w:eastAsia="fr-CH"/>
              </w:rPr>
              <w:t>Description</w:t>
            </w:r>
          </w:p>
        </w:tc>
        <w:tc>
          <w:tcPr>
            <w:tcW w:w="2563" w:type="dxa"/>
            <w:vAlign w:val="center"/>
          </w:tcPr>
          <w:p w:rsidR="0005622A" w:rsidRDefault="0005622A" w:rsidP="0005622A">
            <w:pPr>
              <w:jc w:val="center"/>
              <w:cnfStyle w:val="100000000000" w:firstRow="1" w:lastRow="0" w:firstColumn="0" w:lastColumn="0" w:oddVBand="0" w:evenVBand="0" w:oddHBand="0" w:evenHBand="0" w:firstRowFirstColumn="0" w:firstRowLastColumn="0" w:lastRowFirstColumn="0" w:lastRowLastColumn="0"/>
              <w:rPr>
                <w:lang w:eastAsia="fr-CH"/>
              </w:rPr>
            </w:pPr>
            <w:r>
              <w:rPr>
                <w:lang w:eastAsia="fr-CH"/>
              </w:rPr>
              <w:t>Sub-category</w:t>
            </w:r>
          </w:p>
        </w:tc>
        <w:tc>
          <w:tcPr>
            <w:tcW w:w="2263" w:type="dxa"/>
            <w:vAlign w:val="center"/>
          </w:tcPr>
          <w:p w:rsidR="0005622A" w:rsidRPr="008C7BF8" w:rsidRDefault="0005622A" w:rsidP="0005622A">
            <w:pPr>
              <w:jc w:val="center"/>
              <w:cnfStyle w:val="100000000000" w:firstRow="1" w:lastRow="0" w:firstColumn="0" w:lastColumn="0" w:oddVBand="0" w:evenVBand="0" w:oddHBand="0" w:evenHBand="0" w:firstRowFirstColumn="0" w:firstRowLastColumn="0" w:lastRowFirstColumn="0" w:lastRowLastColumn="0"/>
              <w:rPr>
                <w:i/>
                <w:sz w:val="18"/>
                <w:lang w:eastAsia="fr-CH"/>
              </w:rPr>
            </w:pPr>
            <w:r w:rsidRPr="008C7BF8">
              <w:rPr>
                <w:i/>
                <w:sz w:val="18"/>
                <w:lang w:eastAsia="fr-CH"/>
              </w:rPr>
              <w:t>Example of key result</w:t>
            </w:r>
          </w:p>
        </w:tc>
      </w:tr>
      <w:tr w:rsidR="0005622A" w:rsidTr="000562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4" w:type="dxa"/>
            <w:vMerge w:val="restart"/>
          </w:tcPr>
          <w:p w:rsidR="0005622A" w:rsidRDefault="0005622A" w:rsidP="0005622A">
            <w:pPr>
              <w:rPr>
                <w:lang w:eastAsia="fr-CH"/>
              </w:rPr>
            </w:pPr>
            <w:r>
              <w:rPr>
                <w:lang w:eastAsia="fr-CH"/>
              </w:rPr>
              <w:t>Driver (3)</w:t>
            </w:r>
          </w:p>
          <w:p w:rsidR="0005622A" w:rsidRDefault="0005622A" w:rsidP="0005622A">
            <w:pPr>
              <w:rPr>
                <w:lang w:eastAsia="fr-CH"/>
              </w:rPr>
            </w:pPr>
          </w:p>
        </w:tc>
        <w:tc>
          <w:tcPr>
            <w:tcW w:w="2272" w:type="dxa"/>
          </w:tcPr>
          <w:p w:rsidR="0005622A" w:rsidRDefault="0005622A" w:rsidP="0005622A">
            <w:pPr>
              <w:cnfStyle w:val="000000100000" w:firstRow="0" w:lastRow="0" w:firstColumn="0" w:lastColumn="0" w:oddVBand="0" w:evenVBand="0" w:oddHBand="1" w:evenHBand="0" w:firstRowFirstColumn="0" w:firstRowLastColumn="0" w:lastRowFirstColumn="0" w:lastRowLastColumn="0"/>
              <w:rPr>
                <w:lang w:eastAsia="fr-CH"/>
              </w:rPr>
            </w:pPr>
            <w:r w:rsidRPr="00706B36">
              <w:rPr>
                <w:lang w:eastAsia="fr-CH"/>
              </w:rPr>
              <w:t>Political role of the intervention (policies)</w:t>
            </w:r>
          </w:p>
        </w:tc>
        <w:tc>
          <w:tcPr>
            <w:tcW w:w="2563" w:type="dxa"/>
          </w:tcPr>
          <w:p w:rsidR="0005622A" w:rsidRDefault="0005622A" w:rsidP="0005622A">
            <w:pPr>
              <w:cnfStyle w:val="000000100000" w:firstRow="0" w:lastRow="0" w:firstColumn="0" w:lastColumn="0" w:oddVBand="0" w:evenVBand="0" w:oddHBand="1" w:evenHBand="0" w:firstRowFirstColumn="0" w:firstRowLastColumn="0" w:lastRowFirstColumn="0" w:lastRowLastColumn="0"/>
              <w:rPr>
                <w:lang w:eastAsia="fr-CH"/>
              </w:rPr>
            </w:pPr>
          </w:p>
        </w:tc>
        <w:tc>
          <w:tcPr>
            <w:tcW w:w="2263" w:type="dxa"/>
          </w:tcPr>
          <w:p w:rsidR="0005622A" w:rsidRPr="008C7BF8" w:rsidRDefault="0005622A" w:rsidP="0005622A">
            <w:pPr>
              <w:cnfStyle w:val="000000100000" w:firstRow="0" w:lastRow="0" w:firstColumn="0" w:lastColumn="0" w:oddVBand="0" w:evenVBand="0" w:oddHBand="1" w:evenHBand="0" w:firstRowFirstColumn="0" w:firstRowLastColumn="0" w:lastRowFirstColumn="0" w:lastRowLastColumn="0"/>
              <w:rPr>
                <w:i/>
                <w:sz w:val="18"/>
                <w:lang w:eastAsia="fr-CH"/>
              </w:rPr>
            </w:pPr>
            <w:r w:rsidRPr="008C7BF8">
              <w:rPr>
                <w:i/>
                <w:sz w:val="18"/>
                <w:lang w:eastAsia="fr-CH"/>
              </w:rPr>
              <w:t>Implementation of new policies for AMR</w:t>
            </w:r>
          </w:p>
        </w:tc>
      </w:tr>
      <w:tr w:rsidR="0005622A" w:rsidTr="0005622A">
        <w:tc>
          <w:tcPr>
            <w:cnfStyle w:val="001000000000" w:firstRow="0" w:lastRow="0" w:firstColumn="1" w:lastColumn="0" w:oddVBand="0" w:evenVBand="0" w:oddHBand="0" w:evenHBand="0" w:firstRowFirstColumn="0" w:firstRowLastColumn="0" w:lastRowFirstColumn="0" w:lastRowLastColumn="0"/>
            <w:tcW w:w="1964" w:type="dxa"/>
            <w:vMerge/>
          </w:tcPr>
          <w:p w:rsidR="0005622A" w:rsidRDefault="0005622A" w:rsidP="0005622A">
            <w:pPr>
              <w:rPr>
                <w:lang w:eastAsia="fr-CH"/>
              </w:rPr>
            </w:pPr>
          </w:p>
        </w:tc>
        <w:tc>
          <w:tcPr>
            <w:tcW w:w="2272" w:type="dxa"/>
          </w:tcPr>
          <w:p w:rsidR="0005622A" w:rsidRPr="004E3A59" w:rsidRDefault="0005622A" w:rsidP="0005622A">
            <w:pPr>
              <w:cnfStyle w:val="000000000000" w:firstRow="0" w:lastRow="0" w:firstColumn="0" w:lastColumn="0" w:oddVBand="0" w:evenVBand="0" w:oddHBand="0" w:evenHBand="0" w:firstRowFirstColumn="0" w:firstRowLastColumn="0" w:lastRowFirstColumn="0" w:lastRowLastColumn="0"/>
              <w:rPr>
                <w:rFonts w:eastAsia="Times New Roman"/>
                <w:bdr w:val="none" w:sz="0" w:space="0" w:color="auto" w:frame="1"/>
                <w:lang w:eastAsia="fr-CH"/>
              </w:rPr>
            </w:pPr>
            <w:r>
              <w:rPr>
                <w:rFonts w:eastAsia="Times New Roman"/>
                <w:bdr w:val="none" w:sz="0" w:space="0" w:color="auto" w:frame="1"/>
                <w:lang w:eastAsia="fr-CH"/>
              </w:rPr>
              <w:t>Political role of the intervention (surveillance)</w:t>
            </w:r>
          </w:p>
        </w:tc>
        <w:tc>
          <w:tcPr>
            <w:tcW w:w="2563" w:type="dxa"/>
          </w:tcPr>
          <w:p w:rsidR="0005622A" w:rsidRDefault="0005622A" w:rsidP="0005622A">
            <w:pPr>
              <w:cnfStyle w:val="000000000000" w:firstRow="0" w:lastRow="0" w:firstColumn="0" w:lastColumn="0" w:oddVBand="0" w:evenVBand="0" w:oddHBand="0" w:evenHBand="0" w:firstRowFirstColumn="0" w:firstRowLastColumn="0" w:lastRowFirstColumn="0" w:lastRowLastColumn="0"/>
              <w:rPr>
                <w:lang w:eastAsia="fr-CH"/>
              </w:rPr>
            </w:pPr>
          </w:p>
        </w:tc>
        <w:tc>
          <w:tcPr>
            <w:tcW w:w="2263" w:type="dxa"/>
          </w:tcPr>
          <w:p w:rsidR="0005622A" w:rsidRPr="008C7BF8" w:rsidRDefault="0005622A" w:rsidP="0005622A">
            <w:pPr>
              <w:cnfStyle w:val="000000000000" w:firstRow="0" w:lastRow="0" w:firstColumn="0" w:lastColumn="0" w:oddVBand="0" w:evenVBand="0" w:oddHBand="0" w:evenHBand="0" w:firstRowFirstColumn="0" w:firstRowLastColumn="0" w:lastRowFirstColumn="0" w:lastRowLastColumn="0"/>
              <w:rPr>
                <w:i/>
                <w:sz w:val="18"/>
                <w:lang w:eastAsia="fr-CH"/>
              </w:rPr>
            </w:pPr>
            <w:r w:rsidRPr="008C7BF8">
              <w:rPr>
                <w:i/>
                <w:sz w:val="18"/>
                <w:lang w:eastAsia="fr-CH"/>
              </w:rPr>
              <w:t>new surveillance system developed</w:t>
            </w:r>
          </w:p>
        </w:tc>
      </w:tr>
      <w:tr w:rsidR="0005622A" w:rsidTr="000562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4" w:type="dxa"/>
            <w:vMerge w:val="restart"/>
          </w:tcPr>
          <w:p w:rsidR="0005622A" w:rsidRDefault="0005622A" w:rsidP="0005622A">
            <w:pPr>
              <w:rPr>
                <w:sz w:val="32"/>
                <w:szCs w:val="32"/>
                <w:lang w:eastAsia="fr-CH"/>
              </w:rPr>
            </w:pPr>
            <w:r>
              <w:rPr>
                <w:lang w:eastAsia="fr-CH"/>
              </w:rPr>
              <w:t>Pressure (37)</w:t>
            </w:r>
          </w:p>
          <w:p w:rsidR="0005622A" w:rsidRDefault="0005622A" w:rsidP="0005622A">
            <w:pPr>
              <w:rPr>
                <w:lang w:eastAsia="fr-CH"/>
              </w:rPr>
            </w:pPr>
          </w:p>
        </w:tc>
        <w:tc>
          <w:tcPr>
            <w:tcW w:w="2272" w:type="dxa"/>
            <w:vMerge w:val="restart"/>
          </w:tcPr>
          <w:p w:rsidR="0005622A" w:rsidRDefault="0005622A" w:rsidP="0005622A">
            <w:pPr>
              <w:cnfStyle w:val="000000100000" w:firstRow="0" w:lastRow="0" w:firstColumn="0" w:lastColumn="0" w:oddVBand="0" w:evenVBand="0" w:oddHBand="1" w:evenHBand="0" w:firstRowFirstColumn="0" w:firstRowLastColumn="0" w:lastRowFirstColumn="0" w:lastRowLastColumn="0"/>
              <w:rPr>
                <w:bdr w:val="none" w:sz="0" w:space="0" w:color="auto" w:frame="1"/>
                <w:lang w:eastAsia="fr-CH"/>
              </w:rPr>
            </w:pPr>
            <w:r>
              <w:rPr>
                <w:bdr w:val="none" w:sz="0" w:space="0" w:color="auto" w:frame="1"/>
                <w:lang w:eastAsia="fr-CH"/>
              </w:rPr>
              <w:t>Use of AM (27)</w:t>
            </w:r>
          </w:p>
          <w:p w:rsidR="0005622A" w:rsidRDefault="0005622A" w:rsidP="0005622A">
            <w:pPr>
              <w:cnfStyle w:val="000000100000" w:firstRow="0" w:lastRow="0" w:firstColumn="0" w:lastColumn="0" w:oddVBand="0" w:evenVBand="0" w:oddHBand="1" w:evenHBand="0" w:firstRowFirstColumn="0" w:firstRowLastColumn="0" w:lastRowFirstColumn="0" w:lastRowLastColumn="0"/>
              <w:rPr>
                <w:lang w:eastAsia="fr-CH"/>
              </w:rPr>
            </w:pPr>
          </w:p>
        </w:tc>
        <w:tc>
          <w:tcPr>
            <w:tcW w:w="2563" w:type="dxa"/>
          </w:tcPr>
          <w:p w:rsidR="0005622A" w:rsidRDefault="0005622A" w:rsidP="0005622A">
            <w:pPr>
              <w:cnfStyle w:val="000000100000" w:firstRow="0" w:lastRow="0" w:firstColumn="0" w:lastColumn="0" w:oddVBand="0" w:evenVBand="0" w:oddHBand="1" w:evenHBand="0" w:firstRowFirstColumn="0" w:firstRowLastColumn="0" w:lastRowFirstColumn="0" w:lastRowLastColumn="0"/>
              <w:rPr>
                <w:lang w:eastAsia="fr-CH"/>
              </w:rPr>
            </w:pPr>
            <w:r>
              <w:rPr>
                <w:lang w:eastAsia="fr-CH"/>
              </w:rPr>
              <w:t>Use densities</w:t>
            </w:r>
          </w:p>
          <w:p w:rsidR="0005622A" w:rsidRDefault="0005622A" w:rsidP="0005622A">
            <w:pPr>
              <w:cnfStyle w:val="000000100000" w:firstRow="0" w:lastRow="0" w:firstColumn="0" w:lastColumn="0" w:oddVBand="0" w:evenVBand="0" w:oddHBand="1" w:evenHBand="0" w:firstRowFirstColumn="0" w:firstRowLastColumn="0" w:lastRowFirstColumn="0" w:lastRowLastColumn="0"/>
              <w:rPr>
                <w:lang w:eastAsia="fr-CH"/>
              </w:rPr>
            </w:pPr>
          </w:p>
        </w:tc>
        <w:tc>
          <w:tcPr>
            <w:tcW w:w="2263" w:type="dxa"/>
          </w:tcPr>
          <w:p w:rsidR="0005622A" w:rsidRPr="008C7BF8" w:rsidRDefault="0005622A" w:rsidP="0005622A">
            <w:pPr>
              <w:cnfStyle w:val="000000100000" w:firstRow="0" w:lastRow="0" w:firstColumn="0" w:lastColumn="0" w:oddVBand="0" w:evenVBand="0" w:oddHBand="1" w:evenHBand="0" w:firstRowFirstColumn="0" w:firstRowLastColumn="0" w:lastRowFirstColumn="0" w:lastRowLastColumn="0"/>
              <w:rPr>
                <w:i/>
                <w:sz w:val="18"/>
                <w:bdr w:val="none" w:sz="0" w:space="0" w:color="auto" w:frame="1"/>
                <w:lang w:eastAsia="fr-CH"/>
              </w:rPr>
            </w:pPr>
            <w:r w:rsidRPr="008C7BF8">
              <w:rPr>
                <w:i/>
                <w:sz w:val="18"/>
                <w:bdr w:val="none" w:sz="0" w:space="0" w:color="auto" w:frame="1"/>
                <w:lang w:eastAsia="fr-CH"/>
              </w:rPr>
              <w:t xml:space="preserve">Antimicrobial use density of penicillin </w:t>
            </w:r>
          </w:p>
        </w:tc>
      </w:tr>
      <w:tr w:rsidR="0005622A" w:rsidTr="0005622A">
        <w:tc>
          <w:tcPr>
            <w:cnfStyle w:val="001000000000" w:firstRow="0" w:lastRow="0" w:firstColumn="1" w:lastColumn="0" w:oddVBand="0" w:evenVBand="0" w:oddHBand="0" w:evenHBand="0" w:firstRowFirstColumn="0" w:firstRowLastColumn="0" w:lastRowFirstColumn="0" w:lastRowLastColumn="0"/>
            <w:tcW w:w="1964" w:type="dxa"/>
            <w:vMerge/>
          </w:tcPr>
          <w:p w:rsidR="0005622A" w:rsidRDefault="0005622A" w:rsidP="0005622A">
            <w:pPr>
              <w:rPr>
                <w:lang w:eastAsia="fr-CH"/>
              </w:rPr>
            </w:pPr>
          </w:p>
        </w:tc>
        <w:tc>
          <w:tcPr>
            <w:tcW w:w="2272" w:type="dxa"/>
            <w:vMerge/>
          </w:tcPr>
          <w:p w:rsidR="0005622A" w:rsidRDefault="0005622A" w:rsidP="0005622A">
            <w:pPr>
              <w:cnfStyle w:val="000000000000" w:firstRow="0" w:lastRow="0" w:firstColumn="0" w:lastColumn="0" w:oddVBand="0" w:evenVBand="0" w:oddHBand="0" w:evenHBand="0" w:firstRowFirstColumn="0" w:firstRowLastColumn="0" w:lastRowFirstColumn="0" w:lastRowLastColumn="0"/>
              <w:rPr>
                <w:lang w:eastAsia="fr-CH"/>
              </w:rPr>
            </w:pPr>
          </w:p>
        </w:tc>
        <w:tc>
          <w:tcPr>
            <w:tcW w:w="2563" w:type="dxa"/>
          </w:tcPr>
          <w:p w:rsidR="0005622A" w:rsidRPr="004E3A59" w:rsidRDefault="0005622A" w:rsidP="0005622A">
            <w:pPr>
              <w:cnfStyle w:val="000000000000" w:firstRow="0" w:lastRow="0" w:firstColumn="0" w:lastColumn="0" w:oddVBand="0" w:evenVBand="0" w:oddHBand="0" w:evenHBand="0" w:firstRowFirstColumn="0" w:firstRowLastColumn="0" w:lastRowFirstColumn="0" w:lastRowLastColumn="0"/>
              <w:rPr>
                <w:bdr w:val="none" w:sz="0" w:space="0" w:color="auto" w:frame="1"/>
                <w:lang w:eastAsia="fr-CH"/>
              </w:rPr>
            </w:pPr>
            <w:r>
              <w:rPr>
                <w:bdr w:val="none" w:sz="0" w:space="0" w:color="auto" w:frame="1"/>
                <w:lang w:eastAsia="fr-CH"/>
              </w:rPr>
              <w:t>Use/consumption of AM</w:t>
            </w:r>
          </w:p>
        </w:tc>
        <w:tc>
          <w:tcPr>
            <w:tcW w:w="2263" w:type="dxa"/>
          </w:tcPr>
          <w:p w:rsidR="0005622A" w:rsidRPr="008C7BF8" w:rsidRDefault="0005622A" w:rsidP="0005622A">
            <w:pPr>
              <w:cnfStyle w:val="000000000000" w:firstRow="0" w:lastRow="0" w:firstColumn="0" w:lastColumn="0" w:oddVBand="0" w:evenVBand="0" w:oddHBand="0" w:evenHBand="0" w:firstRowFirstColumn="0" w:firstRowLastColumn="0" w:lastRowFirstColumn="0" w:lastRowLastColumn="0"/>
              <w:rPr>
                <w:i/>
                <w:sz w:val="18"/>
                <w:bdr w:val="none" w:sz="0" w:space="0" w:color="auto" w:frame="1"/>
                <w:lang w:eastAsia="fr-CH"/>
              </w:rPr>
            </w:pPr>
            <w:r w:rsidRPr="008C7BF8">
              <w:rPr>
                <w:i/>
                <w:sz w:val="18"/>
                <w:bdr w:val="none" w:sz="0" w:space="0" w:color="auto" w:frame="1"/>
                <w:lang w:eastAsia="fr-CH"/>
              </w:rPr>
              <w:t xml:space="preserve">Use of AM in intensive care units </w:t>
            </w:r>
          </w:p>
        </w:tc>
      </w:tr>
      <w:tr w:rsidR="0005622A" w:rsidTr="000562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4" w:type="dxa"/>
            <w:vMerge/>
          </w:tcPr>
          <w:p w:rsidR="0005622A" w:rsidRDefault="0005622A" w:rsidP="0005622A">
            <w:pPr>
              <w:rPr>
                <w:lang w:eastAsia="fr-CH"/>
              </w:rPr>
            </w:pPr>
          </w:p>
        </w:tc>
        <w:tc>
          <w:tcPr>
            <w:tcW w:w="2272" w:type="dxa"/>
            <w:vMerge/>
          </w:tcPr>
          <w:p w:rsidR="0005622A" w:rsidRDefault="0005622A" w:rsidP="0005622A">
            <w:pPr>
              <w:cnfStyle w:val="000000100000" w:firstRow="0" w:lastRow="0" w:firstColumn="0" w:lastColumn="0" w:oddVBand="0" w:evenVBand="0" w:oddHBand="1" w:evenHBand="0" w:firstRowFirstColumn="0" w:firstRowLastColumn="0" w:lastRowFirstColumn="0" w:lastRowLastColumn="0"/>
              <w:rPr>
                <w:lang w:eastAsia="fr-CH"/>
              </w:rPr>
            </w:pPr>
          </w:p>
        </w:tc>
        <w:tc>
          <w:tcPr>
            <w:tcW w:w="2563" w:type="dxa"/>
          </w:tcPr>
          <w:p w:rsidR="0005622A" w:rsidRPr="004E3A59" w:rsidRDefault="0005622A" w:rsidP="0005622A">
            <w:pPr>
              <w:cnfStyle w:val="000000100000" w:firstRow="0" w:lastRow="0" w:firstColumn="0" w:lastColumn="0" w:oddVBand="0" w:evenVBand="0" w:oddHBand="1" w:evenHBand="0" w:firstRowFirstColumn="0" w:firstRowLastColumn="0" w:lastRowFirstColumn="0" w:lastRowLastColumn="0"/>
              <w:rPr>
                <w:bdr w:val="none" w:sz="0" w:space="0" w:color="auto" w:frame="1"/>
                <w:lang w:eastAsia="fr-CH"/>
              </w:rPr>
            </w:pPr>
            <w:r>
              <w:rPr>
                <w:bdr w:val="none" w:sz="0" w:space="0" w:color="auto" w:frame="1"/>
                <w:lang w:eastAsia="fr-CH"/>
              </w:rPr>
              <w:t>Rate usage and cost/patient day</w:t>
            </w:r>
          </w:p>
        </w:tc>
        <w:tc>
          <w:tcPr>
            <w:tcW w:w="2263" w:type="dxa"/>
          </w:tcPr>
          <w:p w:rsidR="0005622A" w:rsidRPr="008C7BF8" w:rsidRDefault="0005622A" w:rsidP="0005622A">
            <w:pPr>
              <w:cnfStyle w:val="000000100000" w:firstRow="0" w:lastRow="0" w:firstColumn="0" w:lastColumn="0" w:oddVBand="0" w:evenVBand="0" w:oddHBand="1" w:evenHBand="0" w:firstRowFirstColumn="0" w:firstRowLastColumn="0" w:lastRowFirstColumn="0" w:lastRowLastColumn="0"/>
              <w:rPr>
                <w:i/>
                <w:sz w:val="18"/>
                <w:bdr w:val="none" w:sz="0" w:space="0" w:color="auto" w:frame="1"/>
                <w:lang w:eastAsia="fr-CH"/>
              </w:rPr>
            </w:pPr>
            <w:r w:rsidRPr="008C7BF8">
              <w:rPr>
                <w:i/>
                <w:sz w:val="18"/>
                <w:bdr w:val="none" w:sz="0" w:space="0" w:color="auto" w:frame="1"/>
                <w:lang w:eastAsia="fr-CH"/>
              </w:rPr>
              <w:t>rate of AM usage and cost/patient day</w:t>
            </w:r>
          </w:p>
        </w:tc>
      </w:tr>
      <w:tr w:rsidR="0005622A" w:rsidTr="0005622A">
        <w:tc>
          <w:tcPr>
            <w:cnfStyle w:val="001000000000" w:firstRow="0" w:lastRow="0" w:firstColumn="1" w:lastColumn="0" w:oddVBand="0" w:evenVBand="0" w:oddHBand="0" w:evenHBand="0" w:firstRowFirstColumn="0" w:firstRowLastColumn="0" w:lastRowFirstColumn="0" w:lastRowLastColumn="0"/>
            <w:tcW w:w="1964" w:type="dxa"/>
            <w:vMerge/>
          </w:tcPr>
          <w:p w:rsidR="0005622A" w:rsidRDefault="0005622A" w:rsidP="0005622A">
            <w:pPr>
              <w:rPr>
                <w:lang w:eastAsia="fr-CH"/>
              </w:rPr>
            </w:pPr>
          </w:p>
        </w:tc>
        <w:tc>
          <w:tcPr>
            <w:tcW w:w="2272" w:type="dxa"/>
            <w:vMerge/>
          </w:tcPr>
          <w:p w:rsidR="0005622A" w:rsidRDefault="0005622A" w:rsidP="0005622A">
            <w:pPr>
              <w:cnfStyle w:val="000000000000" w:firstRow="0" w:lastRow="0" w:firstColumn="0" w:lastColumn="0" w:oddVBand="0" w:evenVBand="0" w:oddHBand="0" w:evenHBand="0" w:firstRowFirstColumn="0" w:firstRowLastColumn="0" w:lastRowFirstColumn="0" w:lastRowLastColumn="0"/>
              <w:rPr>
                <w:lang w:eastAsia="fr-CH"/>
              </w:rPr>
            </w:pPr>
          </w:p>
        </w:tc>
        <w:tc>
          <w:tcPr>
            <w:tcW w:w="2563" w:type="dxa"/>
          </w:tcPr>
          <w:p w:rsidR="0005622A" w:rsidRDefault="0005622A" w:rsidP="0005622A">
            <w:pPr>
              <w:cnfStyle w:val="000000000000" w:firstRow="0" w:lastRow="0" w:firstColumn="0" w:lastColumn="0" w:oddVBand="0" w:evenVBand="0" w:oddHBand="0" w:evenHBand="0" w:firstRowFirstColumn="0" w:firstRowLastColumn="0" w:lastRowFirstColumn="0" w:lastRowLastColumn="0"/>
              <w:rPr>
                <w:rFonts w:eastAsia="Times New Roman"/>
                <w:bdr w:val="none" w:sz="0" w:space="0" w:color="auto" w:frame="1"/>
                <w:lang w:eastAsia="fr-CH"/>
              </w:rPr>
            </w:pPr>
            <w:r>
              <w:rPr>
                <w:bdr w:val="none" w:sz="0" w:space="0" w:color="auto" w:frame="1"/>
                <w:lang w:eastAsia="fr-CH"/>
              </w:rPr>
              <w:t>AM treatments</w:t>
            </w:r>
          </w:p>
          <w:p w:rsidR="0005622A" w:rsidRDefault="0005622A" w:rsidP="0005622A">
            <w:pPr>
              <w:cnfStyle w:val="000000000000" w:firstRow="0" w:lastRow="0" w:firstColumn="0" w:lastColumn="0" w:oddVBand="0" w:evenVBand="0" w:oddHBand="0" w:evenHBand="0" w:firstRowFirstColumn="0" w:firstRowLastColumn="0" w:lastRowFirstColumn="0" w:lastRowLastColumn="0"/>
              <w:rPr>
                <w:lang w:eastAsia="fr-CH"/>
              </w:rPr>
            </w:pPr>
          </w:p>
        </w:tc>
        <w:tc>
          <w:tcPr>
            <w:tcW w:w="2263" w:type="dxa"/>
          </w:tcPr>
          <w:p w:rsidR="0005622A" w:rsidRPr="008C7BF8" w:rsidRDefault="0005622A" w:rsidP="0005622A">
            <w:pPr>
              <w:cnfStyle w:val="000000000000" w:firstRow="0" w:lastRow="0" w:firstColumn="0" w:lastColumn="0" w:oddVBand="0" w:evenVBand="0" w:oddHBand="0" w:evenHBand="0" w:firstRowFirstColumn="0" w:firstRowLastColumn="0" w:lastRowFirstColumn="0" w:lastRowLastColumn="0"/>
              <w:rPr>
                <w:i/>
                <w:sz w:val="18"/>
                <w:bdr w:val="none" w:sz="0" w:space="0" w:color="auto" w:frame="1"/>
                <w:lang w:eastAsia="fr-CH"/>
              </w:rPr>
            </w:pPr>
            <w:r w:rsidRPr="008C7BF8">
              <w:rPr>
                <w:i/>
                <w:sz w:val="18"/>
                <w:bdr w:val="none" w:sz="0" w:space="0" w:color="auto" w:frame="1"/>
                <w:lang w:eastAsia="fr-CH"/>
              </w:rPr>
              <w:t xml:space="preserve">total number of patients treated with AM </w:t>
            </w:r>
          </w:p>
        </w:tc>
      </w:tr>
      <w:tr w:rsidR="0005622A" w:rsidTr="000562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4" w:type="dxa"/>
            <w:vMerge/>
          </w:tcPr>
          <w:p w:rsidR="0005622A" w:rsidRDefault="0005622A" w:rsidP="0005622A">
            <w:pPr>
              <w:rPr>
                <w:lang w:eastAsia="fr-CH"/>
              </w:rPr>
            </w:pPr>
          </w:p>
        </w:tc>
        <w:tc>
          <w:tcPr>
            <w:tcW w:w="2272" w:type="dxa"/>
            <w:vMerge/>
          </w:tcPr>
          <w:p w:rsidR="0005622A" w:rsidRDefault="0005622A" w:rsidP="0005622A">
            <w:pPr>
              <w:cnfStyle w:val="000000100000" w:firstRow="0" w:lastRow="0" w:firstColumn="0" w:lastColumn="0" w:oddVBand="0" w:evenVBand="0" w:oddHBand="1" w:evenHBand="0" w:firstRowFirstColumn="0" w:firstRowLastColumn="0" w:lastRowFirstColumn="0" w:lastRowLastColumn="0"/>
              <w:rPr>
                <w:lang w:eastAsia="fr-CH"/>
              </w:rPr>
            </w:pPr>
          </w:p>
        </w:tc>
        <w:tc>
          <w:tcPr>
            <w:tcW w:w="2563" w:type="dxa"/>
          </w:tcPr>
          <w:p w:rsidR="0005622A" w:rsidRPr="004E3A59" w:rsidRDefault="0005622A" w:rsidP="0005622A">
            <w:pPr>
              <w:cnfStyle w:val="000000100000" w:firstRow="0" w:lastRow="0" w:firstColumn="0" w:lastColumn="0" w:oddVBand="0" w:evenVBand="0" w:oddHBand="1" w:evenHBand="0" w:firstRowFirstColumn="0" w:firstRowLastColumn="0" w:lastRowFirstColumn="0" w:lastRowLastColumn="0"/>
              <w:rPr>
                <w:bdr w:val="none" w:sz="0" w:space="0" w:color="auto" w:frame="1"/>
                <w:lang w:eastAsia="fr-CH"/>
              </w:rPr>
            </w:pPr>
            <w:r>
              <w:rPr>
                <w:bdr w:val="none" w:sz="0" w:space="0" w:color="auto" w:frame="1"/>
                <w:lang w:eastAsia="fr-CH"/>
              </w:rPr>
              <w:t>Prescriptions</w:t>
            </w:r>
          </w:p>
        </w:tc>
        <w:tc>
          <w:tcPr>
            <w:tcW w:w="2263" w:type="dxa"/>
          </w:tcPr>
          <w:p w:rsidR="0005622A" w:rsidRPr="008C7BF8" w:rsidRDefault="0005622A" w:rsidP="0005622A">
            <w:pPr>
              <w:cnfStyle w:val="000000100000" w:firstRow="0" w:lastRow="0" w:firstColumn="0" w:lastColumn="0" w:oddVBand="0" w:evenVBand="0" w:oddHBand="1" w:evenHBand="0" w:firstRowFirstColumn="0" w:firstRowLastColumn="0" w:lastRowFirstColumn="0" w:lastRowLastColumn="0"/>
              <w:rPr>
                <w:i/>
                <w:sz w:val="18"/>
                <w:bdr w:val="none" w:sz="0" w:space="0" w:color="auto" w:frame="1"/>
                <w:lang w:eastAsia="fr-CH"/>
              </w:rPr>
            </w:pPr>
            <w:r w:rsidRPr="008C7BF8">
              <w:rPr>
                <w:i/>
                <w:sz w:val="18"/>
                <w:bdr w:val="none" w:sz="0" w:space="0" w:color="auto" w:frame="1"/>
                <w:lang w:eastAsia="fr-CH"/>
              </w:rPr>
              <w:t xml:space="preserve">prescription of </w:t>
            </w:r>
            <w:proofErr w:type="spellStart"/>
            <w:r w:rsidRPr="008C7BF8">
              <w:rPr>
                <w:i/>
                <w:sz w:val="18"/>
                <w:bdr w:val="none" w:sz="0" w:space="0" w:color="auto" w:frame="1"/>
                <w:lang w:eastAsia="fr-CH"/>
              </w:rPr>
              <w:t>cephalosporins</w:t>
            </w:r>
            <w:proofErr w:type="spellEnd"/>
          </w:p>
        </w:tc>
      </w:tr>
      <w:tr w:rsidR="0005622A" w:rsidTr="0005622A">
        <w:tc>
          <w:tcPr>
            <w:cnfStyle w:val="001000000000" w:firstRow="0" w:lastRow="0" w:firstColumn="1" w:lastColumn="0" w:oddVBand="0" w:evenVBand="0" w:oddHBand="0" w:evenHBand="0" w:firstRowFirstColumn="0" w:firstRowLastColumn="0" w:lastRowFirstColumn="0" w:lastRowLastColumn="0"/>
            <w:tcW w:w="1964" w:type="dxa"/>
            <w:vMerge/>
          </w:tcPr>
          <w:p w:rsidR="0005622A" w:rsidRDefault="0005622A" w:rsidP="0005622A">
            <w:pPr>
              <w:rPr>
                <w:lang w:eastAsia="fr-CH"/>
              </w:rPr>
            </w:pPr>
          </w:p>
        </w:tc>
        <w:tc>
          <w:tcPr>
            <w:tcW w:w="2272" w:type="dxa"/>
          </w:tcPr>
          <w:p w:rsidR="0005622A" w:rsidRDefault="0005622A" w:rsidP="0005622A">
            <w:pPr>
              <w:cnfStyle w:val="000000000000" w:firstRow="0" w:lastRow="0" w:firstColumn="0" w:lastColumn="0" w:oddVBand="0" w:evenVBand="0" w:oddHBand="0" w:evenHBand="0" w:firstRowFirstColumn="0" w:firstRowLastColumn="0" w:lastRowFirstColumn="0" w:lastRowLastColumn="0"/>
              <w:rPr>
                <w:lang w:eastAsia="fr-CH"/>
              </w:rPr>
            </w:pPr>
            <w:r>
              <w:rPr>
                <w:lang w:eastAsia="fr-CH"/>
              </w:rPr>
              <w:t>Sales of AM (1)</w:t>
            </w:r>
          </w:p>
        </w:tc>
        <w:tc>
          <w:tcPr>
            <w:tcW w:w="2563" w:type="dxa"/>
          </w:tcPr>
          <w:p w:rsidR="0005622A" w:rsidRDefault="0005622A" w:rsidP="0005622A">
            <w:pPr>
              <w:cnfStyle w:val="000000000000" w:firstRow="0" w:lastRow="0" w:firstColumn="0" w:lastColumn="0" w:oddVBand="0" w:evenVBand="0" w:oddHBand="0" w:evenHBand="0" w:firstRowFirstColumn="0" w:firstRowLastColumn="0" w:lastRowFirstColumn="0" w:lastRowLastColumn="0"/>
              <w:rPr>
                <w:bdr w:val="none" w:sz="0" w:space="0" w:color="auto" w:frame="1"/>
                <w:lang w:eastAsia="fr-CH"/>
              </w:rPr>
            </w:pPr>
          </w:p>
        </w:tc>
        <w:tc>
          <w:tcPr>
            <w:tcW w:w="2263" w:type="dxa"/>
          </w:tcPr>
          <w:p w:rsidR="0005622A" w:rsidRPr="008C7BF8" w:rsidRDefault="0005622A" w:rsidP="0005622A">
            <w:pPr>
              <w:cnfStyle w:val="000000000000" w:firstRow="0" w:lastRow="0" w:firstColumn="0" w:lastColumn="0" w:oddVBand="0" w:evenVBand="0" w:oddHBand="0" w:evenHBand="0" w:firstRowFirstColumn="0" w:firstRowLastColumn="0" w:lastRowFirstColumn="0" w:lastRowLastColumn="0"/>
              <w:rPr>
                <w:i/>
                <w:sz w:val="18"/>
                <w:bdr w:val="none" w:sz="0" w:space="0" w:color="auto" w:frame="1"/>
                <w:lang w:eastAsia="fr-CH"/>
              </w:rPr>
            </w:pPr>
            <w:r w:rsidRPr="008C7BF8">
              <w:rPr>
                <w:i/>
                <w:sz w:val="18"/>
                <w:bdr w:val="none" w:sz="0" w:space="0" w:color="auto" w:frame="1"/>
                <w:lang w:eastAsia="fr-CH"/>
              </w:rPr>
              <w:t>AM sales</w:t>
            </w:r>
          </w:p>
        </w:tc>
      </w:tr>
      <w:tr w:rsidR="0005622A" w:rsidTr="000562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4" w:type="dxa"/>
            <w:vMerge/>
          </w:tcPr>
          <w:p w:rsidR="0005622A" w:rsidRDefault="0005622A" w:rsidP="0005622A">
            <w:pPr>
              <w:rPr>
                <w:lang w:eastAsia="fr-CH"/>
              </w:rPr>
            </w:pPr>
          </w:p>
        </w:tc>
        <w:tc>
          <w:tcPr>
            <w:tcW w:w="2272" w:type="dxa"/>
          </w:tcPr>
          <w:p w:rsidR="0005622A" w:rsidRDefault="0005622A" w:rsidP="0005622A">
            <w:pPr>
              <w:cnfStyle w:val="000000100000" w:firstRow="0" w:lastRow="0" w:firstColumn="0" w:lastColumn="0" w:oddVBand="0" w:evenVBand="0" w:oddHBand="1" w:evenHBand="0" w:firstRowFirstColumn="0" w:firstRowLastColumn="0" w:lastRowFirstColumn="0" w:lastRowLastColumn="0"/>
              <w:rPr>
                <w:lang w:eastAsia="fr-CH"/>
              </w:rPr>
            </w:pPr>
            <w:r>
              <w:rPr>
                <w:bdr w:val="none" w:sz="0" w:space="0" w:color="auto" w:frame="1"/>
                <w:lang w:eastAsia="fr-CH"/>
              </w:rPr>
              <w:t>Costs of AM – cost-effectiveness of the intervention (2)</w:t>
            </w:r>
          </w:p>
        </w:tc>
        <w:tc>
          <w:tcPr>
            <w:tcW w:w="2563" w:type="dxa"/>
          </w:tcPr>
          <w:p w:rsidR="0005622A" w:rsidRDefault="0005622A" w:rsidP="0005622A">
            <w:pPr>
              <w:cnfStyle w:val="000000100000" w:firstRow="0" w:lastRow="0" w:firstColumn="0" w:lastColumn="0" w:oddVBand="0" w:evenVBand="0" w:oddHBand="1" w:evenHBand="0" w:firstRowFirstColumn="0" w:firstRowLastColumn="0" w:lastRowFirstColumn="0" w:lastRowLastColumn="0"/>
              <w:rPr>
                <w:bdr w:val="none" w:sz="0" w:space="0" w:color="auto" w:frame="1"/>
                <w:lang w:eastAsia="fr-CH"/>
              </w:rPr>
            </w:pPr>
          </w:p>
        </w:tc>
        <w:tc>
          <w:tcPr>
            <w:tcW w:w="2263" w:type="dxa"/>
          </w:tcPr>
          <w:p w:rsidR="0005622A" w:rsidRPr="008C7BF8" w:rsidRDefault="0005622A" w:rsidP="0005622A">
            <w:pPr>
              <w:cnfStyle w:val="000000100000" w:firstRow="0" w:lastRow="0" w:firstColumn="0" w:lastColumn="0" w:oddVBand="0" w:evenVBand="0" w:oddHBand="1" w:evenHBand="0" w:firstRowFirstColumn="0" w:firstRowLastColumn="0" w:lastRowFirstColumn="0" w:lastRowLastColumn="0"/>
              <w:rPr>
                <w:i/>
                <w:sz w:val="18"/>
                <w:bdr w:val="none" w:sz="0" w:space="0" w:color="auto" w:frame="1"/>
                <w:lang w:eastAsia="fr-CH"/>
              </w:rPr>
            </w:pPr>
            <w:r w:rsidRPr="008C7BF8">
              <w:rPr>
                <w:i/>
                <w:sz w:val="18"/>
                <w:bdr w:val="none" w:sz="0" w:space="0" w:color="auto" w:frame="1"/>
                <w:lang w:eastAsia="fr-CH"/>
              </w:rPr>
              <w:t>saving in AM sales</w:t>
            </w:r>
          </w:p>
          <w:p w:rsidR="0005622A" w:rsidRPr="008C7BF8" w:rsidRDefault="0005622A" w:rsidP="0005622A">
            <w:pPr>
              <w:cnfStyle w:val="000000100000" w:firstRow="0" w:lastRow="0" w:firstColumn="0" w:lastColumn="0" w:oddVBand="0" w:evenVBand="0" w:oddHBand="1" w:evenHBand="0" w:firstRowFirstColumn="0" w:firstRowLastColumn="0" w:lastRowFirstColumn="0" w:lastRowLastColumn="0"/>
              <w:rPr>
                <w:i/>
                <w:sz w:val="18"/>
                <w:bdr w:val="none" w:sz="0" w:space="0" w:color="auto" w:frame="1"/>
                <w:lang w:eastAsia="fr-CH"/>
              </w:rPr>
            </w:pPr>
            <w:r w:rsidRPr="008C7BF8">
              <w:rPr>
                <w:i/>
                <w:sz w:val="18"/>
                <w:bdr w:val="none" w:sz="0" w:space="0" w:color="auto" w:frame="1"/>
                <w:lang w:eastAsia="fr-CH"/>
              </w:rPr>
              <w:t xml:space="preserve">financial savings in the unit </w:t>
            </w:r>
          </w:p>
        </w:tc>
      </w:tr>
      <w:tr w:rsidR="0005622A" w:rsidTr="0005622A">
        <w:tc>
          <w:tcPr>
            <w:cnfStyle w:val="001000000000" w:firstRow="0" w:lastRow="0" w:firstColumn="1" w:lastColumn="0" w:oddVBand="0" w:evenVBand="0" w:oddHBand="0" w:evenHBand="0" w:firstRowFirstColumn="0" w:firstRowLastColumn="0" w:lastRowFirstColumn="0" w:lastRowLastColumn="0"/>
            <w:tcW w:w="1964" w:type="dxa"/>
            <w:vMerge/>
          </w:tcPr>
          <w:p w:rsidR="0005622A" w:rsidRDefault="0005622A" w:rsidP="0005622A">
            <w:pPr>
              <w:rPr>
                <w:lang w:eastAsia="fr-CH"/>
              </w:rPr>
            </w:pPr>
          </w:p>
        </w:tc>
        <w:tc>
          <w:tcPr>
            <w:tcW w:w="2272" w:type="dxa"/>
          </w:tcPr>
          <w:p w:rsidR="0005622A" w:rsidRPr="004E3A59" w:rsidRDefault="0005622A" w:rsidP="0005622A">
            <w:pPr>
              <w:cnfStyle w:val="000000000000" w:firstRow="0" w:lastRow="0" w:firstColumn="0" w:lastColumn="0" w:oddVBand="0" w:evenVBand="0" w:oddHBand="0" w:evenHBand="0" w:firstRowFirstColumn="0" w:firstRowLastColumn="0" w:lastRowFirstColumn="0" w:lastRowLastColumn="0"/>
              <w:rPr>
                <w:bdr w:val="none" w:sz="0" w:space="0" w:color="auto" w:frame="1"/>
                <w:lang w:eastAsia="fr-CH"/>
              </w:rPr>
            </w:pPr>
            <w:r>
              <w:rPr>
                <w:rFonts w:eastAsia="Times New Roman"/>
                <w:bdr w:val="none" w:sz="0" w:space="0" w:color="auto" w:frame="1"/>
                <w:lang w:eastAsia="fr-CH"/>
              </w:rPr>
              <w:t>Appropriate use of AM (following of guidelines or not) (4)</w:t>
            </w:r>
          </w:p>
        </w:tc>
        <w:tc>
          <w:tcPr>
            <w:tcW w:w="2563" w:type="dxa"/>
          </w:tcPr>
          <w:p w:rsidR="0005622A" w:rsidRDefault="0005622A" w:rsidP="0005622A">
            <w:pPr>
              <w:cnfStyle w:val="000000000000" w:firstRow="0" w:lastRow="0" w:firstColumn="0" w:lastColumn="0" w:oddVBand="0" w:evenVBand="0" w:oddHBand="0" w:evenHBand="0" w:firstRowFirstColumn="0" w:firstRowLastColumn="0" w:lastRowFirstColumn="0" w:lastRowLastColumn="0"/>
              <w:rPr>
                <w:bdr w:val="none" w:sz="0" w:space="0" w:color="auto" w:frame="1"/>
                <w:lang w:eastAsia="fr-CH"/>
              </w:rPr>
            </w:pPr>
          </w:p>
        </w:tc>
        <w:tc>
          <w:tcPr>
            <w:tcW w:w="2263" w:type="dxa"/>
          </w:tcPr>
          <w:p w:rsidR="0005622A" w:rsidRPr="008C7BF8" w:rsidRDefault="0005622A" w:rsidP="0005622A">
            <w:pPr>
              <w:cnfStyle w:val="000000000000" w:firstRow="0" w:lastRow="0" w:firstColumn="0" w:lastColumn="0" w:oddVBand="0" w:evenVBand="0" w:oddHBand="0" w:evenHBand="0" w:firstRowFirstColumn="0" w:firstRowLastColumn="0" w:lastRowFirstColumn="0" w:lastRowLastColumn="0"/>
              <w:rPr>
                <w:i/>
                <w:sz w:val="18"/>
                <w:lang w:eastAsia="fr-CH"/>
              </w:rPr>
            </w:pPr>
            <w:r w:rsidRPr="008C7BF8">
              <w:rPr>
                <w:i/>
                <w:sz w:val="18"/>
                <w:lang w:eastAsia="fr-CH"/>
              </w:rPr>
              <w:t xml:space="preserve">appropriateness of AM treatments for community acquired </w:t>
            </w:r>
            <w:proofErr w:type="spellStart"/>
            <w:r w:rsidRPr="008C7BF8">
              <w:rPr>
                <w:i/>
                <w:sz w:val="18"/>
                <w:lang w:eastAsia="fr-CH"/>
              </w:rPr>
              <w:t>spesis</w:t>
            </w:r>
            <w:proofErr w:type="spellEnd"/>
            <w:r w:rsidRPr="008C7BF8">
              <w:rPr>
                <w:i/>
                <w:sz w:val="18"/>
                <w:lang w:eastAsia="fr-CH"/>
              </w:rPr>
              <w:t xml:space="preserve"> </w:t>
            </w:r>
          </w:p>
        </w:tc>
      </w:tr>
      <w:tr w:rsidR="0005622A" w:rsidTr="000562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4" w:type="dxa"/>
            <w:vMerge/>
          </w:tcPr>
          <w:p w:rsidR="0005622A" w:rsidRDefault="0005622A" w:rsidP="0005622A">
            <w:pPr>
              <w:rPr>
                <w:lang w:eastAsia="fr-CH"/>
              </w:rPr>
            </w:pPr>
          </w:p>
        </w:tc>
        <w:tc>
          <w:tcPr>
            <w:tcW w:w="2272" w:type="dxa"/>
          </w:tcPr>
          <w:p w:rsidR="0005622A" w:rsidRPr="004E3A59" w:rsidRDefault="0005622A" w:rsidP="0005622A">
            <w:pPr>
              <w:cnfStyle w:val="000000100000" w:firstRow="0" w:lastRow="0" w:firstColumn="0" w:lastColumn="0" w:oddVBand="0" w:evenVBand="0" w:oddHBand="1" w:evenHBand="0" w:firstRowFirstColumn="0" w:firstRowLastColumn="0" w:lastRowFirstColumn="0" w:lastRowLastColumn="0"/>
              <w:rPr>
                <w:bdr w:val="none" w:sz="0" w:space="0" w:color="auto" w:frame="1"/>
                <w:lang w:eastAsia="fr-CH"/>
              </w:rPr>
            </w:pPr>
            <w:r>
              <w:rPr>
                <w:bdr w:val="none" w:sz="0" w:space="0" w:color="auto" w:frame="1"/>
                <w:lang w:eastAsia="fr-CH"/>
              </w:rPr>
              <w:t>Price of AM (3)</w:t>
            </w:r>
          </w:p>
        </w:tc>
        <w:tc>
          <w:tcPr>
            <w:tcW w:w="2563" w:type="dxa"/>
          </w:tcPr>
          <w:p w:rsidR="0005622A" w:rsidRDefault="0005622A" w:rsidP="0005622A">
            <w:pPr>
              <w:cnfStyle w:val="000000100000" w:firstRow="0" w:lastRow="0" w:firstColumn="0" w:lastColumn="0" w:oddVBand="0" w:evenVBand="0" w:oddHBand="1" w:evenHBand="0" w:firstRowFirstColumn="0" w:firstRowLastColumn="0" w:lastRowFirstColumn="0" w:lastRowLastColumn="0"/>
              <w:rPr>
                <w:bdr w:val="none" w:sz="0" w:space="0" w:color="auto" w:frame="1"/>
                <w:lang w:eastAsia="fr-CH"/>
              </w:rPr>
            </w:pPr>
          </w:p>
        </w:tc>
        <w:tc>
          <w:tcPr>
            <w:tcW w:w="2263" w:type="dxa"/>
          </w:tcPr>
          <w:p w:rsidR="0005622A" w:rsidRPr="008C7BF8" w:rsidRDefault="0005622A" w:rsidP="0005622A">
            <w:pPr>
              <w:cnfStyle w:val="000000100000" w:firstRow="0" w:lastRow="0" w:firstColumn="0" w:lastColumn="0" w:oddVBand="0" w:evenVBand="0" w:oddHBand="1" w:evenHBand="0" w:firstRowFirstColumn="0" w:firstRowLastColumn="0" w:lastRowFirstColumn="0" w:lastRowLastColumn="0"/>
              <w:rPr>
                <w:i/>
                <w:sz w:val="18"/>
                <w:bdr w:val="none" w:sz="0" w:space="0" w:color="auto" w:frame="1"/>
                <w:lang w:eastAsia="fr-CH"/>
              </w:rPr>
            </w:pPr>
            <w:r w:rsidRPr="008C7BF8">
              <w:rPr>
                <w:i/>
                <w:sz w:val="18"/>
                <w:bdr w:val="none" w:sz="0" w:space="0" w:color="auto" w:frame="1"/>
                <w:lang w:eastAsia="fr-CH"/>
              </w:rPr>
              <w:t xml:space="preserve">price of </w:t>
            </w:r>
            <w:proofErr w:type="spellStart"/>
            <w:r w:rsidRPr="008C7BF8">
              <w:rPr>
                <w:i/>
                <w:sz w:val="18"/>
                <w:bdr w:val="none" w:sz="0" w:space="0" w:color="auto" w:frame="1"/>
                <w:lang w:eastAsia="fr-CH"/>
              </w:rPr>
              <w:t>ciprofloxacine</w:t>
            </w:r>
            <w:proofErr w:type="spellEnd"/>
          </w:p>
        </w:tc>
      </w:tr>
      <w:tr w:rsidR="0005622A" w:rsidTr="0005622A">
        <w:tc>
          <w:tcPr>
            <w:cnfStyle w:val="001000000000" w:firstRow="0" w:lastRow="0" w:firstColumn="1" w:lastColumn="0" w:oddVBand="0" w:evenVBand="0" w:oddHBand="0" w:evenHBand="0" w:firstRowFirstColumn="0" w:firstRowLastColumn="0" w:lastRowFirstColumn="0" w:lastRowLastColumn="0"/>
            <w:tcW w:w="1964" w:type="dxa"/>
            <w:vMerge w:val="restart"/>
          </w:tcPr>
          <w:p w:rsidR="0005622A" w:rsidRDefault="0005622A" w:rsidP="0005622A">
            <w:pPr>
              <w:rPr>
                <w:lang w:eastAsia="fr-CH"/>
              </w:rPr>
            </w:pPr>
            <w:r>
              <w:rPr>
                <w:lang w:eastAsia="fr-CH"/>
              </w:rPr>
              <w:t>Impact (5)</w:t>
            </w:r>
          </w:p>
          <w:p w:rsidR="0005622A" w:rsidRDefault="0005622A" w:rsidP="0005622A">
            <w:pPr>
              <w:rPr>
                <w:lang w:eastAsia="fr-CH"/>
              </w:rPr>
            </w:pPr>
          </w:p>
        </w:tc>
        <w:tc>
          <w:tcPr>
            <w:tcW w:w="2272" w:type="dxa"/>
            <w:vMerge w:val="restart"/>
          </w:tcPr>
          <w:p w:rsidR="0005622A" w:rsidRDefault="0005622A" w:rsidP="0005622A">
            <w:pPr>
              <w:cnfStyle w:val="000000000000" w:firstRow="0" w:lastRow="0" w:firstColumn="0" w:lastColumn="0" w:oddVBand="0" w:evenVBand="0" w:oddHBand="0" w:evenHBand="0" w:firstRowFirstColumn="0" w:firstRowLastColumn="0" w:lastRowFirstColumn="0" w:lastRowLastColumn="0"/>
              <w:rPr>
                <w:lang w:eastAsia="fr-CH"/>
              </w:rPr>
            </w:pPr>
            <w:r>
              <w:rPr>
                <w:rFonts w:eastAsia="Times New Roman"/>
                <w:bdr w:val="none" w:sz="0" w:space="0" w:color="auto" w:frame="1"/>
                <w:lang w:eastAsia="fr-CH"/>
              </w:rPr>
              <w:t>Morbidity (5)</w:t>
            </w:r>
          </w:p>
        </w:tc>
        <w:tc>
          <w:tcPr>
            <w:tcW w:w="2563" w:type="dxa"/>
          </w:tcPr>
          <w:p w:rsidR="0005622A" w:rsidRPr="004E3A59" w:rsidRDefault="0005622A" w:rsidP="0005622A">
            <w:pPr>
              <w:cnfStyle w:val="000000000000" w:firstRow="0" w:lastRow="0" w:firstColumn="0" w:lastColumn="0" w:oddVBand="0" w:evenVBand="0" w:oddHBand="0" w:evenHBand="0" w:firstRowFirstColumn="0" w:firstRowLastColumn="0" w:lastRowFirstColumn="0" w:lastRowLastColumn="0"/>
              <w:rPr>
                <w:lang w:eastAsia="fr-CH"/>
              </w:rPr>
            </w:pPr>
            <w:r>
              <w:rPr>
                <w:lang w:eastAsia="fr-CH"/>
              </w:rPr>
              <w:t>Onset contamination at hospital (nosocomial infections)</w:t>
            </w:r>
          </w:p>
        </w:tc>
        <w:tc>
          <w:tcPr>
            <w:tcW w:w="2263" w:type="dxa"/>
          </w:tcPr>
          <w:p w:rsidR="0005622A" w:rsidRPr="008C7BF8" w:rsidRDefault="0005622A" w:rsidP="0005622A">
            <w:pPr>
              <w:cnfStyle w:val="000000000000" w:firstRow="0" w:lastRow="0" w:firstColumn="0" w:lastColumn="0" w:oddVBand="0" w:evenVBand="0" w:oddHBand="0" w:evenHBand="0" w:firstRowFirstColumn="0" w:firstRowLastColumn="0" w:lastRowFirstColumn="0" w:lastRowLastColumn="0"/>
              <w:rPr>
                <w:i/>
                <w:sz w:val="18"/>
                <w:bdr w:val="none" w:sz="0" w:space="0" w:color="auto" w:frame="1"/>
                <w:lang w:eastAsia="fr-CH"/>
              </w:rPr>
            </w:pPr>
            <w:r w:rsidRPr="008C7BF8">
              <w:rPr>
                <w:i/>
                <w:sz w:val="18"/>
                <w:bdr w:val="none" w:sz="0" w:space="0" w:color="auto" w:frame="1"/>
                <w:lang w:eastAsia="fr-CH"/>
              </w:rPr>
              <w:t>proportion of hospital onset contamination</w:t>
            </w:r>
          </w:p>
        </w:tc>
      </w:tr>
      <w:tr w:rsidR="0005622A" w:rsidTr="000562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4" w:type="dxa"/>
            <w:vMerge/>
          </w:tcPr>
          <w:p w:rsidR="0005622A" w:rsidRDefault="0005622A" w:rsidP="0005622A">
            <w:pPr>
              <w:rPr>
                <w:lang w:eastAsia="fr-CH"/>
              </w:rPr>
            </w:pPr>
          </w:p>
        </w:tc>
        <w:tc>
          <w:tcPr>
            <w:tcW w:w="2272" w:type="dxa"/>
            <w:vMerge/>
          </w:tcPr>
          <w:p w:rsidR="0005622A" w:rsidRDefault="0005622A" w:rsidP="0005622A">
            <w:pPr>
              <w:cnfStyle w:val="000000100000" w:firstRow="0" w:lastRow="0" w:firstColumn="0" w:lastColumn="0" w:oddVBand="0" w:evenVBand="0" w:oddHBand="1" w:evenHBand="0" w:firstRowFirstColumn="0" w:firstRowLastColumn="0" w:lastRowFirstColumn="0" w:lastRowLastColumn="0"/>
              <w:rPr>
                <w:lang w:eastAsia="fr-CH"/>
              </w:rPr>
            </w:pPr>
          </w:p>
        </w:tc>
        <w:tc>
          <w:tcPr>
            <w:tcW w:w="2563" w:type="dxa"/>
          </w:tcPr>
          <w:p w:rsidR="0005622A" w:rsidRDefault="0005622A" w:rsidP="0005622A">
            <w:pPr>
              <w:cnfStyle w:val="000000100000" w:firstRow="0" w:lastRow="0" w:firstColumn="0" w:lastColumn="0" w:oddVBand="0" w:evenVBand="0" w:oddHBand="1" w:evenHBand="0" w:firstRowFirstColumn="0" w:firstRowLastColumn="0" w:lastRowFirstColumn="0" w:lastRowLastColumn="0"/>
              <w:rPr>
                <w:bdr w:val="none" w:sz="0" w:space="0" w:color="auto" w:frame="1"/>
                <w:lang w:eastAsia="fr-CH"/>
              </w:rPr>
            </w:pPr>
            <w:r>
              <w:rPr>
                <w:bdr w:val="none" w:sz="0" w:space="0" w:color="auto" w:frame="1"/>
                <w:lang w:eastAsia="fr-CH"/>
              </w:rPr>
              <w:t>Confirmed cases with resistant micro-organism</w:t>
            </w:r>
          </w:p>
        </w:tc>
        <w:tc>
          <w:tcPr>
            <w:tcW w:w="2263" w:type="dxa"/>
          </w:tcPr>
          <w:p w:rsidR="0005622A" w:rsidRPr="008C7BF8" w:rsidRDefault="0005622A" w:rsidP="0005622A">
            <w:pPr>
              <w:cnfStyle w:val="000000100000" w:firstRow="0" w:lastRow="0" w:firstColumn="0" w:lastColumn="0" w:oddVBand="0" w:evenVBand="0" w:oddHBand="1" w:evenHBand="0" w:firstRowFirstColumn="0" w:firstRowLastColumn="0" w:lastRowFirstColumn="0" w:lastRowLastColumn="0"/>
              <w:rPr>
                <w:i/>
                <w:sz w:val="18"/>
                <w:bdr w:val="none" w:sz="0" w:space="0" w:color="auto" w:frame="1"/>
                <w:lang w:eastAsia="fr-CH"/>
              </w:rPr>
            </w:pPr>
            <w:r w:rsidRPr="008C7BF8">
              <w:rPr>
                <w:i/>
                <w:sz w:val="18"/>
                <w:bdr w:val="none" w:sz="0" w:space="0" w:color="auto" w:frame="1"/>
                <w:lang w:eastAsia="fr-CH"/>
              </w:rPr>
              <w:t xml:space="preserve">recording of new patients infected by GRE </w:t>
            </w:r>
          </w:p>
        </w:tc>
      </w:tr>
      <w:tr w:rsidR="0005622A" w:rsidTr="0005622A">
        <w:tc>
          <w:tcPr>
            <w:cnfStyle w:val="001000000000" w:firstRow="0" w:lastRow="0" w:firstColumn="1" w:lastColumn="0" w:oddVBand="0" w:evenVBand="0" w:oddHBand="0" w:evenHBand="0" w:firstRowFirstColumn="0" w:firstRowLastColumn="0" w:lastRowFirstColumn="0" w:lastRowLastColumn="0"/>
            <w:tcW w:w="1964" w:type="dxa"/>
            <w:vMerge w:val="restart"/>
          </w:tcPr>
          <w:p w:rsidR="0005622A" w:rsidRDefault="0005622A" w:rsidP="0005622A">
            <w:pPr>
              <w:rPr>
                <w:lang w:eastAsia="fr-CH"/>
              </w:rPr>
            </w:pPr>
            <w:r>
              <w:rPr>
                <w:lang w:eastAsia="fr-CH"/>
              </w:rPr>
              <w:t>State (59)</w:t>
            </w:r>
          </w:p>
          <w:p w:rsidR="0005622A" w:rsidRDefault="0005622A" w:rsidP="0005622A">
            <w:pPr>
              <w:rPr>
                <w:lang w:eastAsia="fr-CH"/>
              </w:rPr>
            </w:pPr>
          </w:p>
        </w:tc>
        <w:tc>
          <w:tcPr>
            <w:tcW w:w="2272" w:type="dxa"/>
            <w:vMerge w:val="restart"/>
          </w:tcPr>
          <w:p w:rsidR="0005622A" w:rsidRDefault="0005622A" w:rsidP="0005622A">
            <w:pPr>
              <w:cnfStyle w:val="000000000000" w:firstRow="0" w:lastRow="0" w:firstColumn="0" w:lastColumn="0" w:oddVBand="0" w:evenVBand="0" w:oddHBand="0" w:evenHBand="0" w:firstRowFirstColumn="0" w:firstRowLastColumn="0" w:lastRowFirstColumn="0" w:lastRowLastColumn="0"/>
              <w:rPr>
                <w:lang w:eastAsia="fr-CH"/>
              </w:rPr>
            </w:pPr>
            <w:r>
              <w:rPr>
                <w:lang w:eastAsia="fr-CH"/>
              </w:rPr>
              <w:t>Presence of resistance microorganism and identification of AMR genes (28)</w:t>
            </w:r>
          </w:p>
        </w:tc>
        <w:tc>
          <w:tcPr>
            <w:tcW w:w="2563" w:type="dxa"/>
          </w:tcPr>
          <w:p w:rsidR="0005622A" w:rsidRPr="004E3A59" w:rsidRDefault="0005622A" w:rsidP="0005622A">
            <w:pPr>
              <w:cnfStyle w:val="000000000000" w:firstRow="0" w:lastRow="0" w:firstColumn="0" w:lastColumn="0" w:oddVBand="0" w:evenVBand="0" w:oddHBand="0" w:evenHBand="0" w:firstRowFirstColumn="0" w:firstRowLastColumn="0" w:lastRowFirstColumn="0" w:lastRowLastColumn="0"/>
              <w:rPr>
                <w:lang w:eastAsia="fr-CH"/>
              </w:rPr>
            </w:pPr>
            <w:r>
              <w:rPr>
                <w:lang w:eastAsia="fr-CH"/>
              </w:rPr>
              <w:t>Identification of resistant microorganisms (count, incidence)</w:t>
            </w:r>
          </w:p>
        </w:tc>
        <w:tc>
          <w:tcPr>
            <w:tcW w:w="2263" w:type="dxa"/>
          </w:tcPr>
          <w:p w:rsidR="0005622A" w:rsidRPr="008C7BF8" w:rsidRDefault="0005622A" w:rsidP="0005622A">
            <w:pPr>
              <w:cnfStyle w:val="000000000000" w:firstRow="0" w:lastRow="0" w:firstColumn="0" w:lastColumn="0" w:oddVBand="0" w:evenVBand="0" w:oddHBand="0" w:evenHBand="0" w:firstRowFirstColumn="0" w:firstRowLastColumn="0" w:lastRowFirstColumn="0" w:lastRowLastColumn="0"/>
              <w:rPr>
                <w:i/>
                <w:sz w:val="18"/>
                <w:bdr w:val="none" w:sz="0" w:space="0" w:color="auto" w:frame="1"/>
                <w:lang w:eastAsia="fr-CH"/>
              </w:rPr>
            </w:pPr>
            <w:r w:rsidRPr="008C7BF8">
              <w:rPr>
                <w:i/>
                <w:sz w:val="18"/>
                <w:bdr w:val="none" w:sz="0" w:space="0" w:color="auto" w:frame="1"/>
                <w:lang w:eastAsia="fr-CH"/>
              </w:rPr>
              <w:t xml:space="preserve">Resistance to </w:t>
            </w:r>
            <w:proofErr w:type="spellStart"/>
            <w:r w:rsidRPr="008C7BF8">
              <w:rPr>
                <w:i/>
                <w:sz w:val="18"/>
                <w:bdr w:val="none" w:sz="0" w:space="0" w:color="auto" w:frame="1"/>
                <w:lang w:eastAsia="fr-CH"/>
              </w:rPr>
              <w:t>florfenicol</w:t>
            </w:r>
            <w:proofErr w:type="spellEnd"/>
            <w:r w:rsidRPr="008C7BF8">
              <w:rPr>
                <w:i/>
                <w:sz w:val="18"/>
                <w:bdr w:val="none" w:sz="0" w:space="0" w:color="auto" w:frame="1"/>
                <w:lang w:eastAsia="fr-CH"/>
              </w:rPr>
              <w:t xml:space="preserve"> in E. coli streptomycin resistant E. coli</w:t>
            </w:r>
          </w:p>
        </w:tc>
      </w:tr>
      <w:tr w:rsidR="0005622A" w:rsidRPr="00C37771" w:rsidTr="000562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4" w:type="dxa"/>
            <w:vMerge/>
          </w:tcPr>
          <w:p w:rsidR="0005622A" w:rsidRDefault="0005622A" w:rsidP="0005622A">
            <w:pPr>
              <w:rPr>
                <w:lang w:eastAsia="fr-CH"/>
              </w:rPr>
            </w:pPr>
          </w:p>
        </w:tc>
        <w:tc>
          <w:tcPr>
            <w:tcW w:w="2272" w:type="dxa"/>
            <w:vMerge/>
          </w:tcPr>
          <w:p w:rsidR="0005622A" w:rsidRDefault="0005622A" w:rsidP="0005622A">
            <w:pPr>
              <w:cnfStyle w:val="000000100000" w:firstRow="0" w:lastRow="0" w:firstColumn="0" w:lastColumn="0" w:oddVBand="0" w:evenVBand="0" w:oddHBand="1" w:evenHBand="0" w:firstRowFirstColumn="0" w:firstRowLastColumn="0" w:lastRowFirstColumn="0" w:lastRowLastColumn="0"/>
              <w:rPr>
                <w:lang w:eastAsia="fr-CH"/>
              </w:rPr>
            </w:pPr>
          </w:p>
        </w:tc>
        <w:tc>
          <w:tcPr>
            <w:tcW w:w="2563" w:type="dxa"/>
          </w:tcPr>
          <w:p w:rsidR="0005622A" w:rsidRPr="00E40AC6" w:rsidRDefault="0005622A" w:rsidP="0005622A">
            <w:pPr>
              <w:cnfStyle w:val="000000100000" w:firstRow="0" w:lastRow="0" w:firstColumn="0" w:lastColumn="0" w:oddVBand="0" w:evenVBand="0" w:oddHBand="1" w:evenHBand="0" w:firstRowFirstColumn="0" w:firstRowLastColumn="0" w:lastRowFirstColumn="0" w:lastRowLastColumn="0"/>
              <w:rPr>
                <w:lang w:eastAsia="fr-CH"/>
              </w:rPr>
            </w:pPr>
            <w:r>
              <w:rPr>
                <w:lang w:eastAsia="fr-CH"/>
              </w:rPr>
              <w:t>Identification and/or production of AMR gene</w:t>
            </w:r>
          </w:p>
        </w:tc>
        <w:tc>
          <w:tcPr>
            <w:tcW w:w="2263" w:type="dxa"/>
          </w:tcPr>
          <w:p w:rsidR="0005622A" w:rsidRPr="008C7BF8" w:rsidRDefault="0005622A" w:rsidP="0005622A">
            <w:pPr>
              <w:cnfStyle w:val="000000100000" w:firstRow="0" w:lastRow="0" w:firstColumn="0" w:lastColumn="0" w:oddVBand="0" w:evenVBand="0" w:oddHBand="1" w:evenHBand="0" w:firstRowFirstColumn="0" w:firstRowLastColumn="0" w:lastRowFirstColumn="0" w:lastRowLastColumn="0"/>
              <w:rPr>
                <w:i/>
                <w:sz w:val="18"/>
                <w:bdr w:val="none" w:sz="0" w:space="0" w:color="auto" w:frame="1"/>
                <w:lang w:val="fr-CH" w:eastAsia="fr-CH"/>
              </w:rPr>
            </w:pPr>
            <w:proofErr w:type="gramStart"/>
            <w:r w:rsidRPr="008C7BF8">
              <w:rPr>
                <w:i/>
                <w:sz w:val="18"/>
                <w:bdr w:val="none" w:sz="0" w:space="0" w:color="auto" w:frame="1"/>
                <w:lang w:val="fr-CH" w:eastAsia="fr-CH"/>
              </w:rPr>
              <w:t>CA</w:t>
            </w:r>
            <w:proofErr w:type="gramEnd"/>
            <w:r w:rsidRPr="008C7BF8">
              <w:rPr>
                <w:i/>
                <w:sz w:val="18"/>
                <w:bdr w:val="none" w:sz="0" w:space="0" w:color="auto" w:frame="1"/>
                <w:lang w:val="fr-CH" w:eastAsia="fr-CH"/>
              </w:rPr>
              <w:t xml:space="preserve">-MRSA </w:t>
            </w:r>
            <w:proofErr w:type="spellStart"/>
            <w:r w:rsidRPr="008C7BF8">
              <w:rPr>
                <w:i/>
                <w:sz w:val="18"/>
                <w:bdr w:val="none" w:sz="0" w:space="0" w:color="auto" w:frame="1"/>
                <w:lang w:val="fr-CH" w:eastAsia="fr-CH"/>
              </w:rPr>
              <w:t>genotypes</w:t>
            </w:r>
            <w:proofErr w:type="spellEnd"/>
          </w:p>
          <w:p w:rsidR="0005622A" w:rsidRPr="008C7BF8" w:rsidRDefault="0005622A" w:rsidP="00E40AC6">
            <w:pPr>
              <w:cnfStyle w:val="000000100000" w:firstRow="0" w:lastRow="0" w:firstColumn="0" w:lastColumn="0" w:oddVBand="0" w:evenVBand="0" w:oddHBand="1" w:evenHBand="0" w:firstRowFirstColumn="0" w:firstRowLastColumn="0" w:lastRowFirstColumn="0" w:lastRowLastColumn="0"/>
              <w:rPr>
                <w:i/>
                <w:sz w:val="18"/>
                <w:bdr w:val="none" w:sz="0" w:space="0" w:color="auto" w:frame="1"/>
                <w:lang w:val="fr-CH" w:eastAsia="fr-CH"/>
              </w:rPr>
            </w:pPr>
            <w:proofErr w:type="spellStart"/>
            <w:r w:rsidRPr="008C7BF8">
              <w:rPr>
                <w:i/>
                <w:sz w:val="18"/>
                <w:bdr w:val="none" w:sz="0" w:space="0" w:color="auto" w:frame="1"/>
                <w:lang w:val="fr-CH" w:eastAsia="fr-CH"/>
              </w:rPr>
              <w:t>cephalosporins</w:t>
            </w:r>
            <w:proofErr w:type="spellEnd"/>
            <w:r w:rsidRPr="008C7BF8">
              <w:rPr>
                <w:i/>
                <w:sz w:val="18"/>
                <w:bdr w:val="none" w:sz="0" w:space="0" w:color="auto" w:frame="1"/>
                <w:lang w:val="fr-CH" w:eastAsia="fr-CH"/>
              </w:rPr>
              <w:t xml:space="preserve"> III </w:t>
            </w:r>
            <w:proofErr w:type="spellStart"/>
            <w:r w:rsidRPr="008C7BF8">
              <w:rPr>
                <w:i/>
                <w:sz w:val="18"/>
                <w:bdr w:val="none" w:sz="0" w:space="0" w:color="auto" w:frame="1"/>
                <w:lang w:val="fr-CH" w:eastAsia="fr-CH"/>
              </w:rPr>
              <w:t>gen</w:t>
            </w:r>
            <w:proofErr w:type="spellEnd"/>
          </w:p>
        </w:tc>
      </w:tr>
      <w:tr w:rsidR="0005622A" w:rsidTr="00E40AC6">
        <w:trPr>
          <w:trHeight w:val="1159"/>
        </w:trPr>
        <w:tc>
          <w:tcPr>
            <w:cnfStyle w:val="001000000000" w:firstRow="0" w:lastRow="0" w:firstColumn="1" w:lastColumn="0" w:oddVBand="0" w:evenVBand="0" w:oddHBand="0" w:evenHBand="0" w:firstRowFirstColumn="0" w:firstRowLastColumn="0" w:lastRowFirstColumn="0" w:lastRowLastColumn="0"/>
            <w:tcW w:w="1964" w:type="dxa"/>
            <w:vMerge/>
          </w:tcPr>
          <w:p w:rsidR="0005622A" w:rsidRPr="004E3A59" w:rsidRDefault="0005622A" w:rsidP="0005622A">
            <w:pPr>
              <w:rPr>
                <w:lang w:val="fr-CH" w:eastAsia="fr-CH"/>
              </w:rPr>
            </w:pPr>
          </w:p>
        </w:tc>
        <w:tc>
          <w:tcPr>
            <w:tcW w:w="2272" w:type="dxa"/>
            <w:vMerge w:val="restart"/>
          </w:tcPr>
          <w:p w:rsidR="0005622A" w:rsidRDefault="0005622A" w:rsidP="0005622A">
            <w:pPr>
              <w:cnfStyle w:val="000000000000" w:firstRow="0" w:lastRow="0" w:firstColumn="0" w:lastColumn="0" w:oddVBand="0" w:evenVBand="0" w:oddHBand="0" w:evenHBand="0" w:firstRowFirstColumn="0" w:firstRowLastColumn="0" w:lastRowFirstColumn="0" w:lastRowLastColumn="0"/>
              <w:rPr>
                <w:bdr w:val="none" w:sz="0" w:space="0" w:color="auto" w:frame="1"/>
                <w:lang w:eastAsia="fr-CH"/>
              </w:rPr>
            </w:pPr>
            <w:r>
              <w:rPr>
                <w:bdr w:val="none" w:sz="0" w:space="0" w:color="auto" w:frame="1"/>
                <w:lang w:eastAsia="fr-CH"/>
              </w:rPr>
              <w:t>Prevalence of AMR of a specific microorganism (26)</w:t>
            </w:r>
          </w:p>
          <w:p w:rsidR="0005622A" w:rsidRDefault="0005622A" w:rsidP="0005622A">
            <w:pPr>
              <w:cnfStyle w:val="000000000000" w:firstRow="0" w:lastRow="0" w:firstColumn="0" w:lastColumn="0" w:oddVBand="0" w:evenVBand="0" w:oddHBand="0" w:evenHBand="0" w:firstRowFirstColumn="0" w:firstRowLastColumn="0" w:lastRowFirstColumn="0" w:lastRowLastColumn="0"/>
              <w:rPr>
                <w:lang w:eastAsia="fr-CH"/>
              </w:rPr>
            </w:pPr>
          </w:p>
        </w:tc>
        <w:tc>
          <w:tcPr>
            <w:tcW w:w="2563" w:type="dxa"/>
          </w:tcPr>
          <w:p w:rsidR="0005622A" w:rsidRDefault="0005622A" w:rsidP="0005622A">
            <w:pPr>
              <w:cnfStyle w:val="000000000000" w:firstRow="0" w:lastRow="0" w:firstColumn="0" w:lastColumn="0" w:oddVBand="0" w:evenVBand="0" w:oddHBand="0" w:evenHBand="0" w:firstRowFirstColumn="0" w:firstRowLastColumn="0" w:lastRowFirstColumn="0" w:lastRowLastColumn="0"/>
              <w:rPr>
                <w:lang w:eastAsia="fr-CH"/>
              </w:rPr>
            </w:pPr>
            <w:r>
              <w:rPr>
                <w:lang w:eastAsia="fr-CH"/>
              </w:rPr>
              <w:t xml:space="preserve">Prevalence </w:t>
            </w:r>
          </w:p>
          <w:p w:rsidR="0005622A" w:rsidRDefault="0005622A" w:rsidP="0005622A">
            <w:pPr>
              <w:cnfStyle w:val="000000000000" w:firstRow="0" w:lastRow="0" w:firstColumn="0" w:lastColumn="0" w:oddVBand="0" w:evenVBand="0" w:oddHBand="0" w:evenHBand="0" w:firstRowFirstColumn="0" w:firstRowLastColumn="0" w:lastRowFirstColumn="0" w:lastRowLastColumn="0"/>
              <w:rPr>
                <w:bdr w:val="none" w:sz="0" w:space="0" w:color="auto" w:frame="1"/>
                <w:lang w:eastAsia="fr-CH"/>
              </w:rPr>
            </w:pPr>
          </w:p>
        </w:tc>
        <w:tc>
          <w:tcPr>
            <w:tcW w:w="2263" w:type="dxa"/>
          </w:tcPr>
          <w:p w:rsidR="0005622A" w:rsidRPr="008C7BF8" w:rsidRDefault="0005622A" w:rsidP="0005622A">
            <w:pPr>
              <w:cnfStyle w:val="000000000000" w:firstRow="0" w:lastRow="0" w:firstColumn="0" w:lastColumn="0" w:oddVBand="0" w:evenVBand="0" w:oddHBand="0" w:evenHBand="0" w:firstRowFirstColumn="0" w:firstRowLastColumn="0" w:lastRowFirstColumn="0" w:lastRowLastColumn="0"/>
              <w:rPr>
                <w:i/>
                <w:sz w:val="18"/>
                <w:bdr w:val="none" w:sz="0" w:space="0" w:color="auto" w:frame="1"/>
                <w:lang w:eastAsia="fr-CH"/>
              </w:rPr>
            </w:pPr>
            <w:r w:rsidRPr="008C7BF8">
              <w:rPr>
                <w:i/>
                <w:sz w:val="18"/>
                <w:bdr w:val="none" w:sz="0" w:space="0" w:color="auto" w:frame="1"/>
                <w:lang w:eastAsia="fr-CH"/>
              </w:rPr>
              <w:t>prevalence E. coli multidrug resistant</w:t>
            </w:r>
          </w:p>
          <w:p w:rsidR="0005622A" w:rsidRPr="008C7BF8" w:rsidRDefault="0005622A" w:rsidP="0005622A">
            <w:pPr>
              <w:cnfStyle w:val="000000000000" w:firstRow="0" w:lastRow="0" w:firstColumn="0" w:lastColumn="0" w:oddVBand="0" w:evenVBand="0" w:oddHBand="0" w:evenHBand="0" w:firstRowFirstColumn="0" w:firstRowLastColumn="0" w:lastRowFirstColumn="0" w:lastRowLastColumn="0"/>
              <w:rPr>
                <w:i/>
                <w:sz w:val="18"/>
                <w:bdr w:val="none" w:sz="0" w:space="0" w:color="auto" w:frame="1"/>
                <w:lang w:eastAsia="fr-CH"/>
              </w:rPr>
            </w:pPr>
            <w:r w:rsidRPr="008C7BF8">
              <w:rPr>
                <w:i/>
                <w:sz w:val="18"/>
                <w:bdr w:val="none" w:sz="0" w:space="0" w:color="auto" w:frame="1"/>
                <w:lang w:eastAsia="fr-CH"/>
              </w:rPr>
              <w:t>prevalence of intestinal carriage with GRE</w:t>
            </w:r>
          </w:p>
        </w:tc>
      </w:tr>
      <w:tr w:rsidR="0005622A" w:rsidTr="00E40AC6">
        <w:trPr>
          <w:cnfStyle w:val="000000100000" w:firstRow="0" w:lastRow="0" w:firstColumn="0" w:lastColumn="0" w:oddVBand="0" w:evenVBand="0" w:oddHBand="1" w:evenHBand="0"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1964" w:type="dxa"/>
            <w:vMerge/>
          </w:tcPr>
          <w:p w:rsidR="0005622A" w:rsidRDefault="0005622A" w:rsidP="0005622A">
            <w:pPr>
              <w:rPr>
                <w:lang w:eastAsia="fr-CH"/>
              </w:rPr>
            </w:pPr>
          </w:p>
        </w:tc>
        <w:tc>
          <w:tcPr>
            <w:tcW w:w="2272" w:type="dxa"/>
            <w:vMerge/>
          </w:tcPr>
          <w:p w:rsidR="0005622A" w:rsidRDefault="0005622A" w:rsidP="0005622A">
            <w:pPr>
              <w:cnfStyle w:val="000000100000" w:firstRow="0" w:lastRow="0" w:firstColumn="0" w:lastColumn="0" w:oddVBand="0" w:evenVBand="0" w:oddHBand="1" w:evenHBand="0" w:firstRowFirstColumn="0" w:firstRowLastColumn="0" w:lastRowFirstColumn="0" w:lastRowLastColumn="0"/>
              <w:rPr>
                <w:lang w:eastAsia="fr-CH"/>
              </w:rPr>
            </w:pPr>
          </w:p>
        </w:tc>
        <w:tc>
          <w:tcPr>
            <w:tcW w:w="2563" w:type="dxa"/>
          </w:tcPr>
          <w:p w:rsidR="0005622A" w:rsidRPr="00E40AC6" w:rsidRDefault="00E40AC6" w:rsidP="0005622A">
            <w:pPr>
              <w:cnfStyle w:val="000000100000" w:firstRow="0" w:lastRow="0" w:firstColumn="0" w:lastColumn="0" w:oddVBand="0" w:evenVBand="0" w:oddHBand="1" w:evenHBand="0" w:firstRowFirstColumn="0" w:firstRowLastColumn="0" w:lastRowFirstColumn="0" w:lastRowLastColumn="0"/>
              <w:rPr>
                <w:lang w:eastAsia="fr-CH"/>
              </w:rPr>
            </w:pPr>
            <w:r>
              <w:rPr>
                <w:lang w:eastAsia="fr-CH"/>
              </w:rPr>
              <w:t>Rate</w:t>
            </w:r>
          </w:p>
        </w:tc>
        <w:tc>
          <w:tcPr>
            <w:tcW w:w="2263" w:type="dxa"/>
          </w:tcPr>
          <w:p w:rsidR="0005622A" w:rsidRPr="008C7BF8" w:rsidRDefault="0005622A" w:rsidP="0005622A">
            <w:pPr>
              <w:cnfStyle w:val="000000100000" w:firstRow="0" w:lastRow="0" w:firstColumn="0" w:lastColumn="0" w:oddVBand="0" w:evenVBand="0" w:oddHBand="1" w:evenHBand="0" w:firstRowFirstColumn="0" w:firstRowLastColumn="0" w:lastRowFirstColumn="0" w:lastRowLastColumn="0"/>
              <w:rPr>
                <w:i/>
                <w:sz w:val="18"/>
                <w:bdr w:val="none" w:sz="0" w:space="0" w:color="auto" w:frame="1"/>
                <w:lang w:eastAsia="fr-CH"/>
              </w:rPr>
            </w:pPr>
            <w:r w:rsidRPr="008C7BF8">
              <w:rPr>
                <w:i/>
                <w:sz w:val="18"/>
                <w:bdr w:val="none" w:sz="0" w:space="0" w:color="auto" w:frame="1"/>
                <w:lang w:eastAsia="fr-CH"/>
              </w:rPr>
              <w:t>Rate of resistance among selected bacteria</w:t>
            </w:r>
          </w:p>
        </w:tc>
      </w:tr>
      <w:tr w:rsidR="0005622A" w:rsidTr="00E40AC6">
        <w:trPr>
          <w:trHeight w:val="609"/>
        </w:trPr>
        <w:tc>
          <w:tcPr>
            <w:cnfStyle w:val="001000000000" w:firstRow="0" w:lastRow="0" w:firstColumn="1" w:lastColumn="0" w:oddVBand="0" w:evenVBand="0" w:oddHBand="0" w:evenHBand="0" w:firstRowFirstColumn="0" w:firstRowLastColumn="0" w:lastRowFirstColumn="0" w:lastRowLastColumn="0"/>
            <w:tcW w:w="1964" w:type="dxa"/>
            <w:vMerge/>
          </w:tcPr>
          <w:p w:rsidR="0005622A" w:rsidRDefault="0005622A" w:rsidP="0005622A">
            <w:pPr>
              <w:rPr>
                <w:lang w:eastAsia="fr-CH"/>
              </w:rPr>
            </w:pPr>
          </w:p>
        </w:tc>
        <w:tc>
          <w:tcPr>
            <w:tcW w:w="2272" w:type="dxa"/>
            <w:vMerge/>
          </w:tcPr>
          <w:p w:rsidR="0005622A" w:rsidRDefault="0005622A" w:rsidP="0005622A">
            <w:pPr>
              <w:cnfStyle w:val="000000000000" w:firstRow="0" w:lastRow="0" w:firstColumn="0" w:lastColumn="0" w:oddVBand="0" w:evenVBand="0" w:oddHBand="0" w:evenHBand="0" w:firstRowFirstColumn="0" w:firstRowLastColumn="0" w:lastRowFirstColumn="0" w:lastRowLastColumn="0"/>
              <w:rPr>
                <w:lang w:eastAsia="fr-CH"/>
              </w:rPr>
            </w:pPr>
          </w:p>
        </w:tc>
        <w:tc>
          <w:tcPr>
            <w:tcW w:w="2563" w:type="dxa"/>
          </w:tcPr>
          <w:p w:rsidR="0005622A" w:rsidRPr="00E40AC6" w:rsidRDefault="00E40AC6" w:rsidP="0005622A">
            <w:pPr>
              <w:cnfStyle w:val="000000000000" w:firstRow="0" w:lastRow="0" w:firstColumn="0" w:lastColumn="0" w:oddVBand="0" w:evenVBand="0" w:oddHBand="0" w:evenHBand="0" w:firstRowFirstColumn="0" w:firstRowLastColumn="0" w:lastRowFirstColumn="0" w:lastRowLastColumn="0"/>
              <w:rPr>
                <w:lang w:eastAsia="fr-CH"/>
              </w:rPr>
            </w:pPr>
            <w:r>
              <w:rPr>
                <w:lang w:eastAsia="fr-CH"/>
              </w:rPr>
              <w:t>Proportion between populations</w:t>
            </w:r>
          </w:p>
        </w:tc>
        <w:tc>
          <w:tcPr>
            <w:tcW w:w="2263" w:type="dxa"/>
          </w:tcPr>
          <w:p w:rsidR="0005622A" w:rsidRPr="008C7BF8" w:rsidRDefault="0005622A" w:rsidP="0005622A">
            <w:pPr>
              <w:cnfStyle w:val="000000000000" w:firstRow="0" w:lastRow="0" w:firstColumn="0" w:lastColumn="0" w:oddVBand="0" w:evenVBand="0" w:oddHBand="0" w:evenHBand="0" w:firstRowFirstColumn="0" w:firstRowLastColumn="0" w:lastRowFirstColumn="0" w:lastRowLastColumn="0"/>
              <w:rPr>
                <w:i/>
                <w:sz w:val="18"/>
                <w:bdr w:val="none" w:sz="0" w:space="0" w:color="auto" w:frame="1"/>
                <w:lang w:eastAsia="fr-CH"/>
              </w:rPr>
            </w:pPr>
            <w:r w:rsidRPr="008C7BF8">
              <w:rPr>
                <w:i/>
                <w:sz w:val="18"/>
                <w:bdr w:val="none" w:sz="0" w:space="0" w:color="auto" w:frame="1"/>
                <w:lang w:eastAsia="fr-CH"/>
              </w:rPr>
              <w:t xml:space="preserve">Proportion of VRE among E. </w:t>
            </w:r>
            <w:proofErr w:type="spellStart"/>
            <w:r w:rsidRPr="008C7BF8">
              <w:rPr>
                <w:i/>
                <w:sz w:val="18"/>
                <w:bdr w:val="none" w:sz="0" w:space="0" w:color="auto" w:frame="1"/>
                <w:lang w:eastAsia="fr-CH"/>
              </w:rPr>
              <w:t>faecium</w:t>
            </w:r>
            <w:proofErr w:type="spellEnd"/>
            <w:r w:rsidRPr="008C7BF8">
              <w:rPr>
                <w:i/>
                <w:sz w:val="18"/>
                <w:bdr w:val="none" w:sz="0" w:space="0" w:color="auto" w:frame="1"/>
                <w:lang w:eastAsia="fr-CH"/>
              </w:rPr>
              <w:t xml:space="preserve"> isolate collected</w:t>
            </w:r>
          </w:p>
        </w:tc>
      </w:tr>
      <w:tr w:rsidR="0005622A" w:rsidTr="000562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4" w:type="dxa"/>
            <w:vMerge/>
          </w:tcPr>
          <w:p w:rsidR="0005622A" w:rsidRDefault="0005622A" w:rsidP="0005622A">
            <w:pPr>
              <w:rPr>
                <w:lang w:eastAsia="fr-CH"/>
              </w:rPr>
            </w:pPr>
          </w:p>
        </w:tc>
        <w:tc>
          <w:tcPr>
            <w:tcW w:w="2272" w:type="dxa"/>
            <w:vMerge/>
          </w:tcPr>
          <w:p w:rsidR="0005622A" w:rsidRDefault="0005622A" w:rsidP="0005622A">
            <w:pPr>
              <w:cnfStyle w:val="000000100000" w:firstRow="0" w:lastRow="0" w:firstColumn="0" w:lastColumn="0" w:oddVBand="0" w:evenVBand="0" w:oddHBand="1" w:evenHBand="0" w:firstRowFirstColumn="0" w:firstRowLastColumn="0" w:lastRowFirstColumn="0" w:lastRowLastColumn="0"/>
              <w:rPr>
                <w:lang w:eastAsia="fr-CH"/>
              </w:rPr>
            </w:pPr>
          </w:p>
        </w:tc>
        <w:tc>
          <w:tcPr>
            <w:tcW w:w="2563" w:type="dxa"/>
          </w:tcPr>
          <w:p w:rsidR="0005622A" w:rsidRPr="00E40AC6" w:rsidRDefault="00E40AC6" w:rsidP="0005622A">
            <w:pPr>
              <w:cnfStyle w:val="000000100000" w:firstRow="0" w:lastRow="0" w:firstColumn="0" w:lastColumn="0" w:oddVBand="0" w:evenVBand="0" w:oddHBand="1" w:evenHBand="0" w:firstRowFirstColumn="0" w:firstRowLastColumn="0" w:lastRowFirstColumn="0" w:lastRowLastColumn="0"/>
              <w:rPr>
                <w:lang w:eastAsia="fr-CH"/>
              </w:rPr>
            </w:pPr>
            <w:r>
              <w:rPr>
                <w:lang w:eastAsia="fr-CH"/>
              </w:rPr>
              <w:t>Densities</w:t>
            </w:r>
          </w:p>
        </w:tc>
        <w:tc>
          <w:tcPr>
            <w:tcW w:w="2263" w:type="dxa"/>
          </w:tcPr>
          <w:p w:rsidR="0005622A" w:rsidRPr="008C7BF8" w:rsidRDefault="0005622A" w:rsidP="0005622A">
            <w:pPr>
              <w:cnfStyle w:val="000000100000" w:firstRow="0" w:lastRow="0" w:firstColumn="0" w:lastColumn="0" w:oddVBand="0" w:evenVBand="0" w:oddHBand="1" w:evenHBand="0" w:firstRowFirstColumn="0" w:firstRowLastColumn="0" w:lastRowFirstColumn="0" w:lastRowLastColumn="0"/>
              <w:rPr>
                <w:i/>
                <w:sz w:val="18"/>
                <w:bdr w:val="none" w:sz="0" w:space="0" w:color="auto" w:frame="1"/>
                <w:lang w:eastAsia="fr-CH"/>
              </w:rPr>
            </w:pPr>
            <w:r w:rsidRPr="008C7BF8">
              <w:rPr>
                <w:i/>
                <w:sz w:val="18"/>
                <w:bdr w:val="none" w:sz="0" w:space="0" w:color="auto" w:frame="1"/>
                <w:lang w:eastAsia="fr-CH"/>
              </w:rPr>
              <w:t xml:space="preserve">AMR densities for K. </w:t>
            </w:r>
            <w:proofErr w:type="spellStart"/>
            <w:r w:rsidRPr="008C7BF8">
              <w:rPr>
                <w:i/>
                <w:sz w:val="18"/>
                <w:bdr w:val="none" w:sz="0" w:space="0" w:color="auto" w:frame="1"/>
                <w:lang w:eastAsia="fr-CH"/>
              </w:rPr>
              <w:t>pneumoniae</w:t>
            </w:r>
            <w:proofErr w:type="spellEnd"/>
            <w:r w:rsidRPr="008C7BF8">
              <w:rPr>
                <w:i/>
                <w:sz w:val="18"/>
                <w:bdr w:val="none" w:sz="0" w:space="0" w:color="auto" w:frame="1"/>
                <w:lang w:eastAsia="fr-CH"/>
              </w:rPr>
              <w:t xml:space="preserve"> and E. coli</w:t>
            </w:r>
          </w:p>
        </w:tc>
      </w:tr>
      <w:tr w:rsidR="0005622A" w:rsidTr="0005622A">
        <w:tc>
          <w:tcPr>
            <w:cnfStyle w:val="001000000000" w:firstRow="0" w:lastRow="0" w:firstColumn="1" w:lastColumn="0" w:oddVBand="0" w:evenVBand="0" w:oddHBand="0" w:evenHBand="0" w:firstRowFirstColumn="0" w:firstRowLastColumn="0" w:lastRowFirstColumn="0" w:lastRowLastColumn="0"/>
            <w:tcW w:w="1964" w:type="dxa"/>
            <w:vMerge/>
          </w:tcPr>
          <w:p w:rsidR="0005622A" w:rsidRDefault="0005622A" w:rsidP="0005622A">
            <w:pPr>
              <w:rPr>
                <w:lang w:eastAsia="fr-CH"/>
              </w:rPr>
            </w:pPr>
          </w:p>
        </w:tc>
        <w:tc>
          <w:tcPr>
            <w:tcW w:w="2272" w:type="dxa"/>
          </w:tcPr>
          <w:p w:rsidR="0005622A" w:rsidRPr="004E3A59" w:rsidRDefault="0005622A" w:rsidP="0005622A">
            <w:pPr>
              <w:cnfStyle w:val="000000000000" w:firstRow="0" w:lastRow="0" w:firstColumn="0" w:lastColumn="0" w:oddVBand="0" w:evenVBand="0" w:oddHBand="0" w:evenHBand="0" w:firstRowFirstColumn="0" w:firstRowLastColumn="0" w:lastRowFirstColumn="0" w:lastRowLastColumn="0"/>
              <w:rPr>
                <w:rFonts w:eastAsia="Times New Roman"/>
                <w:bdr w:val="none" w:sz="0" w:space="0" w:color="auto" w:frame="1"/>
                <w:lang w:eastAsia="fr-CH"/>
              </w:rPr>
            </w:pPr>
            <w:r>
              <w:rPr>
                <w:bdr w:val="none" w:sz="0" w:space="0" w:color="auto" w:frame="1"/>
                <w:lang w:eastAsia="fr-CH"/>
              </w:rPr>
              <w:t>Incidence of resistant microorganisms (5)</w:t>
            </w:r>
          </w:p>
        </w:tc>
        <w:tc>
          <w:tcPr>
            <w:tcW w:w="2563" w:type="dxa"/>
          </w:tcPr>
          <w:p w:rsidR="0005622A" w:rsidRDefault="0005622A" w:rsidP="0005622A">
            <w:pPr>
              <w:cnfStyle w:val="000000000000" w:firstRow="0" w:lastRow="0" w:firstColumn="0" w:lastColumn="0" w:oddVBand="0" w:evenVBand="0" w:oddHBand="0" w:evenHBand="0" w:firstRowFirstColumn="0" w:firstRowLastColumn="0" w:lastRowFirstColumn="0" w:lastRowLastColumn="0"/>
              <w:rPr>
                <w:bdr w:val="none" w:sz="0" w:space="0" w:color="auto" w:frame="1"/>
                <w:lang w:eastAsia="fr-CH"/>
              </w:rPr>
            </w:pPr>
          </w:p>
        </w:tc>
        <w:tc>
          <w:tcPr>
            <w:tcW w:w="2263" w:type="dxa"/>
          </w:tcPr>
          <w:p w:rsidR="0005622A" w:rsidRPr="008C7BF8" w:rsidRDefault="0005622A" w:rsidP="0005622A">
            <w:pPr>
              <w:cnfStyle w:val="000000000000" w:firstRow="0" w:lastRow="0" w:firstColumn="0" w:lastColumn="0" w:oddVBand="0" w:evenVBand="0" w:oddHBand="0" w:evenHBand="0" w:firstRowFirstColumn="0" w:firstRowLastColumn="0" w:lastRowFirstColumn="0" w:lastRowLastColumn="0"/>
              <w:rPr>
                <w:i/>
                <w:sz w:val="18"/>
                <w:bdr w:val="none" w:sz="0" w:space="0" w:color="auto" w:frame="1"/>
                <w:lang w:eastAsia="fr-CH"/>
              </w:rPr>
            </w:pPr>
            <w:r w:rsidRPr="008C7BF8">
              <w:rPr>
                <w:i/>
                <w:sz w:val="18"/>
                <w:bdr w:val="none" w:sz="0" w:space="0" w:color="auto" w:frame="1"/>
                <w:lang w:eastAsia="fr-CH"/>
              </w:rPr>
              <w:t>occurrence of QREC in broilers</w:t>
            </w:r>
          </w:p>
        </w:tc>
      </w:tr>
      <w:tr w:rsidR="0005622A" w:rsidTr="000562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4" w:type="dxa"/>
            <w:vMerge w:val="restart"/>
          </w:tcPr>
          <w:p w:rsidR="0005622A" w:rsidRDefault="0005622A" w:rsidP="0005622A">
            <w:pPr>
              <w:rPr>
                <w:lang w:eastAsia="fr-CH"/>
              </w:rPr>
            </w:pPr>
            <w:r>
              <w:rPr>
                <w:lang w:eastAsia="fr-CH"/>
              </w:rPr>
              <w:t>Directly related to the intervention (32)</w:t>
            </w:r>
          </w:p>
          <w:p w:rsidR="0005622A" w:rsidRDefault="0005622A" w:rsidP="0005622A">
            <w:pPr>
              <w:rPr>
                <w:lang w:eastAsia="fr-CH"/>
              </w:rPr>
            </w:pPr>
          </w:p>
        </w:tc>
        <w:tc>
          <w:tcPr>
            <w:tcW w:w="2272" w:type="dxa"/>
            <w:vMerge w:val="restart"/>
          </w:tcPr>
          <w:p w:rsidR="0005622A" w:rsidRPr="004E3A59" w:rsidRDefault="0005622A" w:rsidP="0005622A">
            <w:pPr>
              <w:cnfStyle w:val="000000100000" w:firstRow="0" w:lastRow="0" w:firstColumn="0" w:lastColumn="0" w:oddVBand="0" w:evenVBand="0" w:oddHBand="1" w:evenHBand="0" w:firstRowFirstColumn="0" w:firstRowLastColumn="0" w:lastRowFirstColumn="0" w:lastRowLastColumn="0"/>
              <w:rPr>
                <w:rFonts w:eastAsia="Times New Roman"/>
                <w:bdr w:val="none" w:sz="0" w:space="0" w:color="auto" w:frame="1"/>
                <w:lang w:eastAsia="fr-CH"/>
              </w:rPr>
            </w:pPr>
            <w:r>
              <w:rPr>
                <w:rFonts w:eastAsia="Times New Roman"/>
                <w:bdr w:val="none" w:sz="0" w:space="0" w:color="auto" w:frame="1"/>
                <w:lang w:eastAsia="fr-CH"/>
              </w:rPr>
              <w:t>Report of results and transparency, publications (8)</w:t>
            </w:r>
          </w:p>
        </w:tc>
        <w:tc>
          <w:tcPr>
            <w:tcW w:w="2563" w:type="dxa"/>
          </w:tcPr>
          <w:p w:rsidR="0005622A" w:rsidRPr="00E40AC6" w:rsidRDefault="0005622A" w:rsidP="0005622A">
            <w:pPr>
              <w:cnfStyle w:val="000000100000" w:firstRow="0" w:lastRow="0" w:firstColumn="0" w:lastColumn="0" w:oddVBand="0" w:evenVBand="0" w:oddHBand="1" w:evenHBand="0" w:firstRowFirstColumn="0" w:firstRowLastColumn="0" w:lastRowFirstColumn="0" w:lastRowLastColumn="0"/>
              <w:rPr>
                <w:lang w:eastAsia="fr-CH"/>
              </w:rPr>
            </w:pPr>
            <w:r>
              <w:rPr>
                <w:lang w:eastAsia="fr-CH"/>
              </w:rPr>
              <w:t>Annual r</w:t>
            </w:r>
            <w:r w:rsidR="00E40AC6">
              <w:rPr>
                <w:lang w:eastAsia="fr-CH"/>
              </w:rPr>
              <w:t>eport of results (surveillance)</w:t>
            </w:r>
          </w:p>
        </w:tc>
        <w:tc>
          <w:tcPr>
            <w:tcW w:w="2263" w:type="dxa"/>
          </w:tcPr>
          <w:p w:rsidR="0005622A" w:rsidRPr="008C7BF8" w:rsidRDefault="0005622A" w:rsidP="0005622A">
            <w:pPr>
              <w:cnfStyle w:val="000000100000" w:firstRow="0" w:lastRow="0" w:firstColumn="0" w:lastColumn="0" w:oddVBand="0" w:evenVBand="0" w:oddHBand="1" w:evenHBand="0" w:firstRowFirstColumn="0" w:firstRowLastColumn="0" w:lastRowFirstColumn="0" w:lastRowLastColumn="0"/>
              <w:rPr>
                <w:i/>
                <w:sz w:val="18"/>
                <w:lang w:eastAsia="fr-CH"/>
              </w:rPr>
            </w:pPr>
            <w:r w:rsidRPr="008C7BF8">
              <w:rPr>
                <w:i/>
                <w:sz w:val="18"/>
                <w:lang w:eastAsia="fr-CH"/>
              </w:rPr>
              <w:t xml:space="preserve">Annual and three monthly reports of the surveillance results and findings </w:t>
            </w:r>
          </w:p>
        </w:tc>
      </w:tr>
      <w:tr w:rsidR="0005622A" w:rsidTr="0005622A">
        <w:tc>
          <w:tcPr>
            <w:cnfStyle w:val="001000000000" w:firstRow="0" w:lastRow="0" w:firstColumn="1" w:lastColumn="0" w:oddVBand="0" w:evenVBand="0" w:oddHBand="0" w:evenHBand="0" w:firstRowFirstColumn="0" w:firstRowLastColumn="0" w:lastRowFirstColumn="0" w:lastRowLastColumn="0"/>
            <w:tcW w:w="1964" w:type="dxa"/>
            <w:vMerge/>
          </w:tcPr>
          <w:p w:rsidR="0005622A" w:rsidRDefault="0005622A" w:rsidP="0005622A">
            <w:pPr>
              <w:rPr>
                <w:lang w:eastAsia="fr-CH"/>
              </w:rPr>
            </w:pPr>
          </w:p>
        </w:tc>
        <w:tc>
          <w:tcPr>
            <w:tcW w:w="2272" w:type="dxa"/>
            <w:vMerge/>
          </w:tcPr>
          <w:p w:rsidR="0005622A" w:rsidRDefault="0005622A" w:rsidP="0005622A">
            <w:pPr>
              <w:cnfStyle w:val="000000000000" w:firstRow="0" w:lastRow="0" w:firstColumn="0" w:lastColumn="0" w:oddVBand="0" w:evenVBand="0" w:oddHBand="0" w:evenHBand="0" w:firstRowFirstColumn="0" w:firstRowLastColumn="0" w:lastRowFirstColumn="0" w:lastRowLastColumn="0"/>
              <w:rPr>
                <w:lang w:eastAsia="fr-CH"/>
              </w:rPr>
            </w:pPr>
          </w:p>
        </w:tc>
        <w:tc>
          <w:tcPr>
            <w:tcW w:w="2563" w:type="dxa"/>
          </w:tcPr>
          <w:p w:rsidR="0005622A" w:rsidRPr="004E3A59" w:rsidRDefault="0005622A" w:rsidP="0005622A">
            <w:pPr>
              <w:cnfStyle w:val="000000000000" w:firstRow="0" w:lastRow="0" w:firstColumn="0" w:lastColumn="0" w:oddVBand="0" w:evenVBand="0" w:oddHBand="0" w:evenHBand="0" w:firstRowFirstColumn="0" w:firstRowLastColumn="0" w:lastRowFirstColumn="0" w:lastRowLastColumn="0"/>
              <w:rPr>
                <w:lang w:eastAsia="fr-CH"/>
              </w:rPr>
            </w:pPr>
            <w:r>
              <w:rPr>
                <w:lang w:eastAsia="fr-CH"/>
              </w:rPr>
              <w:t>Available website</w:t>
            </w:r>
          </w:p>
        </w:tc>
        <w:tc>
          <w:tcPr>
            <w:tcW w:w="2263" w:type="dxa"/>
          </w:tcPr>
          <w:p w:rsidR="0005622A" w:rsidRPr="008C7BF8" w:rsidRDefault="0005622A" w:rsidP="0005622A">
            <w:pPr>
              <w:cnfStyle w:val="000000000000" w:firstRow="0" w:lastRow="0" w:firstColumn="0" w:lastColumn="0" w:oddVBand="0" w:evenVBand="0" w:oddHBand="0" w:evenHBand="0" w:firstRowFirstColumn="0" w:firstRowLastColumn="0" w:lastRowFirstColumn="0" w:lastRowLastColumn="0"/>
              <w:rPr>
                <w:i/>
                <w:sz w:val="18"/>
                <w:lang w:eastAsia="fr-CH"/>
              </w:rPr>
            </w:pPr>
            <w:r w:rsidRPr="008C7BF8">
              <w:rPr>
                <w:i/>
                <w:sz w:val="18"/>
                <w:lang w:eastAsia="fr-CH"/>
              </w:rPr>
              <w:t xml:space="preserve">Website will available results </w:t>
            </w:r>
          </w:p>
        </w:tc>
      </w:tr>
      <w:tr w:rsidR="0005622A" w:rsidTr="000562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4" w:type="dxa"/>
            <w:vMerge/>
          </w:tcPr>
          <w:p w:rsidR="0005622A" w:rsidRDefault="0005622A" w:rsidP="0005622A">
            <w:pPr>
              <w:rPr>
                <w:lang w:eastAsia="fr-CH"/>
              </w:rPr>
            </w:pPr>
          </w:p>
        </w:tc>
        <w:tc>
          <w:tcPr>
            <w:tcW w:w="2272" w:type="dxa"/>
            <w:vMerge/>
          </w:tcPr>
          <w:p w:rsidR="0005622A" w:rsidRDefault="0005622A" w:rsidP="0005622A">
            <w:pPr>
              <w:cnfStyle w:val="000000100000" w:firstRow="0" w:lastRow="0" w:firstColumn="0" w:lastColumn="0" w:oddVBand="0" w:evenVBand="0" w:oddHBand="1" w:evenHBand="0" w:firstRowFirstColumn="0" w:firstRowLastColumn="0" w:lastRowFirstColumn="0" w:lastRowLastColumn="0"/>
              <w:rPr>
                <w:lang w:eastAsia="fr-CH"/>
              </w:rPr>
            </w:pPr>
          </w:p>
        </w:tc>
        <w:tc>
          <w:tcPr>
            <w:tcW w:w="2563" w:type="dxa"/>
          </w:tcPr>
          <w:p w:rsidR="0005622A" w:rsidRPr="00E40AC6" w:rsidRDefault="0005622A" w:rsidP="0005622A">
            <w:pPr>
              <w:cnfStyle w:val="000000100000" w:firstRow="0" w:lastRow="0" w:firstColumn="0" w:lastColumn="0" w:oddVBand="0" w:evenVBand="0" w:oddHBand="1" w:evenHBand="0" w:firstRowFirstColumn="0" w:firstRowLastColumn="0" w:lastRowFirstColumn="0" w:lastRowLastColumn="0"/>
              <w:rPr>
                <w:lang w:eastAsia="fr-CH"/>
              </w:rPr>
            </w:pPr>
            <w:r>
              <w:rPr>
                <w:lang w:eastAsia="fr-CH"/>
              </w:rPr>
              <w:t>Availability of res</w:t>
            </w:r>
            <w:r w:rsidR="00E40AC6">
              <w:rPr>
                <w:lang w:eastAsia="fr-CH"/>
              </w:rPr>
              <w:t>ult for actors/stakeholders</w:t>
            </w:r>
          </w:p>
        </w:tc>
        <w:tc>
          <w:tcPr>
            <w:tcW w:w="2263" w:type="dxa"/>
          </w:tcPr>
          <w:p w:rsidR="0005622A" w:rsidRPr="008C7BF8" w:rsidRDefault="0005622A" w:rsidP="0005622A">
            <w:pPr>
              <w:cnfStyle w:val="000000100000" w:firstRow="0" w:lastRow="0" w:firstColumn="0" w:lastColumn="0" w:oddVBand="0" w:evenVBand="0" w:oddHBand="1" w:evenHBand="0" w:firstRowFirstColumn="0" w:firstRowLastColumn="0" w:lastRowFirstColumn="0" w:lastRowLastColumn="0"/>
              <w:rPr>
                <w:i/>
                <w:sz w:val="18"/>
                <w:lang w:eastAsia="fr-CH"/>
              </w:rPr>
            </w:pPr>
            <w:r w:rsidRPr="008C7BF8">
              <w:rPr>
                <w:i/>
                <w:sz w:val="18"/>
                <w:lang w:eastAsia="fr-CH"/>
              </w:rPr>
              <w:t xml:space="preserve">Transparency of results from the first year </w:t>
            </w:r>
          </w:p>
          <w:p w:rsidR="0005622A" w:rsidRPr="008C7BF8" w:rsidRDefault="0005622A" w:rsidP="0005622A">
            <w:pPr>
              <w:cnfStyle w:val="000000100000" w:firstRow="0" w:lastRow="0" w:firstColumn="0" w:lastColumn="0" w:oddVBand="0" w:evenVBand="0" w:oddHBand="1" w:evenHBand="0" w:firstRowFirstColumn="0" w:firstRowLastColumn="0" w:lastRowFirstColumn="0" w:lastRowLastColumn="0"/>
              <w:rPr>
                <w:i/>
                <w:sz w:val="18"/>
                <w:lang w:eastAsia="fr-CH"/>
              </w:rPr>
            </w:pPr>
            <w:r w:rsidRPr="008C7BF8">
              <w:rPr>
                <w:i/>
                <w:sz w:val="18"/>
                <w:lang w:eastAsia="fr-CH"/>
              </w:rPr>
              <w:t>scientific publication and use of data</w:t>
            </w:r>
          </w:p>
        </w:tc>
      </w:tr>
      <w:tr w:rsidR="0005622A" w:rsidTr="0005622A">
        <w:tc>
          <w:tcPr>
            <w:cnfStyle w:val="001000000000" w:firstRow="0" w:lastRow="0" w:firstColumn="1" w:lastColumn="0" w:oddVBand="0" w:evenVBand="0" w:oddHBand="0" w:evenHBand="0" w:firstRowFirstColumn="0" w:firstRowLastColumn="0" w:lastRowFirstColumn="0" w:lastRowLastColumn="0"/>
            <w:tcW w:w="1964" w:type="dxa"/>
            <w:vMerge/>
          </w:tcPr>
          <w:p w:rsidR="0005622A" w:rsidRDefault="0005622A" w:rsidP="0005622A">
            <w:pPr>
              <w:rPr>
                <w:lang w:eastAsia="fr-CH"/>
              </w:rPr>
            </w:pPr>
          </w:p>
        </w:tc>
        <w:tc>
          <w:tcPr>
            <w:tcW w:w="2272" w:type="dxa"/>
          </w:tcPr>
          <w:p w:rsidR="0005622A" w:rsidRPr="004E3A59" w:rsidRDefault="0005622A" w:rsidP="0005622A">
            <w:pPr>
              <w:cnfStyle w:val="000000000000" w:firstRow="0" w:lastRow="0" w:firstColumn="0" w:lastColumn="0" w:oddVBand="0" w:evenVBand="0" w:oddHBand="0" w:evenHBand="0" w:firstRowFirstColumn="0" w:firstRowLastColumn="0" w:lastRowFirstColumn="0" w:lastRowLastColumn="0"/>
              <w:rPr>
                <w:bdr w:val="none" w:sz="0" w:space="0" w:color="auto" w:frame="1"/>
                <w:lang w:eastAsia="fr-CH"/>
              </w:rPr>
            </w:pPr>
            <w:r>
              <w:rPr>
                <w:bdr w:val="none" w:sz="0" w:space="0" w:color="auto" w:frame="1"/>
                <w:lang w:eastAsia="fr-CH"/>
              </w:rPr>
              <w:t>Delivery of outputs from intervention (e.g., workshop, training, guidelines) (7)</w:t>
            </w:r>
          </w:p>
        </w:tc>
        <w:tc>
          <w:tcPr>
            <w:tcW w:w="2563" w:type="dxa"/>
          </w:tcPr>
          <w:p w:rsidR="0005622A" w:rsidRDefault="0005622A" w:rsidP="0005622A">
            <w:pPr>
              <w:cnfStyle w:val="000000000000" w:firstRow="0" w:lastRow="0" w:firstColumn="0" w:lastColumn="0" w:oddVBand="0" w:evenVBand="0" w:oddHBand="0" w:evenHBand="0" w:firstRowFirstColumn="0" w:firstRowLastColumn="0" w:lastRowFirstColumn="0" w:lastRowLastColumn="0"/>
              <w:rPr>
                <w:lang w:eastAsia="fr-CH"/>
              </w:rPr>
            </w:pPr>
          </w:p>
        </w:tc>
        <w:tc>
          <w:tcPr>
            <w:tcW w:w="2263" w:type="dxa"/>
          </w:tcPr>
          <w:p w:rsidR="0005622A" w:rsidRPr="008C7BF8" w:rsidRDefault="0005622A" w:rsidP="0005622A">
            <w:pPr>
              <w:cnfStyle w:val="000000000000" w:firstRow="0" w:lastRow="0" w:firstColumn="0" w:lastColumn="0" w:oddVBand="0" w:evenVBand="0" w:oddHBand="0" w:evenHBand="0" w:firstRowFirstColumn="0" w:firstRowLastColumn="0" w:lastRowFirstColumn="0" w:lastRowLastColumn="0"/>
              <w:rPr>
                <w:i/>
                <w:sz w:val="18"/>
                <w:lang w:eastAsia="fr-CH"/>
              </w:rPr>
            </w:pPr>
            <w:r w:rsidRPr="008C7BF8">
              <w:rPr>
                <w:i/>
                <w:sz w:val="18"/>
                <w:lang w:eastAsia="fr-CH"/>
              </w:rPr>
              <w:t>Guidelines and stewardship programs</w:t>
            </w:r>
          </w:p>
        </w:tc>
      </w:tr>
      <w:tr w:rsidR="0005622A" w:rsidTr="000562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4" w:type="dxa"/>
            <w:vMerge/>
          </w:tcPr>
          <w:p w:rsidR="0005622A" w:rsidRDefault="0005622A" w:rsidP="0005622A">
            <w:pPr>
              <w:rPr>
                <w:lang w:eastAsia="fr-CH"/>
              </w:rPr>
            </w:pPr>
          </w:p>
        </w:tc>
        <w:tc>
          <w:tcPr>
            <w:tcW w:w="2272" w:type="dxa"/>
          </w:tcPr>
          <w:p w:rsidR="0005622A" w:rsidRPr="004E3A59" w:rsidRDefault="0005622A" w:rsidP="0005622A">
            <w:pPr>
              <w:cnfStyle w:val="000000100000" w:firstRow="0" w:lastRow="0" w:firstColumn="0" w:lastColumn="0" w:oddVBand="0" w:evenVBand="0" w:oddHBand="1" w:evenHBand="0" w:firstRowFirstColumn="0" w:firstRowLastColumn="0" w:lastRowFirstColumn="0" w:lastRowLastColumn="0"/>
              <w:rPr>
                <w:bdr w:val="none" w:sz="0" w:space="0" w:color="auto" w:frame="1"/>
                <w:lang w:eastAsia="fr-CH"/>
              </w:rPr>
            </w:pPr>
            <w:r>
              <w:rPr>
                <w:bdr w:val="none" w:sz="0" w:space="0" w:color="auto" w:frame="1"/>
                <w:lang w:eastAsia="fr-CH"/>
              </w:rPr>
              <w:t>Increase of knowledge and awareness (research results) (6)</w:t>
            </w:r>
          </w:p>
        </w:tc>
        <w:tc>
          <w:tcPr>
            <w:tcW w:w="2563" w:type="dxa"/>
          </w:tcPr>
          <w:p w:rsidR="0005622A" w:rsidRDefault="0005622A" w:rsidP="0005622A">
            <w:pPr>
              <w:cnfStyle w:val="000000100000" w:firstRow="0" w:lastRow="0" w:firstColumn="0" w:lastColumn="0" w:oddVBand="0" w:evenVBand="0" w:oddHBand="1" w:evenHBand="0" w:firstRowFirstColumn="0" w:firstRowLastColumn="0" w:lastRowFirstColumn="0" w:lastRowLastColumn="0"/>
              <w:rPr>
                <w:lang w:eastAsia="fr-CH"/>
              </w:rPr>
            </w:pPr>
          </w:p>
        </w:tc>
        <w:tc>
          <w:tcPr>
            <w:tcW w:w="2263" w:type="dxa"/>
          </w:tcPr>
          <w:p w:rsidR="0005622A" w:rsidRPr="008C7BF8" w:rsidRDefault="0005622A" w:rsidP="0005622A">
            <w:pPr>
              <w:cnfStyle w:val="000000100000" w:firstRow="0" w:lastRow="0" w:firstColumn="0" w:lastColumn="0" w:oddVBand="0" w:evenVBand="0" w:oddHBand="1" w:evenHBand="0" w:firstRowFirstColumn="0" w:firstRowLastColumn="0" w:lastRowFirstColumn="0" w:lastRowLastColumn="0"/>
              <w:rPr>
                <w:i/>
                <w:sz w:val="18"/>
                <w:lang w:eastAsia="fr-CH"/>
              </w:rPr>
            </w:pPr>
          </w:p>
        </w:tc>
      </w:tr>
      <w:tr w:rsidR="0005622A" w:rsidTr="0005622A">
        <w:tc>
          <w:tcPr>
            <w:cnfStyle w:val="001000000000" w:firstRow="0" w:lastRow="0" w:firstColumn="1" w:lastColumn="0" w:oddVBand="0" w:evenVBand="0" w:oddHBand="0" w:evenHBand="0" w:firstRowFirstColumn="0" w:firstRowLastColumn="0" w:lastRowFirstColumn="0" w:lastRowLastColumn="0"/>
            <w:tcW w:w="1964" w:type="dxa"/>
            <w:vMerge/>
          </w:tcPr>
          <w:p w:rsidR="0005622A" w:rsidRDefault="0005622A" w:rsidP="0005622A">
            <w:pPr>
              <w:rPr>
                <w:lang w:eastAsia="fr-CH"/>
              </w:rPr>
            </w:pPr>
          </w:p>
        </w:tc>
        <w:tc>
          <w:tcPr>
            <w:tcW w:w="2272" w:type="dxa"/>
          </w:tcPr>
          <w:p w:rsidR="0005622A" w:rsidRPr="004E3A59" w:rsidRDefault="0005622A" w:rsidP="0005622A">
            <w:pPr>
              <w:cnfStyle w:val="000000000000" w:firstRow="0" w:lastRow="0" w:firstColumn="0" w:lastColumn="0" w:oddVBand="0" w:evenVBand="0" w:oddHBand="0" w:evenHBand="0" w:firstRowFirstColumn="0" w:firstRowLastColumn="0" w:lastRowFirstColumn="0" w:lastRowLastColumn="0"/>
              <w:rPr>
                <w:rFonts w:eastAsia="Times New Roman"/>
                <w:bdr w:val="none" w:sz="0" w:space="0" w:color="auto" w:frame="1"/>
                <w:lang w:eastAsia="fr-CH"/>
              </w:rPr>
            </w:pPr>
            <w:r>
              <w:rPr>
                <w:rFonts w:eastAsia="Times New Roman"/>
                <w:bdr w:val="none" w:sz="0" w:space="0" w:color="auto" w:frame="1"/>
                <w:lang w:eastAsia="fr-CH"/>
              </w:rPr>
              <w:t>Cost-effectiveness of the intervention (1)</w:t>
            </w:r>
          </w:p>
        </w:tc>
        <w:tc>
          <w:tcPr>
            <w:tcW w:w="2563" w:type="dxa"/>
          </w:tcPr>
          <w:p w:rsidR="0005622A" w:rsidRDefault="0005622A" w:rsidP="0005622A">
            <w:pPr>
              <w:cnfStyle w:val="000000000000" w:firstRow="0" w:lastRow="0" w:firstColumn="0" w:lastColumn="0" w:oddVBand="0" w:evenVBand="0" w:oddHBand="0" w:evenHBand="0" w:firstRowFirstColumn="0" w:firstRowLastColumn="0" w:lastRowFirstColumn="0" w:lastRowLastColumn="0"/>
              <w:rPr>
                <w:lang w:eastAsia="fr-CH"/>
              </w:rPr>
            </w:pPr>
          </w:p>
        </w:tc>
        <w:tc>
          <w:tcPr>
            <w:tcW w:w="2263" w:type="dxa"/>
          </w:tcPr>
          <w:p w:rsidR="0005622A" w:rsidRPr="008C7BF8" w:rsidRDefault="0005622A" w:rsidP="0005622A">
            <w:pPr>
              <w:cnfStyle w:val="000000000000" w:firstRow="0" w:lastRow="0" w:firstColumn="0" w:lastColumn="0" w:oddVBand="0" w:evenVBand="0" w:oddHBand="0" w:evenHBand="0" w:firstRowFirstColumn="0" w:firstRowLastColumn="0" w:lastRowFirstColumn="0" w:lastRowLastColumn="0"/>
              <w:rPr>
                <w:i/>
                <w:sz w:val="18"/>
                <w:lang w:eastAsia="fr-CH"/>
              </w:rPr>
            </w:pPr>
          </w:p>
        </w:tc>
      </w:tr>
      <w:tr w:rsidR="0005622A" w:rsidTr="000562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4" w:type="dxa"/>
            <w:vMerge/>
          </w:tcPr>
          <w:p w:rsidR="0005622A" w:rsidRDefault="0005622A" w:rsidP="0005622A">
            <w:pPr>
              <w:rPr>
                <w:lang w:eastAsia="fr-CH"/>
              </w:rPr>
            </w:pPr>
          </w:p>
        </w:tc>
        <w:tc>
          <w:tcPr>
            <w:tcW w:w="2272" w:type="dxa"/>
          </w:tcPr>
          <w:p w:rsidR="0005622A" w:rsidRPr="004E3A59" w:rsidRDefault="0005622A" w:rsidP="0005622A">
            <w:pPr>
              <w:cnfStyle w:val="000000100000" w:firstRow="0" w:lastRow="0" w:firstColumn="0" w:lastColumn="0" w:oddVBand="0" w:evenVBand="0" w:oddHBand="1" w:evenHBand="0" w:firstRowFirstColumn="0" w:firstRowLastColumn="0" w:lastRowFirstColumn="0" w:lastRowLastColumn="0"/>
              <w:rPr>
                <w:rFonts w:eastAsia="Times New Roman"/>
                <w:bdr w:val="none" w:sz="0" w:space="0" w:color="auto" w:frame="1"/>
                <w:lang w:eastAsia="fr-CH"/>
              </w:rPr>
            </w:pPr>
            <w:r>
              <w:rPr>
                <w:rFonts w:eastAsia="Times New Roman"/>
                <w:bdr w:val="none" w:sz="0" w:space="0" w:color="auto" w:frame="1"/>
                <w:lang w:eastAsia="fr-CH"/>
              </w:rPr>
              <w:t>Actors of the intervention and acceptability of the intervention (4)</w:t>
            </w:r>
          </w:p>
        </w:tc>
        <w:tc>
          <w:tcPr>
            <w:tcW w:w="2563" w:type="dxa"/>
          </w:tcPr>
          <w:p w:rsidR="0005622A" w:rsidRDefault="0005622A" w:rsidP="0005622A">
            <w:pPr>
              <w:cnfStyle w:val="000000100000" w:firstRow="0" w:lastRow="0" w:firstColumn="0" w:lastColumn="0" w:oddVBand="0" w:evenVBand="0" w:oddHBand="1" w:evenHBand="0" w:firstRowFirstColumn="0" w:firstRowLastColumn="0" w:lastRowFirstColumn="0" w:lastRowLastColumn="0"/>
              <w:rPr>
                <w:lang w:eastAsia="fr-CH"/>
              </w:rPr>
            </w:pPr>
          </w:p>
        </w:tc>
        <w:tc>
          <w:tcPr>
            <w:tcW w:w="2263" w:type="dxa"/>
          </w:tcPr>
          <w:p w:rsidR="0005622A" w:rsidRPr="008C7BF8" w:rsidRDefault="0005622A" w:rsidP="0005622A">
            <w:pPr>
              <w:cnfStyle w:val="000000100000" w:firstRow="0" w:lastRow="0" w:firstColumn="0" w:lastColumn="0" w:oddVBand="0" w:evenVBand="0" w:oddHBand="1" w:evenHBand="0" w:firstRowFirstColumn="0" w:firstRowLastColumn="0" w:lastRowFirstColumn="0" w:lastRowLastColumn="0"/>
              <w:rPr>
                <w:i/>
                <w:sz w:val="18"/>
                <w:lang w:eastAsia="fr-CH"/>
              </w:rPr>
            </w:pPr>
            <w:r w:rsidRPr="008C7BF8">
              <w:rPr>
                <w:i/>
                <w:sz w:val="18"/>
                <w:lang w:eastAsia="fr-CH"/>
              </w:rPr>
              <w:t xml:space="preserve">compliance to the activities from actors </w:t>
            </w:r>
          </w:p>
        </w:tc>
      </w:tr>
      <w:tr w:rsidR="0005622A" w:rsidTr="0005622A">
        <w:tc>
          <w:tcPr>
            <w:cnfStyle w:val="001000000000" w:firstRow="0" w:lastRow="0" w:firstColumn="1" w:lastColumn="0" w:oddVBand="0" w:evenVBand="0" w:oddHBand="0" w:evenHBand="0" w:firstRowFirstColumn="0" w:firstRowLastColumn="0" w:lastRowFirstColumn="0" w:lastRowLastColumn="0"/>
            <w:tcW w:w="1964" w:type="dxa"/>
            <w:vMerge/>
          </w:tcPr>
          <w:p w:rsidR="0005622A" w:rsidRDefault="0005622A" w:rsidP="0005622A">
            <w:pPr>
              <w:rPr>
                <w:lang w:eastAsia="fr-CH"/>
              </w:rPr>
            </w:pPr>
          </w:p>
        </w:tc>
        <w:tc>
          <w:tcPr>
            <w:tcW w:w="2272" w:type="dxa"/>
          </w:tcPr>
          <w:p w:rsidR="0005622A" w:rsidRPr="005D3456" w:rsidRDefault="0005622A" w:rsidP="0005622A">
            <w:pPr>
              <w:cnfStyle w:val="000000000000" w:firstRow="0" w:lastRow="0" w:firstColumn="0" w:lastColumn="0" w:oddVBand="0" w:evenVBand="0" w:oddHBand="0" w:evenHBand="0" w:firstRowFirstColumn="0" w:firstRowLastColumn="0" w:lastRowFirstColumn="0" w:lastRowLastColumn="0"/>
              <w:rPr>
                <w:rFonts w:eastAsia="Times New Roman"/>
                <w:bdr w:val="none" w:sz="0" w:space="0" w:color="auto" w:frame="1"/>
                <w:lang w:eastAsia="fr-CH"/>
              </w:rPr>
            </w:pPr>
            <w:r>
              <w:rPr>
                <w:rFonts w:eastAsia="Times New Roman"/>
                <w:bdr w:val="none" w:sz="0" w:space="0" w:color="auto" w:frame="1"/>
                <w:lang w:eastAsia="fr-CH"/>
              </w:rPr>
              <w:t>Duration of intervention (6)</w:t>
            </w:r>
          </w:p>
        </w:tc>
        <w:tc>
          <w:tcPr>
            <w:tcW w:w="2563" w:type="dxa"/>
          </w:tcPr>
          <w:p w:rsidR="0005622A" w:rsidRDefault="0005622A" w:rsidP="0005622A">
            <w:pPr>
              <w:cnfStyle w:val="000000000000" w:firstRow="0" w:lastRow="0" w:firstColumn="0" w:lastColumn="0" w:oddVBand="0" w:evenVBand="0" w:oddHBand="0" w:evenHBand="0" w:firstRowFirstColumn="0" w:firstRowLastColumn="0" w:lastRowFirstColumn="0" w:lastRowLastColumn="0"/>
              <w:rPr>
                <w:lang w:eastAsia="fr-CH"/>
              </w:rPr>
            </w:pPr>
          </w:p>
        </w:tc>
        <w:tc>
          <w:tcPr>
            <w:tcW w:w="2263" w:type="dxa"/>
          </w:tcPr>
          <w:p w:rsidR="0005622A" w:rsidRPr="008C7BF8" w:rsidRDefault="0005622A" w:rsidP="0005622A">
            <w:pPr>
              <w:cnfStyle w:val="000000000000" w:firstRow="0" w:lastRow="0" w:firstColumn="0" w:lastColumn="0" w:oddVBand="0" w:evenVBand="0" w:oddHBand="0" w:evenHBand="0" w:firstRowFirstColumn="0" w:firstRowLastColumn="0" w:lastRowFirstColumn="0" w:lastRowLastColumn="0"/>
              <w:rPr>
                <w:i/>
                <w:sz w:val="18"/>
              </w:rPr>
            </w:pPr>
            <w:r w:rsidRPr="008C7BF8">
              <w:rPr>
                <w:i/>
                <w:sz w:val="18"/>
                <w:lang w:eastAsia="fr-CH"/>
              </w:rPr>
              <w:t>sustainability of programme more than a decade</w:t>
            </w:r>
          </w:p>
        </w:tc>
      </w:tr>
    </w:tbl>
    <w:p w:rsidR="00C7727A" w:rsidRDefault="00C7727A"/>
    <w:sectPr w:rsidR="00C7727A" w:rsidSect="0005622A">
      <w:pgSz w:w="11906" w:h="16838"/>
      <w:pgMar w:top="1417" w:right="1417" w:bottom="1417"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6E48" w:rsidRDefault="00BE6E48" w:rsidP="0005622A">
      <w:pPr>
        <w:spacing w:after="0"/>
      </w:pPr>
      <w:r>
        <w:separator/>
      </w:r>
    </w:p>
  </w:endnote>
  <w:endnote w:type="continuationSeparator" w:id="0">
    <w:p w:rsidR="00BE6E48" w:rsidRDefault="00BE6E48" w:rsidP="0005622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8153208"/>
      <w:docPartObj>
        <w:docPartGallery w:val="Page Numbers (Bottom of Page)"/>
        <w:docPartUnique/>
      </w:docPartObj>
    </w:sdtPr>
    <w:sdtEndPr>
      <w:rPr>
        <w:noProof/>
      </w:rPr>
    </w:sdtEndPr>
    <w:sdtContent>
      <w:p w:rsidR="0005622A" w:rsidRDefault="0005622A">
        <w:pPr>
          <w:pStyle w:val="Footer"/>
          <w:jc w:val="right"/>
        </w:pPr>
        <w:r>
          <w:fldChar w:fldCharType="begin"/>
        </w:r>
        <w:r>
          <w:instrText xml:space="preserve"> PAGE   \* MERGEFORMAT </w:instrText>
        </w:r>
        <w:r>
          <w:fldChar w:fldCharType="separate"/>
        </w:r>
        <w:r w:rsidR="00D40BEC">
          <w:rPr>
            <w:noProof/>
          </w:rPr>
          <w:t>13</w:t>
        </w:r>
        <w:r>
          <w:rPr>
            <w:noProof/>
          </w:rPr>
          <w:fldChar w:fldCharType="end"/>
        </w:r>
      </w:p>
    </w:sdtContent>
  </w:sdt>
  <w:p w:rsidR="0005622A" w:rsidRDefault="000562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6E48" w:rsidRDefault="00BE6E48" w:rsidP="0005622A">
      <w:pPr>
        <w:spacing w:after="0"/>
      </w:pPr>
      <w:r>
        <w:separator/>
      </w:r>
    </w:p>
  </w:footnote>
  <w:footnote w:type="continuationSeparator" w:id="0">
    <w:p w:rsidR="00BE6E48" w:rsidRDefault="00BE6E48" w:rsidP="0005622A">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22A"/>
    <w:rsid w:val="0005622A"/>
    <w:rsid w:val="00BE6E48"/>
    <w:rsid w:val="00C7727A"/>
    <w:rsid w:val="00D40BEC"/>
    <w:rsid w:val="00E40AC6"/>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61C21DA-D6FA-4AE4-83F9-35C1A71AF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622A"/>
    <w:pPr>
      <w:spacing w:after="200" w:line="240" w:lineRule="auto"/>
    </w:pPr>
    <w:rPr>
      <w:lang w:val="en-GB"/>
    </w:rPr>
  </w:style>
  <w:style w:type="paragraph" w:styleId="Heading1">
    <w:name w:val="heading 1"/>
    <w:basedOn w:val="Normal"/>
    <w:next w:val="Normal"/>
    <w:link w:val="Heading1Char"/>
    <w:uiPriority w:val="9"/>
    <w:qFormat/>
    <w:rsid w:val="0005622A"/>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622A"/>
    <w:rPr>
      <w:rFonts w:asciiTheme="majorHAnsi" w:eastAsiaTheme="majorEastAsia" w:hAnsiTheme="majorHAnsi" w:cstheme="majorBidi"/>
      <w:b/>
      <w:bCs/>
      <w:color w:val="2E74B5" w:themeColor="accent1" w:themeShade="BF"/>
      <w:sz w:val="28"/>
      <w:szCs w:val="28"/>
      <w:lang w:val="en-GB"/>
    </w:rPr>
  </w:style>
  <w:style w:type="table" w:styleId="ListTable3-Accent1">
    <w:name w:val="List Table 3 Accent 1"/>
    <w:basedOn w:val="TableNormal"/>
    <w:uiPriority w:val="48"/>
    <w:rsid w:val="0005622A"/>
    <w:pPr>
      <w:spacing w:after="0" w:line="240" w:lineRule="auto"/>
    </w:pPr>
    <w:rPr>
      <w:lang w:val="en-GB"/>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styleId="Caption">
    <w:name w:val="caption"/>
    <w:basedOn w:val="Normal"/>
    <w:next w:val="Normal"/>
    <w:uiPriority w:val="35"/>
    <w:unhideWhenUsed/>
    <w:qFormat/>
    <w:rsid w:val="0005622A"/>
    <w:rPr>
      <w:i/>
      <w:iCs/>
      <w:color w:val="44546A" w:themeColor="text2"/>
      <w:sz w:val="18"/>
      <w:szCs w:val="18"/>
    </w:rPr>
  </w:style>
  <w:style w:type="character" w:styleId="LineNumber">
    <w:name w:val="line number"/>
    <w:basedOn w:val="DefaultParagraphFont"/>
    <w:uiPriority w:val="99"/>
    <w:semiHidden/>
    <w:unhideWhenUsed/>
    <w:rsid w:val="0005622A"/>
  </w:style>
  <w:style w:type="paragraph" w:styleId="Header">
    <w:name w:val="header"/>
    <w:basedOn w:val="Normal"/>
    <w:link w:val="HeaderChar"/>
    <w:uiPriority w:val="99"/>
    <w:unhideWhenUsed/>
    <w:rsid w:val="0005622A"/>
    <w:pPr>
      <w:tabs>
        <w:tab w:val="center" w:pos="4536"/>
        <w:tab w:val="right" w:pos="9072"/>
      </w:tabs>
      <w:spacing w:after="0"/>
    </w:pPr>
  </w:style>
  <w:style w:type="character" w:customStyle="1" w:styleId="HeaderChar">
    <w:name w:val="Header Char"/>
    <w:basedOn w:val="DefaultParagraphFont"/>
    <w:link w:val="Header"/>
    <w:uiPriority w:val="99"/>
    <w:rsid w:val="0005622A"/>
    <w:rPr>
      <w:lang w:val="en-GB"/>
    </w:rPr>
  </w:style>
  <w:style w:type="paragraph" w:styleId="Footer">
    <w:name w:val="footer"/>
    <w:basedOn w:val="Normal"/>
    <w:link w:val="FooterChar"/>
    <w:uiPriority w:val="99"/>
    <w:unhideWhenUsed/>
    <w:rsid w:val="0005622A"/>
    <w:pPr>
      <w:tabs>
        <w:tab w:val="center" w:pos="4536"/>
        <w:tab w:val="right" w:pos="9072"/>
      </w:tabs>
      <w:spacing w:after="0"/>
    </w:pPr>
  </w:style>
  <w:style w:type="character" w:customStyle="1" w:styleId="FooterChar">
    <w:name w:val="Footer Char"/>
    <w:basedOn w:val="DefaultParagraphFont"/>
    <w:link w:val="Footer"/>
    <w:uiPriority w:val="99"/>
    <w:rsid w:val="0005622A"/>
    <w:rPr>
      <w:lang w:val="en-GB"/>
    </w:rPr>
  </w:style>
  <w:style w:type="paragraph" w:styleId="BalloonText">
    <w:name w:val="Balloon Text"/>
    <w:basedOn w:val="Normal"/>
    <w:link w:val="BalloonTextChar"/>
    <w:uiPriority w:val="99"/>
    <w:semiHidden/>
    <w:unhideWhenUsed/>
    <w:rsid w:val="00E40AC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0AC6"/>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F19499-428C-4BA4-839B-C93ADF308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28389</Words>
  <Characters>156140</Characters>
  <Application>Microsoft Office Word</Application>
  <DocSecurity>0</DocSecurity>
  <Lines>1301</Lines>
  <Paragraphs>368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Anaïs Léger</dc:creator>
  <cp:keywords/>
  <dc:description/>
  <cp:lastModifiedBy>Anaïs Léger</cp:lastModifiedBy>
  <cp:revision>2</cp:revision>
  <dcterms:created xsi:type="dcterms:W3CDTF">2021-01-25T14:08:00Z</dcterms:created>
  <dcterms:modified xsi:type="dcterms:W3CDTF">2021-01-25T14:22:00Z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http://www.zotero.org/styles/journal-of-antimicrobial-chemotherapy</vt:lpwstr>
  </property>
  <property fmtid="{D5CDD505-2E9C-101B-9397-08002B2CF9AE}" pid="15" name="Mendeley Recent Style Name 6_1">
    <vt:lpwstr>Journal of Antimicrobial Chemotherapy</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45382368-6583-36e5-a3ce-0d69fa7e3af5</vt:lpwstr>
  </property>
  <property fmtid="{D5CDD505-2E9C-101B-9397-08002B2CF9AE}" pid="24" name="Mendeley Citation Style_1">
    <vt:lpwstr>http://www.zotero.org/styles/vancouver</vt:lpwstr>
  </property>
</Properties>
</file>