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DB18B" w14:textId="7A4A19DF" w:rsidR="00445292" w:rsidRDefault="00445292">
      <w:r>
        <w:rPr>
          <w:rFonts w:hint="eastAsia"/>
        </w:rPr>
        <w:t>A</w:t>
      </w:r>
      <w:r>
        <w:t>ppendix 1</w:t>
      </w:r>
    </w:p>
    <w:p w14:paraId="035917A6" w14:textId="77777777" w:rsidR="00445292" w:rsidRDefault="00445292"/>
    <w:p w14:paraId="51950B31" w14:textId="7F0F5422" w:rsidR="00D85010" w:rsidRDefault="001E5810">
      <w:r>
        <w:rPr>
          <w:noProof/>
        </w:rPr>
        <w:drawing>
          <wp:inline distT="0" distB="0" distL="0" distR="0" wp14:anchorId="5FDDF3AB" wp14:editId="2C48D802">
            <wp:extent cx="5760000" cy="2569206"/>
            <wp:effectExtent l="0" t="0" r="0" b="3175"/>
            <wp:docPr id="540058768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569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7EC2B" w14:textId="31DA364F" w:rsidR="00445292" w:rsidRDefault="00445292">
      <w:r>
        <w:rPr>
          <w:rFonts w:hint="eastAsia"/>
        </w:rPr>
        <w:t>F</w:t>
      </w:r>
      <w:r>
        <w:t xml:space="preserve">igure S1. </w:t>
      </w:r>
      <w:r w:rsidRPr="00445292">
        <w:t>Difference in distance coefficient and intercept between the buried and unburied stations for each event</w:t>
      </w:r>
      <w:r>
        <w:t>.</w:t>
      </w:r>
      <w:r w:rsidRPr="00445292">
        <w:t xml:space="preserve"> Comparison of these values with earthquake magnitude, </w:t>
      </w:r>
      <w:r>
        <w:t>focal</w:t>
      </w:r>
      <w:r w:rsidRPr="00445292">
        <w:t xml:space="preserve"> depth, and epicenter coordinates</w:t>
      </w:r>
      <w:r>
        <w:t>.</w:t>
      </w:r>
    </w:p>
    <w:p w14:paraId="09C23F6B" w14:textId="77777777" w:rsidR="00445292" w:rsidRDefault="00445292"/>
    <w:p w14:paraId="4C843EFA" w14:textId="50739FC2" w:rsidR="00445292" w:rsidRDefault="001E5810">
      <w:r>
        <w:rPr>
          <w:noProof/>
        </w:rPr>
        <w:drawing>
          <wp:inline distT="0" distB="0" distL="0" distR="0" wp14:anchorId="73418ECE" wp14:editId="42E11872">
            <wp:extent cx="5267325" cy="2712720"/>
            <wp:effectExtent l="0" t="0" r="0" b="0"/>
            <wp:docPr id="68951901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71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2DE93" w14:textId="5A2796AB" w:rsidR="00445292" w:rsidRDefault="00445292">
      <w:r>
        <w:rPr>
          <w:rFonts w:hint="eastAsia"/>
        </w:rPr>
        <w:t>F</w:t>
      </w:r>
      <w:r>
        <w:t xml:space="preserve">igure S2. </w:t>
      </w:r>
      <w:r w:rsidRPr="00445292">
        <w:t xml:space="preserve">Comparison of </w:t>
      </w:r>
      <w:r>
        <w:t>s</w:t>
      </w:r>
      <w:r w:rsidRPr="00445292">
        <w:t xml:space="preserve">lope </w:t>
      </w:r>
      <w:r>
        <w:t>a</w:t>
      </w:r>
      <w:r w:rsidRPr="00445292">
        <w:t>ngle</w:t>
      </w:r>
      <w:r>
        <w:t xml:space="preserve"> with</w:t>
      </w:r>
      <w:r w:rsidRPr="00445292">
        <w:t xml:space="preserve"> D14 and </w:t>
      </w:r>
      <w:r>
        <w:t>sediment</w:t>
      </w:r>
      <w:r w:rsidRPr="00445292">
        <w:t xml:space="preserve"> </w:t>
      </w:r>
      <w:r>
        <w:t>t</w:t>
      </w:r>
      <w:r w:rsidRPr="00445292">
        <w:t>hickness</w:t>
      </w:r>
      <w:r>
        <w:t xml:space="preserve"> (Nishizawa et al. 2022).</w:t>
      </w:r>
    </w:p>
    <w:sectPr w:rsidR="0044529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292"/>
    <w:rsid w:val="001E5810"/>
    <w:rsid w:val="00445292"/>
    <w:rsid w:val="00D8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ocId w14:val="3B450801"/>
  <w15:chartTrackingRefBased/>
  <w15:docId w15:val="{00ED580C-11C1-4F1F-9B2A-2A9DB64B4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nakanishi.ryo.5h@ms.c.kyoto-u.ac.jp</dc:creator>
  <cp:keywords/>
  <dc:description/>
  <cp:lastModifiedBy>nakanishi.ryo.5h@ms.c.kyoto-u.ac.jp</cp:lastModifiedBy>
  <cp:revision>2</cp:revision>
  <dcterms:created xsi:type="dcterms:W3CDTF">2023-10-16T02:40:00Z</dcterms:created>
  <dcterms:modified xsi:type="dcterms:W3CDTF">2023-11-08T08:22:00Z</dcterms:modified>
</cp:coreProperties>
</file>